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F" w:rsidRPr="000665CF" w:rsidRDefault="000665CF" w:rsidP="000851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5CF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</w:p>
    <w:p w:rsidR="00A44D8D" w:rsidRPr="0039572F" w:rsidRDefault="00A44D8D" w:rsidP="00A44D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6E623B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S6</w:t>
      </w:r>
      <w:r w:rsidRPr="00114A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 xml:space="preserve"> Actor-Partner Independence Model (APIM) investigating actor and partner effects of posttraumatic stress symptoms (PTSS-10) and </w:t>
      </w:r>
      <w:r w:rsidRPr="00744E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>health-related quality of life (</w:t>
      </w:r>
      <w:r w:rsidRPr="002017EA">
        <w:rPr>
          <w:rFonts w:ascii="Times New Roman" w:hAnsi="Times New Roman" w:cs="Times New Roman"/>
          <w:sz w:val="24"/>
          <w:szCs w:val="24"/>
          <w:lang w:val="en-GB"/>
        </w:rPr>
        <w:t>EQ-5D-3L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 xml:space="preserve">) in male and female patients with </w:t>
      </w:r>
      <w:r w:rsidRPr="00A578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chronic critical illness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 xml:space="preserve"> and their partners (N = 70)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4E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Patients and their partners were investigated within</w:t>
      </w:r>
      <w:r w:rsidRPr="00744E38"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 xml:space="preserve"> to six months </w:t>
      </w:r>
      <w:r w:rsidRPr="00376C31">
        <w:rPr>
          <w:rFonts w:ascii="Times New Roman" w:hAnsi="Times New Roman" w:cs="Times New Roman"/>
          <w:sz w:val="24"/>
          <w:szCs w:val="24"/>
          <w:lang w:val="en-US"/>
        </w:rPr>
        <w:t>after the transfer from acute care ICU to post-acute ICU.</w:t>
      </w:r>
    </w:p>
    <w:tbl>
      <w:tblPr>
        <w:tblStyle w:val="Tabellenraster"/>
        <w:tblW w:w="9746" w:type="dxa"/>
        <w:tblLayout w:type="fixed"/>
        <w:tblLook w:val="04A0" w:firstRow="1" w:lastRow="0" w:firstColumn="1" w:lastColumn="0" w:noHBand="0" w:noVBand="1"/>
      </w:tblPr>
      <w:tblGrid>
        <w:gridCol w:w="1418"/>
        <w:gridCol w:w="1036"/>
        <w:gridCol w:w="1086"/>
        <w:gridCol w:w="1029"/>
        <w:gridCol w:w="1038"/>
        <w:gridCol w:w="1020"/>
        <w:gridCol w:w="1020"/>
        <w:gridCol w:w="1020"/>
        <w:gridCol w:w="1079"/>
      </w:tblGrid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4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Patients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Partners</w:t>
            </w:r>
          </w:p>
        </w:tc>
      </w:tr>
      <w:tr w:rsidR="00085160" w:rsidRPr="002017EA" w:rsidTr="00586F1C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Effect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β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95% CI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95% CI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085160" w:rsidRPr="002017EA" w:rsidTr="00586F1C">
        <w:tc>
          <w:tcPr>
            <w:tcW w:w="9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PTSS-10 score</w:t>
            </w:r>
          </w:p>
        </w:tc>
      </w:tr>
      <w:tr w:rsidR="00085160" w:rsidRPr="002017EA" w:rsidTr="00586F1C">
        <w:trPr>
          <w:trHeight w:val="158"/>
        </w:trPr>
        <w:tc>
          <w:tcPr>
            <w:tcW w:w="97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male</w:t>
            </w: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Actor effect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-.500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-.787;-.213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-3.503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-.044; .634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-2.153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.052</w:t>
            </w: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 effect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-.327; .759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-.318;.211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-.404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.688</w:t>
            </w: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 log </w:t>
            </w:r>
            <w:proofErr w:type="spellStart"/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likelihodd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186.909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Bayes Criterion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199.142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5160" w:rsidRPr="002017EA" w:rsidTr="00586F1C"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</w:t>
            </w: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Actor effect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-.341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-.651;-.030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-2.404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.034*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-.713; -.133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-2.930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.005**</w:t>
            </w: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 effect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-.249; .332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-.285;.945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.265</w:t>
            </w: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 log </w:t>
            </w:r>
            <w:proofErr w:type="spellStart"/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likelihodd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176.045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5160" w:rsidRPr="002017EA" w:rsidTr="00586F1C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Bayes Criterion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188.278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5160" w:rsidRPr="002017EA" w:rsidTr="00586F1C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60" w:rsidRPr="002017EA" w:rsidRDefault="00085160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85160" w:rsidRPr="002017EA" w:rsidRDefault="00085160" w:rsidP="0008516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17EA">
        <w:rPr>
          <w:rFonts w:ascii="Times New Roman" w:hAnsi="Times New Roman" w:cs="Times New Roman"/>
          <w:sz w:val="20"/>
          <w:szCs w:val="20"/>
          <w:lang w:val="en-US"/>
        </w:rPr>
        <w:t xml:space="preserve">Dependent variable: health-related quality of life (EQ-5D-3L, Rabin &amp; de </w:t>
      </w:r>
      <w:proofErr w:type="spellStart"/>
      <w:r w:rsidRPr="002017EA">
        <w:rPr>
          <w:rFonts w:ascii="Times New Roman" w:hAnsi="Times New Roman" w:cs="Times New Roman"/>
          <w:sz w:val="20"/>
          <w:szCs w:val="20"/>
          <w:lang w:val="en-US"/>
        </w:rPr>
        <w:t>Charro</w:t>
      </w:r>
      <w:proofErr w:type="spellEnd"/>
      <w:r w:rsidRPr="002017EA">
        <w:rPr>
          <w:rFonts w:ascii="Times New Roman" w:hAnsi="Times New Roman" w:cs="Times New Roman"/>
          <w:sz w:val="20"/>
          <w:szCs w:val="20"/>
          <w:lang w:val="en-US"/>
        </w:rPr>
        <w:t>, 2001); *≤.05, **≤.01, ***≤.001</w:t>
      </w:r>
    </w:p>
    <w:p w:rsidR="003074C0" w:rsidRPr="00085160" w:rsidRDefault="003074C0">
      <w:pPr>
        <w:rPr>
          <w:lang w:val="en-US"/>
        </w:rPr>
      </w:pPr>
    </w:p>
    <w:sectPr w:rsidR="003074C0" w:rsidRPr="00085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60"/>
    <w:rsid w:val="000665CF"/>
    <w:rsid w:val="00085160"/>
    <w:rsid w:val="003074C0"/>
    <w:rsid w:val="00376C31"/>
    <w:rsid w:val="0071039C"/>
    <w:rsid w:val="00A44D8D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1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1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2018-11-23T00:33:00Z</dcterms:created>
  <dcterms:modified xsi:type="dcterms:W3CDTF">2018-11-23T21:44:00Z</dcterms:modified>
</cp:coreProperties>
</file>