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3D65" w14:textId="5EA49CEA" w:rsidR="003C2B79" w:rsidRDefault="003C2B79" w:rsidP="003C2B79">
      <w:pPr>
        <w:pStyle w:val="Caption"/>
        <w:keepNext/>
        <w:keepLines/>
        <w:spacing w:after="0" w:line="480" w:lineRule="auto"/>
        <w:jc w:val="lef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Figure</w:t>
      </w:r>
      <w:r w:rsidRPr="00162DE7">
        <w:rPr>
          <w:rFonts w:ascii="Times New Roman" w:hAnsi="Times New Roman"/>
          <w:color w:val="auto"/>
          <w:sz w:val="20"/>
          <w:szCs w:val="20"/>
        </w:rPr>
        <w:t xml:space="preserve"> S</w:t>
      </w:r>
      <w:r>
        <w:rPr>
          <w:rFonts w:ascii="Times New Roman" w:hAnsi="Times New Roman"/>
          <w:color w:val="auto"/>
          <w:sz w:val="20"/>
          <w:szCs w:val="20"/>
        </w:rPr>
        <w:t>1</w:t>
      </w:r>
      <w:r w:rsidRPr="00162DE7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419D1">
        <w:rPr>
          <w:rFonts w:ascii="Times New Roman" w:hAnsi="Times New Roman"/>
          <w:b w:val="0"/>
          <w:color w:val="auto"/>
          <w:sz w:val="20"/>
          <w:szCs w:val="20"/>
        </w:rPr>
        <w:t>Model-estimated cumulative events</w:t>
      </w:r>
      <w:r w:rsidR="00DA1D96">
        <w:rPr>
          <w:rFonts w:ascii="Times New Roman" w:hAnsi="Times New Roman"/>
          <w:b w:val="0"/>
          <w:color w:val="auto"/>
          <w:sz w:val="20"/>
          <w:szCs w:val="20"/>
        </w:rPr>
        <w:t xml:space="preserve"> per 100 patients</w:t>
      </w:r>
      <w:r w:rsidRPr="00B419D1">
        <w:rPr>
          <w:rFonts w:ascii="Times New Roman" w:hAnsi="Times New Roman"/>
          <w:b w:val="0"/>
          <w:color w:val="auto"/>
          <w:sz w:val="20"/>
          <w:szCs w:val="20"/>
        </w:rPr>
        <w:t xml:space="preserve"> over five years, according to CKD stage (a–c), RAASi use (d–f) and incidence of hyperkalaemia (g–</w:t>
      </w:r>
      <w:proofErr w:type="spellStart"/>
      <w:r w:rsidRPr="00B419D1">
        <w:rPr>
          <w:rFonts w:ascii="Times New Roman" w:hAnsi="Times New Roman"/>
          <w:b w:val="0"/>
          <w:color w:val="auto"/>
          <w:sz w:val="20"/>
          <w:szCs w:val="20"/>
        </w:rPr>
        <w:t>i</w:t>
      </w:r>
      <w:proofErr w:type="spellEnd"/>
      <w:r w:rsidRPr="00B419D1">
        <w:rPr>
          <w:rFonts w:ascii="Times New Roman" w:hAnsi="Times New Roman"/>
          <w:b w:val="0"/>
          <w:color w:val="auto"/>
          <w:sz w:val="20"/>
          <w:szCs w:val="20"/>
        </w:rPr>
        <w:t>)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14:paraId="2F6A4B19" w14:textId="09950012" w:rsidR="001E5A3E" w:rsidRDefault="00DA1D96" w:rsidP="001E5A3E">
      <w:pPr>
        <w:spacing w:after="160" w:line="240" w:lineRule="auto"/>
        <w:jc w:val="lef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34307065" wp14:editId="0B5B84C4">
            <wp:extent cx="5892223" cy="494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ot v0.5.tif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0" b="1681"/>
                    <a:stretch/>
                  </pic:blipFill>
                  <pic:spPr bwMode="auto">
                    <a:xfrm>
                      <a:off x="0" y="0"/>
                      <a:ext cx="5895887" cy="494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93F1C" w14:textId="707510EB" w:rsidR="00C03332" w:rsidRDefault="00C03332" w:rsidP="00C03332">
      <w:pPr>
        <w:rPr>
          <w:rFonts w:ascii="Times New Roman" w:hAnsi="Times New Roman"/>
          <w:i/>
          <w:sz w:val="20"/>
          <w:szCs w:val="20"/>
        </w:rPr>
      </w:pPr>
      <w:r w:rsidRPr="00162DE7">
        <w:rPr>
          <w:rFonts w:ascii="Times New Roman" w:hAnsi="Times New Roman"/>
          <w:i/>
          <w:sz w:val="20"/>
          <w:szCs w:val="20"/>
        </w:rPr>
        <w:t>CKD: chronic kidney disease; RAASi: renin-angiotensin-aldosterone system inhibitor;</w:t>
      </w:r>
    </w:p>
    <w:p w14:paraId="5616FD15" w14:textId="4AF7F641" w:rsidR="002C03FF" w:rsidRDefault="002C03FF" w:rsidP="00C03332">
      <w:bookmarkStart w:id="0" w:name="_GoBack"/>
      <w:bookmarkEnd w:id="0"/>
    </w:p>
    <w:p w14:paraId="453EC6F9" w14:textId="0830C1E7" w:rsidR="002C03FF" w:rsidRPr="00736C90" w:rsidRDefault="002C03FF" w:rsidP="002C03FF">
      <w:pPr>
        <w:spacing w:after="160" w:line="480" w:lineRule="auto"/>
        <w:jc w:val="left"/>
        <w:rPr>
          <w:rFonts w:ascii="Times New Roman" w:hAnsi="Times New Roman"/>
          <w:sz w:val="20"/>
          <w:szCs w:val="24"/>
        </w:rPr>
      </w:pPr>
      <w:r w:rsidRPr="00736C90">
        <w:rPr>
          <w:rFonts w:ascii="Times New Roman" w:hAnsi="Times New Roman"/>
          <w:sz w:val="20"/>
          <w:szCs w:val="24"/>
        </w:rPr>
        <w:t xml:space="preserve">To aid interpretation of the relationship between key patient characteristics and modelled event rates, the cumulative number of mortality, cardiovascular and hospitalization events estimated by the model are presented, according to </w:t>
      </w:r>
      <w:r>
        <w:rPr>
          <w:rFonts w:ascii="Times New Roman" w:hAnsi="Times New Roman"/>
          <w:sz w:val="20"/>
          <w:szCs w:val="24"/>
        </w:rPr>
        <w:t xml:space="preserve">initial </w:t>
      </w:r>
      <w:r w:rsidRPr="00736C90">
        <w:rPr>
          <w:rFonts w:ascii="Times New Roman" w:hAnsi="Times New Roman"/>
          <w:sz w:val="20"/>
          <w:szCs w:val="24"/>
        </w:rPr>
        <w:t>CKD severity (eGFR (mL/min/1.73m</w:t>
      </w:r>
      <w:r w:rsidRPr="00736C90">
        <w:rPr>
          <w:rFonts w:ascii="Times New Roman" w:hAnsi="Times New Roman"/>
          <w:sz w:val="20"/>
          <w:szCs w:val="24"/>
          <w:vertAlign w:val="superscript"/>
        </w:rPr>
        <w:t>2</w:t>
      </w:r>
      <w:r w:rsidRPr="00736C90">
        <w:rPr>
          <w:rFonts w:ascii="Times New Roman" w:hAnsi="Times New Roman"/>
          <w:sz w:val="20"/>
          <w:szCs w:val="24"/>
        </w:rPr>
        <w:t>): 52.5 (CKD3a), 37.5 (CKD3b), and 22.5 (CKD4)), renin-angiotensin-aldosterone system inhibitor (RAASi) use and serum potassium status (normokalaemia or hyperkalaemia).</w:t>
      </w:r>
    </w:p>
    <w:p w14:paraId="14642B42" w14:textId="77777777" w:rsidR="002C03FF" w:rsidRDefault="002C03FF" w:rsidP="002C03FF">
      <w:pPr>
        <w:spacing w:after="160" w:line="480" w:lineRule="auto"/>
        <w:jc w:val="left"/>
        <w:rPr>
          <w:rFonts w:ascii="Times New Roman" w:hAnsi="Times New Roman"/>
          <w:sz w:val="20"/>
          <w:szCs w:val="24"/>
        </w:rPr>
      </w:pPr>
      <w:r w:rsidRPr="00736C90">
        <w:rPr>
          <w:rFonts w:ascii="Times New Roman" w:hAnsi="Times New Roman"/>
          <w:sz w:val="20"/>
          <w:szCs w:val="24"/>
        </w:rPr>
        <w:t xml:space="preserve">All settings were as described in the base case scenario with RAASi use, unless otherwise specified. In the normokalaemia scenario constant potassium levels of 4.5 </w:t>
      </w:r>
      <w:proofErr w:type="spellStart"/>
      <w:r w:rsidRPr="00736C90">
        <w:rPr>
          <w:rFonts w:ascii="Times New Roman" w:hAnsi="Times New Roman"/>
          <w:sz w:val="20"/>
          <w:szCs w:val="24"/>
        </w:rPr>
        <w:t>mEq</w:t>
      </w:r>
      <w:proofErr w:type="spellEnd"/>
      <w:r w:rsidRPr="00736C90">
        <w:rPr>
          <w:rFonts w:ascii="Times New Roman" w:hAnsi="Times New Roman"/>
          <w:sz w:val="20"/>
          <w:szCs w:val="24"/>
        </w:rPr>
        <w:t xml:space="preserve">/L were modelled; while in the hyperkalaemia scenario </w:t>
      </w:r>
      <w:r>
        <w:rPr>
          <w:rFonts w:ascii="Times New Roman" w:hAnsi="Times New Roman"/>
          <w:sz w:val="20"/>
          <w:szCs w:val="24"/>
        </w:rPr>
        <w:t xml:space="preserve">hyperkalaemia events (potassium ≥6 </w:t>
      </w:r>
      <w:proofErr w:type="spellStart"/>
      <w:r>
        <w:rPr>
          <w:rFonts w:ascii="Times New Roman" w:hAnsi="Times New Roman"/>
          <w:sz w:val="20"/>
          <w:szCs w:val="24"/>
        </w:rPr>
        <w:t>mEq</w:t>
      </w:r>
      <w:proofErr w:type="spellEnd"/>
      <w:r>
        <w:rPr>
          <w:rFonts w:ascii="Times New Roman" w:hAnsi="Times New Roman"/>
          <w:sz w:val="20"/>
          <w:szCs w:val="24"/>
        </w:rPr>
        <w:t>/L) were modelled in two months per year</w:t>
      </w:r>
      <w:r w:rsidRPr="00736C90"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</w:rPr>
        <w:t xml:space="preserve"> Simulated patients on RAASi progress to the next CKD stage at 3.4 years; while those not on RAASi progress at 2.4 years.</w:t>
      </w:r>
    </w:p>
    <w:p w14:paraId="443CDAEA" w14:textId="77777777" w:rsidR="003C2B79" w:rsidRPr="00162DE7" w:rsidRDefault="003C2B79" w:rsidP="003C2B79">
      <w:pPr>
        <w:pStyle w:val="Caption"/>
        <w:keepNext/>
        <w:spacing w:after="0" w:line="480" w:lineRule="auto"/>
        <w:jc w:val="left"/>
        <w:rPr>
          <w:rFonts w:ascii="Times New Roman" w:hAnsi="Times New Roman"/>
          <w:color w:val="auto"/>
          <w:sz w:val="20"/>
          <w:szCs w:val="20"/>
        </w:rPr>
      </w:pPr>
      <w:r w:rsidRPr="00162DE7">
        <w:rPr>
          <w:rFonts w:ascii="Times New Roman" w:hAnsi="Times New Roman"/>
          <w:color w:val="auto"/>
          <w:sz w:val="20"/>
          <w:szCs w:val="20"/>
        </w:rPr>
        <w:lastRenderedPageBreak/>
        <w:t>Figure S</w:t>
      </w:r>
      <w:r>
        <w:rPr>
          <w:rFonts w:ascii="Times New Roman" w:hAnsi="Times New Roman"/>
          <w:color w:val="auto"/>
          <w:sz w:val="20"/>
          <w:szCs w:val="20"/>
        </w:rPr>
        <w:t>2</w:t>
      </w:r>
      <w:r w:rsidRPr="00162DE7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162DE7">
        <w:rPr>
          <w:rFonts w:ascii="Times New Roman" w:hAnsi="Times New Roman"/>
          <w:b w:val="0"/>
          <w:color w:val="auto"/>
          <w:sz w:val="20"/>
          <w:szCs w:val="20"/>
        </w:rPr>
        <w:t>Impact of RAASi cost and efficacy (0–100% of base case values) on discounted lifetime per-patient costs, QALYs, life years and NMB at conventional WTP thresholds</w:t>
      </w:r>
    </w:p>
    <w:p w14:paraId="13E52E2C" w14:textId="77777777" w:rsidR="00C03E28" w:rsidRPr="00162DE7" w:rsidRDefault="00C03E28" w:rsidP="00C03E28">
      <w:pPr>
        <w:pStyle w:val="Caption"/>
        <w:keepNext/>
        <w:spacing w:after="0" w:line="48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162DE7">
        <w:rPr>
          <w:rFonts w:ascii="Times New Roman" w:hAnsi="Times New Roman"/>
          <w:noProof/>
          <w:color w:val="auto"/>
          <w:sz w:val="20"/>
          <w:szCs w:val="20"/>
          <w:lang w:val="en-US" w:eastAsia="en-US"/>
        </w:rPr>
        <w:drawing>
          <wp:inline distT="0" distB="0" distL="0" distR="0" wp14:anchorId="0BDA0858" wp14:editId="467ED0FD">
            <wp:extent cx="4679120" cy="60553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TTE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120" cy="605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F40FE" w14:textId="6CCC2DB9" w:rsidR="00C03E28" w:rsidRPr="003C2B79" w:rsidRDefault="00C03E28" w:rsidP="003C2B79">
      <w:pPr>
        <w:spacing w:line="480" w:lineRule="auto"/>
        <w:jc w:val="left"/>
        <w:rPr>
          <w:rFonts w:ascii="Times New Roman" w:hAnsi="Times New Roman"/>
          <w:i/>
          <w:sz w:val="20"/>
          <w:szCs w:val="20"/>
        </w:rPr>
      </w:pPr>
      <w:r w:rsidRPr="00162DE7">
        <w:rPr>
          <w:rFonts w:ascii="Times New Roman" w:hAnsi="Times New Roman"/>
          <w:i/>
          <w:sz w:val="20"/>
          <w:szCs w:val="20"/>
        </w:rPr>
        <w:t>CKD: chronic kidney disease; NMB: net monetary benefit; QALY: quality-adjusted life year; RAASi: renin-angiotensin-aldosterone system inhibitor; RRT: renal replacement therapy; WTP, willingness-to-pay</w:t>
      </w:r>
    </w:p>
    <w:sectPr w:rsidR="00C03E28" w:rsidRPr="003C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4B5E"/>
    <w:multiLevelType w:val="hybridMultilevel"/>
    <w:tmpl w:val="10D887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B4D7C"/>
    <w:multiLevelType w:val="hybridMultilevel"/>
    <w:tmpl w:val="834691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8"/>
    <w:rsid w:val="001E5A3E"/>
    <w:rsid w:val="0020764E"/>
    <w:rsid w:val="002C03FF"/>
    <w:rsid w:val="003C2B79"/>
    <w:rsid w:val="003C70C5"/>
    <w:rsid w:val="00670AF1"/>
    <w:rsid w:val="00736C90"/>
    <w:rsid w:val="007D75DC"/>
    <w:rsid w:val="00806D5D"/>
    <w:rsid w:val="00825C71"/>
    <w:rsid w:val="00A27E45"/>
    <w:rsid w:val="00AD7B29"/>
    <w:rsid w:val="00C03332"/>
    <w:rsid w:val="00C03E28"/>
    <w:rsid w:val="00C87930"/>
    <w:rsid w:val="00DA1D96"/>
    <w:rsid w:val="00DD5472"/>
    <w:rsid w:val="00DE73B9"/>
    <w:rsid w:val="00E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D861"/>
  <w15:chartTrackingRefBased/>
  <w15:docId w15:val="{7534A670-5612-4C99-BD16-AE0E36A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8"/>
    <w:pPr>
      <w:spacing w:after="0" w:line="360" w:lineRule="auto"/>
      <w:jc w:val="both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E2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E28"/>
    <w:rPr>
      <w:rFonts w:ascii="Arial" w:eastAsiaTheme="majorEastAsia" w:hAnsi="Arial" w:cstheme="majorBidi"/>
      <w:b/>
      <w:szCs w:val="2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C03E2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C03E28"/>
    <w:pPr>
      <w:spacing w:after="200" w:line="240" w:lineRule="auto"/>
      <w:ind w:right="130"/>
    </w:pPr>
    <w:rPr>
      <w:rFonts w:ascii="Calibri" w:hAnsi="Calibri"/>
      <w:b/>
      <w:bCs/>
      <w:color w:val="833C0B" w:themeColor="accent2" w:themeShade="8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3E28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Morgan</dc:creator>
  <cp:keywords/>
  <dc:description/>
  <cp:lastModifiedBy>Hayley Bennett Wilton</cp:lastModifiedBy>
  <cp:revision>8</cp:revision>
  <dcterms:created xsi:type="dcterms:W3CDTF">2018-09-03T10:57:00Z</dcterms:created>
  <dcterms:modified xsi:type="dcterms:W3CDTF">2018-09-07T08:49:00Z</dcterms:modified>
</cp:coreProperties>
</file>