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70CC9" w14:textId="77777777" w:rsidR="007A7A43" w:rsidRDefault="007A7A43" w:rsidP="00EE252A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Additional file 1: Supplementary notes</w:t>
      </w:r>
    </w:p>
    <w:p w14:paraId="09379B40" w14:textId="77777777" w:rsidR="007A7A43" w:rsidRDefault="007A7A43" w:rsidP="00EE252A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9B58480" w14:textId="10723A69" w:rsidR="001F0577" w:rsidRPr="002E2583" w:rsidRDefault="004F7960" w:rsidP="00EE252A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E2583">
        <w:rPr>
          <w:rFonts w:ascii="Arial" w:hAnsi="Arial" w:cs="Arial"/>
          <w:b/>
          <w:sz w:val="22"/>
          <w:szCs w:val="22"/>
        </w:rPr>
        <w:t>Assessment of reference gene stability in myocytes</w:t>
      </w:r>
    </w:p>
    <w:p w14:paraId="63A8D8E5" w14:textId="77777777" w:rsidR="001F0577" w:rsidRPr="002E2583" w:rsidRDefault="001F0577" w:rsidP="00612A54">
      <w:p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95C472" w14:textId="5F82EF24" w:rsidR="001F0577" w:rsidRPr="002E2583" w:rsidRDefault="004916BC" w:rsidP="004527E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E2583">
        <w:rPr>
          <w:rFonts w:ascii="Arial" w:hAnsi="Arial" w:cs="Arial"/>
          <w:sz w:val="22"/>
          <w:szCs w:val="22"/>
        </w:rPr>
        <w:t xml:space="preserve">The expression of 10 reference genes was determined in the custom qPCR array </w:t>
      </w:r>
      <w:r w:rsidRPr="002E2583">
        <w:rPr>
          <w:rFonts w:ascii="Arial" w:hAnsi="Arial" w:cs="Arial"/>
          <w:color w:val="000000"/>
          <w:sz w:val="22"/>
          <w:szCs w:val="22"/>
        </w:rPr>
        <w:t>(</w:t>
      </w:r>
      <w:r w:rsidRPr="002E2583">
        <w:rPr>
          <w:rFonts w:ascii="Arial" w:hAnsi="Arial" w:cs="Arial"/>
          <w:i/>
          <w:sz w:val="22"/>
          <w:szCs w:val="22"/>
        </w:rPr>
        <w:t>TFRC, HPRT1, B2M, ACTB, GUSB, RPLP</w:t>
      </w:r>
      <w:r w:rsidR="00BC238F" w:rsidRPr="002E2583">
        <w:rPr>
          <w:rFonts w:ascii="Arial" w:hAnsi="Arial" w:cs="Arial"/>
          <w:i/>
          <w:sz w:val="22"/>
          <w:szCs w:val="22"/>
        </w:rPr>
        <w:t>0</w:t>
      </w:r>
      <w:r w:rsidRPr="002E2583">
        <w:rPr>
          <w:rFonts w:ascii="Arial" w:hAnsi="Arial" w:cs="Arial"/>
          <w:i/>
          <w:sz w:val="22"/>
          <w:szCs w:val="22"/>
        </w:rPr>
        <w:t>, TBP, PPIA, CSNK2A2</w:t>
      </w:r>
      <w:r w:rsidR="005F419F" w:rsidRPr="002E2583">
        <w:rPr>
          <w:rFonts w:ascii="Arial" w:hAnsi="Arial" w:cs="Arial"/>
          <w:i/>
          <w:sz w:val="22"/>
          <w:szCs w:val="22"/>
        </w:rPr>
        <w:t>, AP3D1</w:t>
      </w:r>
      <w:r w:rsidRPr="002E2583">
        <w:rPr>
          <w:rFonts w:ascii="Arial" w:hAnsi="Arial" w:cs="Arial"/>
          <w:sz w:val="22"/>
          <w:szCs w:val="22"/>
        </w:rPr>
        <w:t>).</w:t>
      </w:r>
      <w:r w:rsidRPr="002E2583">
        <w:rPr>
          <w:rFonts w:ascii="Arial" w:hAnsi="Arial" w:cs="Arial"/>
          <w:i/>
          <w:sz w:val="22"/>
          <w:szCs w:val="22"/>
        </w:rPr>
        <w:t xml:space="preserve"> </w:t>
      </w:r>
      <w:r w:rsidR="001F0577" w:rsidRPr="002E2583">
        <w:rPr>
          <w:rFonts w:ascii="Arial" w:hAnsi="Arial" w:cs="Arial"/>
          <w:sz w:val="22"/>
          <w:szCs w:val="22"/>
        </w:rPr>
        <w:t>Supplementary tabl</w:t>
      </w:r>
      <w:r w:rsidR="00390248" w:rsidRPr="002E2583">
        <w:rPr>
          <w:rFonts w:ascii="Arial" w:hAnsi="Arial" w:cs="Arial"/>
          <w:sz w:val="22"/>
          <w:szCs w:val="22"/>
        </w:rPr>
        <w:t>e 1 present</w:t>
      </w:r>
      <w:r w:rsidR="001F0577" w:rsidRPr="002E2583">
        <w:rPr>
          <w:rFonts w:ascii="Arial" w:hAnsi="Arial" w:cs="Arial"/>
          <w:sz w:val="22"/>
          <w:szCs w:val="22"/>
        </w:rPr>
        <w:t xml:space="preserve"> the results of three methods used to comprehensively assess the stability of each reference gene: </w:t>
      </w:r>
      <w:r w:rsidR="001F0577" w:rsidRPr="002E2583">
        <w:rPr>
          <w:rFonts w:ascii="Arial" w:hAnsi="Arial" w:cs="Arial"/>
          <w:color w:val="000000"/>
          <w:sz w:val="22"/>
          <w:szCs w:val="22"/>
        </w:rPr>
        <w:t>2</w:t>
      </w:r>
      <w:r w:rsidR="001F0577" w:rsidRPr="002E2583">
        <w:rPr>
          <w:rFonts w:ascii="Arial" w:hAnsi="Arial" w:cs="Arial"/>
          <w:color w:val="000000"/>
          <w:sz w:val="22"/>
          <w:szCs w:val="22"/>
          <w:vertAlign w:val="superscript"/>
        </w:rPr>
        <w:t xml:space="preserve">-Cq </w:t>
      </w:r>
      <w:r w:rsidR="001F0577" w:rsidRPr="002E2583">
        <w:rPr>
          <w:rFonts w:ascii="Arial" w:hAnsi="Arial" w:cs="Arial"/>
          <w:color w:val="000000"/>
          <w:sz w:val="22"/>
          <w:szCs w:val="22"/>
        </w:rPr>
        <w:t>metho</w:t>
      </w:r>
      <w:r w:rsidR="004F7960" w:rsidRPr="002E2583">
        <w:rPr>
          <w:rFonts w:ascii="Arial" w:hAnsi="Arial" w:cs="Arial"/>
          <w:color w:val="000000"/>
          <w:sz w:val="22"/>
          <w:szCs w:val="22"/>
        </w:rPr>
        <w:t xml:space="preserve">d </w:t>
      </w:r>
      <w:r w:rsidR="004F7960" w:rsidRPr="002E2583">
        <w:rPr>
          <w:rFonts w:ascii="Arial" w:hAnsi="Arial" w:cs="Arial"/>
          <w:noProof/>
          <w:color w:val="000000"/>
          <w:sz w:val="22"/>
          <w:szCs w:val="22"/>
        </w:rPr>
        <w:t>[1]</w:t>
      </w:r>
      <w:r w:rsidR="001F0577" w:rsidRPr="002E258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F0577" w:rsidRPr="002E2583">
        <w:rPr>
          <w:rFonts w:ascii="Arial" w:hAnsi="Arial" w:cs="Arial"/>
          <w:color w:val="000000"/>
          <w:sz w:val="22"/>
          <w:szCs w:val="22"/>
        </w:rPr>
        <w:t>geNorm</w:t>
      </w:r>
      <w:proofErr w:type="spellEnd"/>
      <w:r w:rsidR="001F0577" w:rsidRPr="002E2583">
        <w:rPr>
          <w:rFonts w:ascii="Arial" w:hAnsi="Arial" w:cs="Arial"/>
          <w:color w:val="000000"/>
          <w:sz w:val="22"/>
          <w:szCs w:val="22"/>
        </w:rPr>
        <w:t xml:space="preserve"> </w:t>
      </w:r>
      <w:r w:rsidR="004F7960" w:rsidRPr="002E2583">
        <w:rPr>
          <w:rFonts w:ascii="Arial" w:hAnsi="Arial" w:cs="Arial"/>
          <w:noProof/>
          <w:color w:val="000000"/>
          <w:sz w:val="22"/>
          <w:szCs w:val="22"/>
        </w:rPr>
        <w:t>[2]</w:t>
      </w:r>
      <w:r w:rsidR="001F0577" w:rsidRPr="002E2583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="001F0577" w:rsidRPr="002E2583">
        <w:rPr>
          <w:rFonts w:ascii="Arial" w:hAnsi="Arial" w:cs="Arial"/>
          <w:color w:val="000000"/>
          <w:sz w:val="22"/>
          <w:szCs w:val="22"/>
        </w:rPr>
        <w:t>BestKeeper</w:t>
      </w:r>
      <w:proofErr w:type="spellEnd"/>
      <w:r w:rsidR="001F0577" w:rsidRPr="002E2583">
        <w:rPr>
          <w:rFonts w:ascii="Arial" w:hAnsi="Arial" w:cs="Arial"/>
          <w:color w:val="000000"/>
          <w:sz w:val="22"/>
          <w:szCs w:val="22"/>
        </w:rPr>
        <w:t xml:space="preserve"> </w:t>
      </w:r>
      <w:r w:rsidR="004F7960" w:rsidRPr="002E2583">
        <w:rPr>
          <w:rFonts w:ascii="Arial" w:hAnsi="Arial" w:cs="Arial"/>
          <w:noProof/>
          <w:color w:val="000000"/>
          <w:sz w:val="22"/>
          <w:szCs w:val="22"/>
        </w:rPr>
        <w:t>[3]</w:t>
      </w:r>
      <w:r w:rsidR="001F0577" w:rsidRPr="002E2583">
        <w:rPr>
          <w:rFonts w:ascii="Arial" w:hAnsi="Arial" w:cs="Arial"/>
          <w:color w:val="000000"/>
          <w:sz w:val="22"/>
          <w:szCs w:val="22"/>
        </w:rPr>
        <w:t>.</w:t>
      </w:r>
    </w:p>
    <w:p w14:paraId="0F9E41E7" w14:textId="77777777" w:rsidR="00D306EC" w:rsidRPr="002E2583" w:rsidRDefault="00D306EC" w:rsidP="004527E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52F164" w14:textId="77777777" w:rsidR="00D306EC" w:rsidRPr="002E2583" w:rsidRDefault="00D306EC" w:rsidP="004527E3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2E2583">
        <w:rPr>
          <w:rFonts w:ascii="Arial" w:hAnsi="Arial" w:cs="Arial"/>
          <w:sz w:val="22"/>
          <w:szCs w:val="22"/>
        </w:rPr>
        <w:t xml:space="preserve">Firstly, the fold change in reference gene expression induced by differentiation (where </w:t>
      </w:r>
      <w:r w:rsidRPr="002E2583">
        <w:rPr>
          <w:rFonts w:ascii="Arial" w:hAnsi="Arial" w:cs="Arial"/>
          <w:color w:val="000000"/>
          <w:sz w:val="22"/>
          <w:szCs w:val="22"/>
        </w:rPr>
        <w:t>∆</w:t>
      </w:r>
      <w:proofErr w:type="spellStart"/>
      <w:r w:rsidRPr="002E2583">
        <w:rPr>
          <w:rFonts w:ascii="Arial" w:hAnsi="Arial" w:cs="Arial"/>
          <w:color w:val="000000"/>
          <w:sz w:val="22"/>
          <w:szCs w:val="22"/>
        </w:rPr>
        <w:t>Cq</w:t>
      </w:r>
      <w:proofErr w:type="spellEnd"/>
      <w:r w:rsidRPr="002E2583">
        <w:rPr>
          <w:rFonts w:ascii="Arial" w:hAnsi="Arial" w:cs="Arial"/>
          <w:color w:val="000000"/>
          <w:sz w:val="22"/>
          <w:szCs w:val="22"/>
        </w:rPr>
        <w:t xml:space="preserve"> = reference gene </w:t>
      </w:r>
      <w:proofErr w:type="spellStart"/>
      <w:r w:rsidRPr="002E2583">
        <w:rPr>
          <w:rFonts w:ascii="Arial" w:hAnsi="Arial" w:cs="Arial"/>
          <w:color w:val="000000"/>
          <w:sz w:val="22"/>
          <w:szCs w:val="22"/>
        </w:rPr>
        <w:t>Cq</w:t>
      </w:r>
      <w:proofErr w:type="spellEnd"/>
      <w:r w:rsidRPr="002E2583">
        <w:rPr>
          <w:rFonts w:ascii="Arial" w:hAnsi="Arial" w:cs="Arial"/>
          <w:color w:val="000000"/>
          <w:sz w:val="22"/>
          <w:szCs w:val="22"/>
        </w:rPr>
        <w:t xml:space="preserve"> value in late model sample</w:t>
      </w:r>
      <w:r w:rsidRPr="002E2583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2E2583">
        <w:rPr>
          <w:rFonts w:ascii="Arial" w:hAnsi="Arial" w:cs="Arial"/>
          <w:color w:val="000000"/>
          <w:sz w:val="22"/>
          <w:szCs w:val="22"/>
        </w:rPr>
        <w:t xml:space="preserve">- reference gene </w:t>
      </w:r>
      <w:proofErr w:type="spellStart"/>
      <w:r w:rsidRPr="002E2583">
        <w:rPr>
          <w:rFonts w:ascii="Arial" w:hAnsi="Arial" w:cs="Arial"/>
          <w:color w:val="000000"/>
          <w:sz w:val="22"/>
          <w:szCs w:val="22"/>
        </w:rPr>
        <w:t>Cq</w:t>
      </w:r>
      <w:proofErr w:type="spellEnd"/>
      <w:r w:rsidRPr="002E2583">
        <w:rPr>
          <w:rFonts w:ascii="Arial" w:hAnsi="Arial" w:cs="Arial"/>
          <w:color w:val="000000"/>
          <w:sz w:val="22"/>
          <w:szCs w:val="22"/>
        </w:rPr>
        <w:t xml:space="preserve"> value in early model sample) and </w:t>
      </w:r>
      <w:r w:rsidRPr="002E2583">
        <w:rPr>
          <w:rFonts w:ascii="Arial" w:hAnsi="Arial" w:cs="Arial"/>
          <w:sz w:val="22"/>
          <w:szCs w:val="22"/>
        </w:rPr>
        <w:t xml:space="preserve">MGS (where </w:t>
      </w:r>
      <w:r w:rsidRPr="002E2583">
        <w:rPr>
          <w:rFonts w:ascii="Arial" w:hAnsi="Arial" w:cs="Arial"/>
          <w:color w:val="000000"/>
          <w:sz w:val="22"/>
          <w:szCs w:val="22"/>
        </w:rPr>
        <w:t>∆</w:t>
      </w:r>
      <w:proofErr w:type="spellStart"/>
      <w:r w:rsidRPr="002E2583">
        <w:rPr>
          <w:rFonts w:ascii="Arial" w:hAnsi="Arial" w:cs="Arial"/>
          <w:color w:val="000000"/>
          <w:sz w:val="22"/>
          <w:szCs w:val="22"/>
        </w:rPr>
        <w:t>Cq</w:t>
      </w:r>
      <w:proofErr w:type="spellEnd"/>
      <w:r w:rsidRPr="002E2583">
        <w:rPr>
          <w:rFonts w:ascii="Arial" w:hAnsi="Arial" w:cs="Arial"/>
          <w:color w:val="000000"/>
          <w:sz w:val="22"/>
          <w:szCs w:val="22"/>
        </w:rPr>
        <w:t xml:space="preserve"> = reference gene </w:t>
      </w:r>
      <w:proofErr w:type="spellStart"/>
      <w:r w:rsidRPr="002E2583">
        <w:rPr>
          <w:rFonts w:ascii="Arial" w:hAnsi="Arial" w:cs="Arial"/>
          <w:color w:val="000000"/>
          <w:sz w:val="22"/>
          <w:szCs w:val="22"/>
        </w:rPr>
        <w:t>Cq</w:t>
      </w:r>
      <w:proofErr w:type="spellEnd"/>
      <w:r w:rsidRPr="002E2583">
        <w:rPr>
          <w:rFonts w:ascii="Arial" w:hAnsi="Arial" w:cs="Arial"/>
          <w:color w:val="000000"/>
          <w:sz w:val="22"/>
          <w:szCs w:val="22"/>
        </w:rPr>
        <w:t xml:space="preserve"> value in MGS treated sample</w:t>
      </w:r>
      <w:r w:rsidRPr="002E2583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2E2583">
        <w:rPr>
          <w:rFonts w:ascii="Arial" w:hAnsi="Arial" w:cs="Arial"/>
          <w:color w:val="000000"/>
          <w:sz w:val="22"/>
          <w:szCs w:val="22"/>
        </w:rPr>
        <w:t xml:space="preserve">- reference gene </w:t>
      </w:r>
      <w:proofErr w:type="spellStart"/>
      <w:r w:rsidRPr="002E2583">
        <w:rPr>
          <w:rFonts w:ascii="Arial" w:hAnsi="Arial" w:cs="Arial"/>
          <w:color w:val="000000"/>
          <w:sz w:val="22"/>
          <w:szCs w:val="22"/>
        </w:rPr>
        <w:t>Cq</w:t>
      </w:r>
      <w:proofErr w:type="spellEnd"/>
      <w:r w:rsidRPr="002E2583">
        <w:rPr>
          <w:rFonts w:ascii="Arial" w:hAnsi="Arial" w:cs="Arial"/>
          <w:color w:val="000000"/>
          <w:sz w:val="22"/>
          <w:szCs w:val="22"/>
        </w:rPr>
        <w:t xml:space="preserve"> value in untreated sample)</w:t>
      </w:r>
      <w:r w:rsidRPr="002E2583">
        <w:rPr>
          <w:rFonts w:ascii="Arial" w:hAnsi="Arial" w:cs="Arial"/>
          <w:sz w:val="22"/>
          <w:szCs w:val="22"/>
        </w:rPr>
        <w:t xml:space="preserve"> was calculated by </w:t>
      </w:r>
      <w:r w:rsidRPr="002E2583">
        <w:rPr>
          <w:rFonts w:ascii="Arial" w:hAnsi="Arial" w:cs="Arial"/>
          <w:color w:val="000000"/>
          <w:sz w:val="22"/>
          <w:szCs w:val="22"/>
        </w:rPr>
        <w:t>2</w:t>
      </w:r>
      <w:r w:rsidRPr="002E2583">
        <w:rPr>
          <w:rFonts w:ascii="Arial" w:hAnsi="Arial" w:cs="Arial"/>
          <w:color w:val="000000"/>
          <w:sz w:val="22"/>
          <w:szCs w:val="22"/>
          <w:vertAlign w:val="superscript"/>
        </w:rPr>
        <w:t>-∆</w:t>
      </w:r>
      <w:proofErr w:type="spellStart"/>
      <w:r w:rsidRPr="002E2583">
        <w:rPr>
          <w:rFonts w:ascii="Arial" w:hAnsi="Arial" w:cs="Arial"/>
          <w:color w:val="000000"/>
          <w:sz w:val="22"/>
          <w:szCs w:val="22"/>
          <w:vertAlign w:val="superscript"/>
        </w:rPr>
        <w:t>Cq</w:t>
      </w:r>
      <w:proofErr w:type="spellEnd"/>
      <w:r w:rsidRPr="002E2583">
        <w:rPr>
          <w:rFonts w:ascii="Arial" w:hAnsi="Arial" w:cs="Arial"/>
          <w:color w:val="000000"/>
          <w:sz w:val="22"/>
          <w:szCs w:val="22"/>
        </w:rPr>
        <w:t xml:space="preserve"> (column A). For each comparison, </w:t>
      </w:r>
      <w:r w:rsidRPr="002E2583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2E2583">
        <w:rPr>
          <w:rFonts w:ascii="Arial" w:hAnsi="Arial" w:cs="Arial"/>
          <w:sz w:val="22"/>
          <w:szCs w:val="22"/>
        </w:rPr>
        <w:t>Cq</w:t>
      </w:r>
      <w:proofErr w:type="spellEnd"/>
      <w:r w:rsidRPr="002E2583">
        <w:rPr>
          <w:rFonts w:ascii="Arial" w:hAnsi="Arial" w:cs="Arial"/>
          <w:sz w:val="22"/>
          <w:szCs w:val="22"/>
        </w:rPr>
        <w:t xml:space="preserve"> value of each reference gene was also expressed as 2</w:t>
      </w:r>
      <w:r w:rsidRPr="002E2583">
        <w:rPr>
          <w:rFonts w:ascii="Arial" w:hAnsi="Arial" w:cs="Arial"/>
          <w:sz w:val="22"/>
          <w:szCs w:val="22"/>
          <w:vertAlign w:val="superscript"/>
        </w:rPr>
        <w:t>-∆</w:t>
      </w:r>
      <w:proofErr w:type="spellStart"/>
      <w:r w:rsidRPr="002E2583">
        <w:rPr>
          <w:rFonts w:ascii="Arial" w:hAnsi="Arial" w:cs="Arial"/>
          <w:sz w:val="22"/>
          <w:szCs w:val="22"/>
          <w:vertAlign w:val="superscript"/>
        </w:rPr>
        <w:t>Cq</w:t>
      </w:r>
      <w:proofErr w:type="spellEnd"/>
      <w:r w:rsidRPr="002E2583">
        <w:rPr>
          <w:rFonts w:ascii="Arial" w:hAnsi="Arial" w:cs="Arial"/>
          <w:sz w:val="22"/>
          <w:szCs w:val="22"/>
        </w:rPr>
        <w:t xml:space="preserve"> and these </w:t>
      </w:r>
      <w:proofErr w:type="spellStart"/>
      <w:r w:rsidRPr="002E2583">
        <w:rPr>
          <w:rFonts w:ascii="Arial" w:hAnsi="Arial" w:cs="Arial"/>
          <w:sz w:val="22"/>
          <w:szCs w:val="22"/>
        </w:rPr>
        <w:t>exponentiated</w:t>
      </w:r>
      <w:proofErr w:type="spellEnd"/>
      <w:r w:rsidRPr="002E25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2583">
        <w:rPr>
          <w:rFonts w:ascii="Arial" w:hAnsi="Arial" w:cs="Arial"/>
          <w:sz w:val="22"/>
          <w:szCs w:val="22"/>
        </w:rPr>
        <w:t>Cq</w:t>
      </w:r>
      <w:proofErr w:type="spellEnd"/>
      <w:r w:rsidRPr="002E2583">
        <w:rPr>
          <w:rFonts w:ascii="Arial" w:hAnsi="Arial" w:cs="Arial"/>
          <w:sz w:val="22"/>
          <w:szCs w:val="22"/>
        </w:rPr>
        <w:t xml:space="preserve"> values were compared using a paired Student’s t-test to determine whether the expression of the reference gene is significantly upregulated or downregulated in response to differentiation or MGS treatment (column B) </w:t>
      </w:r>
      <w:r w:rsidRPr="002E2583">
        <w:rPr>
          <w:rFonts w:ascii="Arial" w:hAnsi="Arial" w:cs="Arial"/>
          <w:noProof/>
          <w:sz w:val="22"/>
          <w:szCs w:val="22"/>
        </w:rPr>
        <w:t>[1]</w:t>
      </w:r>
      <w:r w:rsidRPr="002E2583">
        <w:rPr>
          <w:rFonts w:ascii="Arial" w:hAnsi="Arial" w:cs="Arial"/>
          <w:sz w:val="22"/>
          <w:szCs w:val="22"/>
        </w:rPr>
        <w:t xml:space="preserve">. </w:t>
      </w:r>
    </w:p>
    <w:p w14:paraId="1A036531" w14:textId="77777777" w:rsidR="00D306EC" w:rsidRPr="002E2583" w:rsidRDefault="00D306EC" w:rsidP="004527E3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0F4DD6CE" w14:textId="77777777" w:rsidR="00D306EC" w:rsidRPr="002E2583" w:rsidRDefault="00D306EC" w:rsidP="004527E3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2E2583">
        <w:rPr>
          <w:rFonts w:ascii="Arial" w:hAnsi="Arial" w:cs="Arial"/>
          <w:sz w:val="22"/>
          <w:szCs w:val="22"/>
        </w:rPr>
        <w:t xml:space="preserve">Secondly, we used the </w:t>
      </w:r>
      <w:proofErr w:type="spellStart"/>
      <w:r w:rsidRPr="002E2583">
        <w:rPr>
          <w:rFonts w:ascii="Arial" w:hAnsi="Arial" w:cs="Arial"/>
          <w:sz w:val="22"/>
          <w:szCs w:val="22"/>
        </w:rPr>
        <w:t>geNorm</w:t>
      </w:r>
      <w:proofErr w:type="spellEnd"/>
      <w:r w:rsidRPr="002E2583">
        <w:rPr>
          <w:rFonts w:ascii="Arial" w:hAnsi="Arial" w:cs="Arial"/>
          <w:sz w:val="22"/>
          <w:szCs w:val="22"/>
        </w:rPr>
        <w:t xml:space="preserve"> algorithm </w:t>
      </w:r>
      <w:r w:rsidRPr="002E2583">
        <w:rPr>
          <w:rFonts w:ascii="Arial" w:hAnsi="Arial" w:cs="Arial"/>
          <w:noProof/>
          <w:color w:val="000000"/>
          <w:sz w:val="22"/>
          <w:szCs w:val="22"/>
        </w:rPr>
        <w:t>[2]</w:t>
      </w:r>
      <w:r w:rsidRPr="002E25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2583">
        <w:rPr>
          <w:rFonts w:ascii="Arial" w:hAnsi="Arial" w:cs="Arial"/>
          <w:sz w:val="22"/>
          <w:szCs w:val="22"/>
        </w:rPr>
        <w:t xml:space="preserve">implemented in the </w:t>
      </w:r>
      <w:proofErr w:type="spellStart"/>
      <w:r w:rsidRPr="002E2583">
        <w:rPr>
          <w:rFonts w:ascii="Arial" w:hAnsi="Arial" w:cs="Arial"/>
          <w:sz w:val="22"/>
          <w:szCs w:val="22"/>
        </w:rPr>
        <w:t>NormqPCR</w:t>
      </w:r>
      <w:proofErr w:type="spellEnd"/>
      <w:r w:rsidRPr="002E2583">
        <w:rPr>
          <w:rFonts w:ascii="Arial" w:hAnsi="Arial" w:cs="Arial"/>
          <w:sz w:val="22"/>
          <w:szCs w:val="22"/>
        </w:rPr>
        <w:t xml:space="preserve"> R package to calculate </w:t>
      </w:r>
      <w:r w:rsidR="005A7BC7" w:rsidRPr="002E2583">
        <w:rPr>
          <w:rFonts w:ascii="Arial" w:hAnsi="Arial" w:cs="Arial"/>
          <w:sz w:val="22"/>
          <w:szCs w:val="22"/>
        </w:rPr>
        <w:t>an expression stability value (m</w:t>
      </w:r>
      <w:r w:rsidRPr="002E2583">
        <w:rPr>
          <w:rFonts w:ascii="Arial" w:hAnsi="Arial" w:cs="Arial"/>
          <w:sz w:val="22"/>
          <w:szCs w:val="22"/>
        </w:rPr>
        <w:t>) for each gene, which represents the average pairwise variation of each individual reference gene with all other reference genes (column C). Reference genes with the lowest</w:t>
      </w:r>
      <w:r w:rsidR="005A7BC7" w:rsidRPr="002E2583">
        <w:rPr>
          <w:rFonts w:ascii="Arial" w:hAnsi="Arial" w:cs="Arial"/>
          <w:sz w:val="22"/>
          <w:szCs w:val="22"/>
        </w:rPr>
        <w:t xml:space="preserve"> m</w:t>
      </w:r>
      <w:r w:rsidRPr="002E2583">
        <w:rPr>
          <w:rFonts w:ascii="Arial" w:hAnsi="Arial" w:cs="Arial"/>
          <w:sz w:val="22"/>
          <w:szCs w:val="22"/>
        </w:rPr>
        <w:t xml:space="preserve"> value are the most stable and the suggested threshold for stability </w:t>
      </w:r>
      <w:r w:rsidR="005A7BC7" w:rsidRPr="002E2583">
        <w:rPr>
          <w:rFonts w:ascii="Arial" w:hAnsi="Arial" w:cs="Arial"/>
          <w:sz w:val="22"/>
          <w:szCs w:val="22"/>
        </w:rPr>
        <w:t>is m</w:t>
      </w:r>
      <w:r w:rsidRPr="002E2583">
        <w:rPr>
          <w:rFonts w:ascii="Arial" w:hAnsi="Arial" w:cs="Arial"/>
          <w:sz w:val="22"/>
          <w:szCs w:val="22"/>
        </w:rPr>
        <w:t>&lt;0.5.</w:t>
      </w:r>
    </w:p>
    <w:p w14:paraId="383653AF" w14:textId="77777777" w:rsidR="00D306EC" w:rsidRPr="002E2583" w:rsidRDefault="00D306EC" w:rsidP="004527E3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173538EB" w14:textId="77777777" w:rsidR="00D306EC" w:rsidRPr="002E2583" w:rsidRDefault="00D306EC" w:rsidP="004527E3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2E2583">
        <w:rPr>
          <w:rFonts w:ascii="Arial" w:hAnsi="Arial" w:cs="Arial"/>
          <w:sz w:val="22"/>
          <w:szCs w:val="22"/>
        </w:rPr>
        <w:t xml:space="preserve">Thirdly, we used the </w:t>
      </w:r>
      <w:proofErr w:type="spellStart"/>
      <w:r w:rsidRPr="002E2583">
        <w:rPr>
          <w:rFonts w:ascii="Arial" w:hAnsi="Arial" w:cs="Arial"/>
          <w:sz w:val="22"/>
          <w:szCs w:val="22"/>
        </w:rPr>
        <w:t>Bestkeeper</w:t>
      </w:r>
      <w:proofErr w:type="spellEnd"/>
      <w:r w:rsidRPr="002E2583">
        <w:rPr>
          <w:rFonts w:ascii="Arial" w:hAnsi="Arial" w:cs="Arial"/>
          <w:sz w:val="22"/>
          <w:szCs w:val="22"/>
        </w:rPr>
        <w:t xml:space="preserve"> algorithm which uses a variety of metrics to evaluate expression stability </w:t>
      </w:r>
      <w:r w:rsidRPr="002E2583">
        <w:rPr>
          <w:rFonts w:ascii="Arial" w:hAnsi="Arial" w:cs="Arial"/>
          <w:noProof/>
          <w:sz w:val="22"/>
          <w:szCs w:val="22"/>
        </w:rPr>
        <w:t>[3]</w:t>
      </w:r>
      <w:r w:rsidRPr="002E2583">
        <w:rPr>
          <w:rFonts w:ascii="Arial" w:hAnsi="Arial" w:cs="Arial"/>
          <w:sz w:val="22"/>
          <w:szCs w:val="22"/>
        </w:rPr>
        <w:t>. Column D presents the standard deviation (SD) and coefficient of variation (CV) values which are low for genes with high expression stability. The suggested threshold for stability is SD&lt;1.</w:t>
      </w:r>
    </w:p>
    <w:p w14:paraId="6FD548C3" w14:textId="77777777" w:rsidR="00D306EC" w:rsidRPr="002E2583" w:rsidRDefault="00D306EC" w:rsidP="004527E3">
      <w:pPr>
        <w:jc w:val="both"/>
        <w:rPr>
          <w:rFonts w:ascii="Arial" w:hAnsi="Arial" w:cs="Arial"/>
          <w:sz w:val="22"/>
          <w:szCs w:val="22"/>
        </w:rPr>
      </w:pPr>
    </w:p>
    <w:p w14:paraId="64556649" w14:textId="77777777" w:rsidR="007631F3" w:rsidRPr="002E2583" w:rsidRDefault="00D306EC" w:rsidP="004527E3">
      <w:pPr>
        <w:jc w:val="both"/>
        <w:rPr>
          <w:rFonts w:ascii="Arial" w:hAnsi="Arial" w:cs="Arial"/>
          <w:sz w:val="22"/>
          <w:szCs w:val="22"/>
        </w:rPr>
      </w:pPr>
      <w:r w:rsidRPr="002E2583">
        <w:rPr>
          <w:rFonts w:ascii="Arial" w:hAnsi="Arial" w:cs="Arial"/>
          <w:sz w:val="22"/>
          <w:szCs w:val="22"/>
        </w:rPr>
        <w:t>The reference genes selected for each comp</w:t>
      </w:r>
      <w:r w:rsidR="00B674B7" w:rsidRPr="002E2583">
        <w:rPr>
          <w:rFonts w:ascii="Arial" w:hAnsi="Arial" w:cs="Arial"/>
          <w:sz w:val="22"/>
          <w:szCs w:val="22"/>
        </w:rPr>
        <w:t>arison are indicated in bold (</w:t>
      </w:r>
      <w:r w:rsidRPr="002E2583">
        <w:rPr>
          <w:rFonts w:ascii="Arial" w:hAnsi="Arial" w:cs="Arial"/>
          <w:sz w:val="22"/>
          <w:szCs w:val="22"/>
        </w:rPr>
        <w:t>supplementary table 1</w:t>
      </w:r>
      <w:r w:rsidR="00B674B7" w:rsidRPr="002E2583">
        <w:rPr>
          <w:rFonts w:ascii="Arial" w:hAnsi="Arial" w:cs="Arial"/>
          <w:sz w:val="22"/>
          <w:szCs w:val="22"/>
        </w:rPr>
        <w:t>) and boxes (supplementary figure 1)</w:t>
      </w:r>
      <w:r w:rsidRPr="002E2583">
        <w:rPr>
          <w:rFonts w:ascii="Arial" w:hAnsi="Arial" w:cs="Arial"/>
          <w:sz w:val="22"/>
          <w:szCs w:val="22"/>
        </w:rPr>
        <w:t xml:space="preserve">. </w:t>
      </w:r>
      <w:r w:rsidRPr="002E2583">
        <w:rPr>
          <w:rFonts w:ascii="Arial" w:hAnsi="Arial" w:cs="Arial"/>
          <w:i/>
          <w:sz w:val="22"/>
          <w:szCs w:val="22"/>
        </w:rPr>
        <w:t>GUSB</w:t>
      </w:r>
      <w:r w:rsidRPr="002E2583">
        <w:rPr>
          <w:rFonts w:ascii="Arial" w:hAnsi="Arial" w:cs="Arial"/>
          <w:sz w:val="22"/>
          <w:szCs w:val="22"/>
        </w:rPr>
        <w:t xml:space="preserve"> </w:t>
      </w:r>
      <w:r w:rsidR="004C4BB5" w:rsidRPr="002E2583">
        <w:rPr>
          <w:rFonts w:ascii="Arial" w:hAnsi="Arial" w:cs="Arial"/>
          <w:sz w:val="22"/>
          <w:szCs w:val="22"/>
        </w:rPr>
        <w:t xml:space="preserve">and </w:t>
      </w:r>
      <w:r w:rsidR="004C4BB5" w:rsidRPr="002E2583">
        <w:rPr>
          <w:rFonts w:ascii="Arial" w:hAnsi="Arial" w:cs="Arial"/>
          <w:i/>
          <w:sz w:val="22"/>
          <w:szCs w:val="22"/>
        </w:rPr>
        <w:t>TFRC</w:t>
      </w:r>
      <w:r w:rsidR="004C4BB5" w:rsidRPr="002E2583">
        <w:rPr>
          <w:rFonts w:ascii="Arial" w:hAnsi="Arial" w:cs="Arial"/>
          <w:sz w:val="22"/>
          <w:szCs w:val="22"/>
        </w:rPr>
        <w:t xml:space="preserve"> </w:t>
      </w:r>
      <w:r w:rsidRPr="002E2583">
        <w:rPr>
          <w:rFonts w:ascii="Arial" w:hAnsi="Arial" w:cs="Arial"/>
          <w:sz w:val="22"/>
          <w:szCs w:val="22"/>
        </w:rPr>
        <w:t>w</w:t>
      </w:r>
      <w:r w:rsidR="004C4BB5" w:rsidRPr="002E2583">
        <w:rPr>
          <w:rFonts w:ascii="Arial" w:hAnsi="Arial" w:cs="Arial"/>
          <w:sz w:val="22"/>
          <w:szCs w:val="22"/>
        </w:rPr>
        <w:t>ere</w:t>
      </w:r>
      <w:r w:rsidRPr="002E2583">
        <w:rPr>
          <w:rFonts w:ascii="Arial" w:hAnsi="Arial" w:cs="Arial"/>
          <w:sz w:val="22"/>
          <w:szCs w:val="22"/>
        </w:rPr>
        <w:t xml:space="preserve"> selected to compare target gene expression levels between early and late untreated myocytes. </w:t>
      </w:r>
      <w:r w:rsidRPr="002E2583">
        <w:rPr>
          <w:rFonts w:ascii="Arial" w:hAnsi="Arial" w:cs="Arial"/>
          <w:i/>
          <w:sz w:val="22"/>
          <w:szCs w:val="22"/>
        </w:rPr>
        <w:t>RPLP</w:t>
      </w:r>
      <w:r w:rsidR="00BC238F" w:rsidRPr="002E2583">
        <w:rPr>
          <w:rFonts w:ascii="Arial" w:hAnsi="Arial" w:cs="Arial"/>
          <w:i/>
          <w:sz w:val="22"/>
          <w:szCs w:val="22"/>
        </w:rPr>
        <w:t>0</w:t>
      </w:r>
      <w:r w:rsidRPr="002E2583">
        <w:rPr>
          <w:rFonts w:ascii="Arial" w:hAnsi="Arial" w:cs="Arial"/>
          <w:sz w:val="22"/>
          <w:szCs w:val="22"/>
        </w:rPr>
        <w:t xml:space="preserve"> </w:t>
      </w:r>
      <w:r w:rsidR="00995770" w:rsidRPr="002E2583">
        <w:rPr>
          <w:rFonts w:ascii="Arial" w:hAnsi="Arial" w:cs="Arial"/>
          <w:sz w:val="22"/>
          <w:szCs w:val="22"/>
        </w:rPr>
        <w:t xml:space="preserve">and </w:t>
      </w:r>
      <w:r w:rsidR="00995770" w:rsidRPr="002E2583">
        <w:rPr>
          <w:rFonts w:ascii="Arial" w:hAnsi="Arial" w:cs="Arial"/>
          <w:i/>
          <w:sz w:val="22"/>
          <w:szCs w:val="22"/>
        </w:rPr>
        <w:t>B2M</w:t>
      </w:r>
      <w:r w:rsidR="00995770" w:rsidRPr="002E2583">
        <w:rPr>
          <w:rFonts w:ascii="Arial" w:hAnsi="Arial" w:cs="Arial"/>
          <w:sz w:val="22"/>
          <w:szCs w:val="22"/>
        </w:rPr>
        <w:t xml:space="preserve"> </w:t>
      </w:r>
      <w:r w:rsidRPr="002E2583">
        <w:rPr>
          <w:rFonts w:ascii="Arial" w:hAnsi="Arial" w:cs="Arial"/>
          <w:sz w:val="22"/>
          <w:szCs w:val="22"/>
        </w:rPr>
        <w:t>w</w:t>
      </w:r>
      <w:r w:rsidR="00995770" w:rsidRPr="002E2583">
        <w:rPr>
          <w:rFonts w:ascii="Arial" w:hAnsi="Arial" w:cs="Arial"/>
          <w:sz w:val="22"/>
          <w:szCs w:val="22"/>
        </w:rPr>
        <w:t>ere</w:t>
      </w:r>
      <w:r w:rsidRPr="002E2583">
        <w:rPr>
          <w:rFonts w:ascii="Arial" w:hAnsi="Arial" w:cs="Arial"/>
          <w:sz w:val="22"/>
          <w:szCs w:val="22"/>
        </w:rPr>
        <w:t xml:space="preserve"> selected to compare target gene expression levels between early untreated and MGS treated myocytes while </w:t>
      </w:r>
      <w:r w:rsidRPr="002E2583">
        <w:rPr>
          <w:rFonts w:ascii="Arial" w:hAnsi="Arial" w:cs="Arial"/>
          <w:i/>
          <w:sz w:val="22"/>
          <w:szCs w:val="22"/>
        </w:rPr>
        <w:t>AP3D1</w:t>
      </w:r>
      <w:r w:rsidRPr="002E2583">
        <w:rPr>
          <w:rFonts w:ascii="Arial" w:hAnsi="Arial" w:cs="Arial"/>
          <w:sz w:val="22"/>
          <w:szCs w:val="22"/>
        </w:rPr>
        <w:t xml:space="preserve"> </w:t>
      </w:r>
      <w:r w:rsidR="00995770" w:rsidRPr="002E2583">
        <w:rPr>
          <w:rFonts w:ascii="Arial" w:hAnsi="Arial" w:cs="Arial"/>
          <w:sz w:val="22"/>
          <w:szCs w:val="22"/>
        </w:rPr>
        <w:t xml:space="preserve">and </w:t>
      </w:r>
      <w:r w:rsidR="00995770" w:rsidRPr="002E2583">
        <w:rPr>
          <w:rFonts w:ascii="Arial" w:hAnsi="Arial" w:cs="Arial"/>
          <w:i/>
          <w:sz w:val="22"/>
          <w:szCs w:val="22"/>
        </w:rPr>
        <w:t>CSNK2A2</w:t>
      </w:r>
      <w:r w:rsidR="00995770" w:rsidRPr="002E2583">
        <w:rPr>
          <w:rFonts w:ascii="Arial" w:hAnsi="Arial" w:cs="Arial"/>
          <w:sz w:val="22"/>
          <w:szCs w:val="22"/>
        </w:rPr>
        <w:t xml:space="preserve"> </w:t>
      </w:r>
      <w:r w:rsidRPr="002E2583">
        <w:rPr>
          <w:rFonts w:ascii="Arial" w:hAnsi="Arial" w:cs="Arial"/>
          <w:sz w:val="22"/>
          <w:szCs w:val="22"/>
        </w:rPr>
        <w:t>w</w:t>
      </w:r>
      <w:r w:rsidR="00995770" w:rsidRPr="002E2583">
        <w:rPr>
          <w:rFonts w:ascii="Arial" w:hAnsi="Arial" w:cs="Arial"/>
          <w:sz w:val="22"/>
          <w:szCs w:val="22"/>
        </w:rPr>
        <w:t>ere</w:t>
      </w:r>
      <w:r w:rsidRPr="002E2583">
        <w:rPr>
          <w:rFonts w:ascii="Arial" w:hAnsi="Arial" w:cs="Arial"/>
          <w:sz w:val="22"/>
          <w:szCs w:val="22"/>
        </w:rPr>
        <w:t xml:space="preserve"> selected to compare target gene expression levels between late untreated and MGS treated myocytes.</w:t>
      </w:r>
    </w:p>
    <w:p w14:paraId="3B41EBB1" w14:textId="354B9635" w:rsidR="005F2F91" w:rsidRDefault="005F2F91" w:rsidP="00612A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CE2C52" w14:textId="1387210E" w:rsidR="007A7A43" w:rsidRDefault="007A7A43" w:rsidP="00612A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0BD2B4" w14:textId="5A9F1B35" w:rsidR="007A7A43" w:rsidRDefault="007A7A43" w:rsidP="00612A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E39599" w14:textId="49EEE426" w:rsidR="007A7A43" w:rsidRDefault="007A7A43" w:rsidP="00612A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B37046" w14:textId="3AE731E7" w:rsidR="007A7A43" w:rsidRDefault="007A7A43" w:rsidP="00612A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724A27" w14:textId="05938ED7" w:rsidR="007A7A43" w:rsidRDefault="007A7A43" w:rsidP="00612A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DB8B53" w14:textId="697CB1FC" w:rsidR="007A7A43" w:rsidRDefault="007A7A43" w:rsidP="00612A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C511A5" w14:textId="7642E5DE" w:rsidR="007A7A43" w:rsidRDefault="007A7A43" w:rsidP="00612A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796A75" w14:textId="6FF61199" w:rsidR="007A7A43" w:rsidRDefault="007A7A43" w:rsidP="00612A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0E079A" w14:textId="0B4683E1" w:rsidR="007A7A43" w:rsidRDefault="007A7A43" w:rsidP="00612A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3DF58E" w14:textId="0301FF83" w:rsidR="007A7A43" w:rsidRDefault="007A7A43" w:rsidP="00612A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ECDA02" w14:textId="77777777" w:rsidR="00BB0E18" w:rsidRDefault="00BB0E18" w:rsidP="00612A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468A04" w14:textId="77777777" w:rsidR="00203907" w:rsidRDefault="00203907" w:rsidP="0020390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5ECCB9" w14:textId="77777777" w:rsidR="00203907" w:rsidRDefault="00203907" w:rsidP="0020390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606B5BF" w14:textId="77777777" w:rsidR="00203907" w:rsidRDefault="00203907" w:rsidP="0020390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71C219E" w14:textId="77777777" w:rsidR="00203907" w:rsidRDefault="00203907" w:rsidP="0020390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D5BF860" w14:textId="77777777" w:rsidR="00203907" w:rsidRDefault="00203907" w:rsidP="0020390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DE10E6" w14:textId="6D983A5E" w:rsidR="00EE252A" w:rsidRDefault="0015498C" w:rsidP="0020390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T</w:t>
      </w:r>
      <w:r w:rsidR="001F0577" w:rsidRPr="007A7A43">
        <w:rPr>
          <w:rFonts w:ascii="Arial" w:hAnsi="Arial" w:cs="Arial"/>
          <w:b/>
          <w:color w:val="000000"/>
          <w:sz w:val="22"/>
          <w:szCs w:val="22"/>
        </w:rPr>
        <w:t xml:space="preserve">able </w:t>
      </w:r>
      <w:r w:rsidRPr="007A7A43">
        <w:rPr>
          <w:rFonts w:ascii="Arial" w:hAnsi="Arial" w:cs="Arial"/>
          <w:b/>
          <w:color w:val="000000"/>
          <w:sz w:val="22"/>
          <w:szCs w:val="22"/>
        </w:rPr>
        <w:t>S</w:t>
      </w:r>
      <w:r w:rsidR="001F0577" w:rsidRPr="007A7A43">
        <w:rPr>
          <w:rFonts w:ascii="Arial" w:hAnsi="Arial" w:cs="Arial"/>
          <w:b/>
          <w:color w:val="000000"/>
          <w:sz w:val="22"/>
          <w:szCs w:val="22"/>
        </w:rPr>
        <w:t>1.</w:t>
      </w:r>
      <w:r w:rsidR="001F0577" w:rsidRPr="002E2583">
        <w:rPr>
          <w:rFonts w:ascii="Arial" w:hAnsi="Arial" w:cs="Arial"/>
          <w:color w:val="000000"/>
          <w:sz w:val="22"/>
          <w:szCs w:val="22"/>
        </w:rPr>
        <w:t xml:space="preserve"> Summary of algorithms used to assess reference gene expression stability in </w:t>
      </w:r>
      <w:r w:rsidR="00B42C7A" w:rsidRPr="002E2583">
        <w:rPr>
          <w:rFonts w:ascii="Arial" w:hAnsi="Arial" w:cs="Arial"/>
          <w:color w:val="000000"/>
          <w:sz w:val="22"/>
          <w:szCs w:val="22"/>
        </w:rPr>
        <w:t>myocytes.</w:t>
      </w:r>
      <w:r w:rsidR="008439D9" w:rsidRPr="002E2583">
        <w:rPr>
          <w:rFonts w:ascii="Arial" w:hAnsi="Arial" w:cs="Arial"/>
          <w:color w:val="000000"/>
          <w:sz w:val="22"/>
          <w:szCs w:val="22"/>
        </w:rPr>
        <w:t xml:space="preserve"> (I) untreated myocytes at early and late differentiation time points, (II) early untreated and </w:t>
      </w:r>
      <w:r w:rsidR="00586D9E" w:rsidRPr="002E2583">
        <w:rPr>
          <w:rFonts w:ascii="Arial" w:hAnsi="Arial" w:cs="Arial"/>
          <w:color w:val="000000"/>
          <w:sz w:val="22"/>
          <w:szCs w:val="22"/>
        </w:rPr>
        <w:t>MG sera (</w:t>
      </w:r>
      <w:r w:rsidR="008439D9" w:rsidRPr="002E2583">
        <w:rPr>
          <w:rFonts w:ascii="Arial" w:hAnsi="Arial" w:cs="Arial"/>
          <w:color w:val="000000"/>
          <w:sz w:val="22"/>
          <w:szCs w:val="22"/>
        </w:rPr>
        <w:t>MGS</w:t>
      </w:r>
      <w:r w:rsidR="00586D9E" w:rsidRPr="002E2583">
        <w:rPr>
          <w:rFonts w:ascii="Arial" w:hAnsi="Arial" w:cs="Arial"/>
          <w:color w:val="000000"/>
          <w:sz w:val="22"/>
          <w:szCs w:val="22"/>
        </w:rPr>
        <w:t>)</w:t>
      </w:r>
      <w:r w:rsidR="008439D9" w:rsidRPr="002E2583">
        <w:rPr>
          <w:rFonts w:ascii="Arial" w:hAnsi="Arial" w:cs="Arial"/>
          <w:color w:val="000000"/>
          <w:sz w:val="22"/>
          <w:szCs w:val="22"/>
        </w:rPr>
        <w:t xml:space="preserve"> treated myocytes and (III) late untreated and MGS treated myocytes.</w:t>
      </w:r>
    </w:p>
    <w:p w14:paraId="5AF07D48" w14:textId="77777777" w:rsidR="004527E3" w:rsidRPr="002E2583" w:rsidRDefault="004527E3" w:rsidP="00612A5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3544"/>
        <w:gridCol w:w="2551"/>
        <w:gridCol w:w="1134"/>
        <w:gridCol w:w="1411"/>
      </w:tblGrid>
      <w:tr w:rsidR="001F0577" w:rsidRPr="002E2583" w14:paraId="6412A9ED" w14:textId="77777777" w:rsidTr="008C3537">
        <w:trPr>
          <w:jc w:val="center"/>
        </w:trPr>
        <w:tc>
          <w:tcPr>
            <w:tcW w:w="9913" w:type="dxa"/>
            <w:gridSpan w:val="5"/>
            <w:shd w:val="clear" w:color="auto" w:fill="auto"/>
            <w:vAlign w:val="center"/>
          </w:tcPr>
          <w:p w14:paraId="06BEE2E2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(I) Assessing the impact of differentiation on reference gene stability</w:t>
            </w:r>
          </w:p>
        </w:tc>
      </w:tr>
      <w:tr w:rsidR="00B86A39" w:rsidRPr="002E2583" w14:paraId="71C8E842" w14:textId="77777777" w:rsidTr="008C3537">
        <w:trPr>
          <w:trHeight w:val="759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3B0DE149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Reference Gene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886E7C" w14:textId="77777777" w:rsidR="00705C58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Fold = 2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-∆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Cq</w:t>
            </w:r>
            <w:proofErr w:type="spellEnd"/>
          </w:p>
          <w:p w14:paraId="73035107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(∆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=5 days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Cq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ref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- 48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Cq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ref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61486C68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avg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fold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all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avg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fold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control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 MG </w:t>
            </w:r>
            <w:r w:rsidR="00705C58"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="00705C58"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avg</w:t>
            </w:r>
            <w:proofErr w:type="spellEnd"/>
            <w:r w:rsidR="00705C58"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fold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OP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-MG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3273BD28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2C662C" w14:textId="77777777" w:rsidR="001F0577" w:rsidRPr="002E2583" w:rsidRDefault="00705C58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B. </w:t>
            </w:r>
            <w:r w:rsidR="001F0577"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 value (paired t test)</w:t>
            </w:r>
            <w:r w:rsidR="00EF25D1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[</w:t>
            </w:r>
            <w:r w:rsidR="001F0577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="00EF25D1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]</w:t>
            </w:r>
          </w:p>
          <w:p w14:paraId="4B587A21" w14:textId="77777777" w:rsidR="00C647A5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days 2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-Cq (reference gene) </w:t>
            </w:r>
            <w:r w:rsidR="00C647A5"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vs</w:t>
            </w:r>
          </w:p>
          <w:p w14:paraId="1C521D28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-Cq (reference gene)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540D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geNorm</w:t>
            </w:r>
            <w:proofErr w:type="spellEnd"/>
            <w:r w:rsidR="00EF25D1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[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F25D1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]</w:t>
            </w:r>
          </w:p>
          <w:p w14:paraId="3705C350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 value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3229EEA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D.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Bestkeeper</w:t>
            </w:r>
            <w:proofErr w:type="spellEnd"/>
            <w:r w:rsidR="00EF25D1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[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="00EF25D1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]</w:t>
            </w:r>
          </w:p>
          <w:p w14:paraId="12376275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 ; CV</w:t>
            </w:r>
          </w:p>
        </w:tc>
      </w:tr>
      <w:tr w:rsidR="00B86A39" w:rsidRPr="002E2583" w14:paraId="02BBB230" w14:textId="77777777" w:rsidTr="008C3537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4383304D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TFRC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E0CB6C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1.21 (1.39 ; 1.11)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E8B2B8" w14:textId="77777777" w:rsidR="001F0577" w:rsidRPr="002E2583" w:rsidRDefault="001F0577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0,177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1D176F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518C7F3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0.29 ; 1.33</w:t>
            </w:r>
          </w:p>
        </w:tc>
      </w:tr>
      <w:tr w:rsidR="00B86A39" w:rsidRPr="002E2583" w14:paraId="0D75D8B7" w14:textId="77777777" w:rsidTr="008C3537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75AF870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HPRT1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DCA642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 (0.59 ; 0.51)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E32D15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&lt;1x10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5692E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FE0C86E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 ; 2.01</w:t>
            </w:r>
          </w:p>
        </w:tc>
      </w:tr>
      <w:tr w:rsidR="00B86A39" w:rsidRPr="002E2583" w14:paraId="1B897538" w14:textId="77777777" w:rsidTr="008C3537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7D079328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B2M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A56BF4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1.93 (1.94 ; 1.92)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2B4463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&lt;1x10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EB4E27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0.759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721ECE2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 ; 2.69</w:t>
            </w:r>
          </w:p>
        </w:tc>
      </w:tr>
      <w:tr w:rsidR="00B86A39" w:rsidRPr="002E2583" w14:paraId="6D4F574B" w14:textId="77777777" w:rsidTr="008C3537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03629407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PPIA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D58A3C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 (0.66 ; 0.56)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251AC1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03ACC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5C9867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 ; 1.91</w:t>
            </w:r>
          </w:p>
        </w:tc>
      </w:tr>
      <w:tr w:rsidR="00B86A39" w:rsidRPr="002E2583" w14:paraId="00C3AE53" w14:textId="77777777" w:rsidTr="008C3537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17D4DB13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ACTB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E52112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 (0.56 ; 0.51)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32A016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&lt;1x10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418BA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6A55BE8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 ; 3.00</w:t>
            </w:r>
          </w:p>
        </w:tc>
      </w:tr>
      <w:tr w:rsidR="00B86A39" w:rsidRPr="002E2583" w14:paraId="1133B22E" w14:textId="77777777" w:rsidTr="008C3537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6E034DDD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GUSB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CEFB78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0.96 (1.01 ; 0.92)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91E411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71FDE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0.434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BE4A43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0.29 ; 1.15</w:t>
            </w:r>
          </w:p>
        </w:tc>
      </w:tr>
      <w:tr w:rsidR="00B86A39" w:rsidRPr="002E2583" w14:paraId="7CCD75A4" w14:textId="77777777" w:rsidTr="008C3537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07473DE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RPLP</w:t>
            </w:r>
            <w:r w:rsidR="00BC238F"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1F247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C760C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92AF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152B3EE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B86A39" w:rsidRPr="002E2583" w14:paraId="2F956DC6" w14:textId="77777777" w:rsidTr="008C3537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71272004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TBP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043B02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 (0.88 ; 0.66)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587174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52BAE" w14:textId="77777777" w:rsidR="001F0577" w:rsidRPr="002E2583" w:rsidRDefault="001F0577" w:rsidP="00612A54">
            <w:pPr>
              <w:tabs>
                <w:tab w:val="left" w:pos="480"/>
              </w:tabs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B69A96C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 ; 1.57</w:t>
            </w:r>
          </w:p>
        </w:tc>
      </w:tr>
      <w:tr w:rsidR="00B86A39" w:rsidRPr="002E2583" w14:paraId="2266377C" w14:textId="77777777" w:rsidTr="008C3537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12A12118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CSNK2A2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7F593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 (1.01 ; 0.83)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8EF92A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973BD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0.416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9D9C4F8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 ; 1.21</w:t>
            </w:r>
          </w:p>
        </w:tc>
      </w:tr>
      <w:tr w:rsidR="00B86A39" w:rsidRPr="002E2583" w14:paraId="35EF2DA9" w14:textId="77777777" w:rsidTr="008C3537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466B5E46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AP3D1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0C6F2F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 (0.99 ; 0.81)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122A0E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E4159C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0.386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81DAFD4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 ; 1.26</w:t>
            </w:r>
          </w:p>
        </w:tc>
      </w:tr>
    </w:tbl>
    <w:p w14:paraId="659BC185" w14:textId="77777777" w:rsidR="005F2F91" w:rsidRPr="002E2583" w:rsidRDefault="005F2F91" w:rsidP="00EE252A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9"/>
        <w:gridCol w:w="3600"/>
        <w:gridCol w:w="2551"/>
        <w:gridCol w:w="1134"/>
        <w:gridCol w:w="1418"/>
      </w:tblGrid>
      <w:tr w:rsidR="00C647A5" w:rsidRPr="002E2583" w14:paraId="66CDFA64" w14:textId="77777777" w:rsidTr="008C3537">
        <w:tc>
          <w:tcPr>
            <w:tcW w:w="9952" w:type="dxa"/>
            <w:gridSpan w:val="5"/>
            <w:shd w:val="clear" w:color="auto" w:fill="auto"/>
            <w:vAlign w:val="center"/>
          </w:tcPr>
          <w:p w14:paraId="3470CF50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(II) Assessing the impact of MGS treatment on reference gene stability in the early model (48 hours)</w:t>
            </w:r>
          </w:p>
        </w:tc>
      </w:tr>
      <w:tr w:rsidR="00B86A39" w:rsidRPr="002E2583" w14:paraId="0533E155" w14:textId="77777777" w:rsidTr="008C3537">
        <w:trPr>
          <w:trHeight w:val="759"/>
        </w:trPr>
        <w:tc>
          <w:tcPr>
            <w:tcW w:w="1249" w:type="dxa"/>
            <w:shd w:val="clear" w:color="auto" w:fill="auto"/>
            <w:vAlign w:val="center"/>
          </w:tcPr>
          <w:p w14:paraId="070BAF5D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Reference Gene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6533EE0" w14:textId="77777777" w:rsidR="00C647A5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Fold = 2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-∆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Cq</w:t>
            </w:r>
            <w:proofErr w:type="spellEnd"/>
          </w:p>
          <w:p w14:paraId="22A00B24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(∆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=MGS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Cq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ref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untreated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Cq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ref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30B2AA3A" w14:textId="1686CB55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avg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fold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all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avg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fold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control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 MG 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avg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fold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OP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-MG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394FE8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p value (paired t test)</w:t>
            </w:r>
            <w:r w:rsidR="005E376C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[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="005E376C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]</w:t>
            </w:r>
          </w:p>
          <w:p w14:paraId="1EBB5325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MGS 2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-Cq (reference gene) 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vs untreated 2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-Cq (reference gene)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18072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geNorm</w:t>
            </w:r>
            <w:proofErr w:type="spellEnd"/>
            <w:r w:rsidR="005E376C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[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5E376C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]</w:t>
            </w:r>
          </w:p>
          <w:p w14:paraId="04594C44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 value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CF7EAD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D.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Bestkeeper</w:t>
            </w:r>
            <w:proofErr w:type="spellEnd"/>
            <w:r w:rsidR="005E376C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[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="005E376C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]</w:t>
            </w:r>
          </w:p>
          <w:p w14:paraId="633BB8F8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 ; CV</w:t>
            </w:r>
          </w:p>
        </w:tc>
      </w:tr>
      <w:tr w:rsidR="00B86A39" w:rsidRPr="002E2583" w14:paraId="2596BDDC" w14:textId="77777777" w:rsidTr="008C3537">
        <w:tc>
          <w:tcPr>
            <w:tcW w:w="1249" w:type="dxa"/>
            <w:shd w:val="clear" w:color="auto" w:fill="auto"/>
            <w:vAlign w:val="center"/>
          </w:tcPr>
          <w:p w14:paraId="32582830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TFRC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B0A76A7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 (0.99 ; 0.86)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76CDDE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49862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6E688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 ; 1.35</w:t>
            </w:r>
          </w:p>
        </w:tc>
      </w:tr>
      <w:tr w:rsidR="00B86A39" w:rsidRPr="002E2583" w14:paraId="0878C7ED" w14:textId="77777777" w:rsidTr="008C3537">
        <w:tc>
          <w:tcPr>
            <w:tcW w:w="1249" w:type="dxa"/>
            <w:shd w:val="clear" w:color="auto" w:fill="auto"/>
            <w:vAlign w:val="center"/>
          </w:tcPr>
          <w:p w14:paraId="22FE5B38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HPRT1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2FE32F6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 (1.41 ; 1.22)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F5C303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7140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D8CE8D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 ; 1.18</w:t>
            </w:r>
          </w:p>
        </w:tc>
      </w:tr>
      <w:tr w:rsidR="00B86A39" w:rsidRPr="002E2583" w14:paraId="3B75B3BF" w14:textId="77777777" w:rsidTr="008C3537">
        <w:tc>
          <w:tcPr>
            <w:tcW w:w="1249" w:type="dxa"/>
            <w:shd w:val="clear" w:color="auto" w:fill="auto"/>
            <w:vAlign w:val="center"/>
          </w:tcPr>
          <w:p w14:paraId="1C9A7444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B2M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C6B0BC6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1.10 (1.15 ; 1.07)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AF982C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DC9E5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E71DFA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0.30 ; 1.62</w:t>
            </w:r>
          </w:p>
        </w:tc>
      </w:tr>
      <w:tr w:rsidR="00B86A39" w:rsidRPr="002E2583" w14:paraId="34F7CB98" w14:textId="77777777" w:rsidTr="008C3537">
        <w:tc>
          <w:tcPr>
            <w:tcW w:w="1249" w:type="dxa"/>
            <w:shd w:val="clear" w:color="auto" w:fill="auto"/>
            <w:vAlign w:val="center"/>
          </w:tcPr>
          <w:p w14:paraId="2D7D7B82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PPIA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1F7EAE4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(1.23 ; 1.07)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FAFD4D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44FF5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C53CE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 ; 1.47</w:t>
            </w:r>
          </w:p>
        </w:tc>
      </w:tr>
      <w:tr w:rsidR="00B86A39" w:rsidRPr="002E2583" w14:paraId="74EC46BE" w14:textId="77777777" w:rsidTr="008C3537">
        <w:tc>
          <w:tcPr>
            <w:tcW w:w="1249" w:type="dxa"/>
            <w:shd w:val="clear" w:color="auto" w:fill="auto"/>
            <w:vAlign w:val="center"/>
          </w:tcPr>
          <w:p w14:paraId="214A642E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ACTB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DF20A02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 (1.40 ; 1.29)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76CBA4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&lt;1x10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F0F0C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A1093E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 ; 2.16</w:t>
            </w:r>
          </w:p>
        </w:tc>
      </w:tr>
      <w:tr w:rsidR="00B86A39" w:rsidRPr="002E2583" w14:paraId="66631AF7" w14:textId="77777777" w:rsidTr="008C3537">
        <w:tc>
          <w:tcPr>
            <w:tcW w:w="1249" w:type="dxa"/>
            <w:shd w:val="clear" w:color="auto" w:fill="auto"/>
            <w:vAlign w:val="center"/>
          </w:tcPr>
          <w:p w14:paraId="2762E235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GUSB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78CD669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 (1.35 ; 1.18)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0A34BE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961226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430D54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 ; 1.36</w:t>
            </w:r>
          </w:p>
        </w:tc>
      </w:tr>
      <w:tr w:rsidR="00B86A39" w:rsidRPr="002E2583" w14:paraId="2C43E0E9" w14:textId="77777777" w:rsidTr="008C3537">
        <w:tc>
          <w:tcPr>
            <w:tcW w:w="1249" w:type="dxa"/>
            <w:shd w:val="clear" w:color="auto" w:fill="auto"/>
            <w:vAlign w:val="center"/>
          </w:tcPr>
          <w:p w14:paraId="030E7291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RPLP</w:t>
            </w:r>
            <w:r w:rsidR="00BC238F" w:rsidRPr="002E258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C4DC950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1.08 (1.14 ; 1.05)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30FB73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0.703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B3F27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225C82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0.25 ; 1.51</w:t>
            </w:r>
          </w:p>
        </w:tc>
      </w:tr>
      <w:tr w:rsidR="00B86A39" w:rsidRPr="002E2583" w14:paraId="3A96B48D" w14:textId="77777777" w:rsidTr="008C3537">
        <w:tc>
          <w:tcPr>
            <w:tcW w:w="1249" w:type="dxa"/>
            <w:shd w:val="clear" w:color="auto" w:fill="auto"/>
            <w:vAlign w:val="center"/>
          </w:tcPr>
          <w:p w14:paraId="431823E2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TBP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0257BC2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 (1.64 ; 1.17)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096F1D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85066" w14:textId="77777777" w:rsidR="001F0577" w:rsidRPr="002E2583" w:rsidRDefault="001F0577" w:rsidP="00612A54">
            <w:pPr>
              <w:tabs>
                <w:tab w:val="left" w:pos="480"/>
              </w:tabs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3140F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 ; 1.67</w:t>
            </w:r>
          </w:p>
        </w:tc>
      </w:tr>
      <w:tr w:rsidR="00B86A39" w:rsidRPr="002E2583" w14:paraId="59B6C279" w14:textId="77777777" w:rsidTr="008C3537">
        <w:tc>
          <w:tcPr>
            <w:tcW w:w="1249" w:type="dxa"/>
            <w:shd w:val="clear" w:color="auto" w:fill="auto"/>
            <w:vAlign w:val="center"/>
          </w:tcPr>
          <w:p w14:paraId="4299571F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CSNK2A2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FB00832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 (1.26 ; 1.18)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372806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07616C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312DCC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 ; 1.50</w:t>
            </w:r>
          </w:p>
        </w:tc>
      </w:tr>
      <w:tr w:rsidR="00B86A39" w:rsidRPr="002E2583" w14:paraId="0743EEF5" w14:textId="77777777" w:rsidTr="008C3537">
        <w:tc>
          <w:tcPr>
            <w:tcW w:w="1249" w:type="dxa"/>
            <w:shd w:val="clear" w:color="auto" w:fill="auto"/>
            <w:vAlign w:val="center"/>
          </w:tcPr>
          <w:p w14:paraId="534F9437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AP3D1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EF5F047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(1.17 ; 1.12)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0F95A8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D1AE8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2E1E0E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 ; 1.65</w:t>
            </w:r>
          </w:p>
        </w:tc>
      </w:tr>
    </w:tbl>
    <w:p w14:paraId="5432E7BF" w14:textId="77777777" w:rsidR="008413B4" w:rsidRPr="002E2583" w:rsidRDefault="008413B4" w:rsidP="00EE252A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965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3544"/>
        <w:gridCol w:w="2551"/>
        <w:gridCol w:w="1134"/>
        <w:gridCol w:w="1432"/>
      </w:tblGrid>
      <w:tr w:rsidR="008439D9" w:rsidRPr="002E2583" w14:paraId="43D719AC" w14:textId="77777777" w:rsidTr="008C3537">
        <w:tc>
          <w:tcPr>
            <w:tcW w:w="9965" w:type="dxa"/>
            <w:gridSpan w:val="5"/>
            <w:shd w:val="clear" w:color="auto" w:fill="auto"/>
            <w:vAlign w:val="center"/>
          </w:tcPr>
          <w:p w14:paraId="2CF4BBD8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(III) Assessing the impact of MGS treatment on reference gene stability in the late model (5 days)</w:t>
            </w:r>
          </w:p>
        </w:tc>
      </w:tr>
      <w:tr w:rsidR="00B86A39" w:rsidRPr="002E2583" w14:paraId="435A70B3" w14:textId="77777777" w:rsidTr="008C3537">
        <w:trPr>
          <w:trHeight w:val="759"/>
        </w:trPr>
        <w:tc>
          <w:tcPr>
            <w:tcW w:w="1304" w:type="dxa"/>
            <w:shd w:val="clear" w:color="auto" w:fill="auto"/>
            <w:vAlign w:val="center"/>
          </w:tcPr>
          <w:p w14:paraId="2E00AAE9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Reference Gene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A974CC" w14:textId="77777777" w:rsidR="008439D9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Fold = 2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-∆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Cq</w:t>
            </w:r>
            <w:proofErr w:type="spellEnd"/>
          </w:p>
          <w:p w14:paraId="01F2B33E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(∆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=MGS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Cq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ref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untreated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Cq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ref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56D31209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avg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fold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all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avg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fold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control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 MG 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avg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fold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OP</w:t>
            </w:r>
            <w:proofErr w:type="spellEnd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-MG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67CC2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p value (paired t test)</w:t>
            </w:r>
            <w:r w:rsidR="00C9271F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[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="00C9271F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]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MGS 2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-Cq (reference gene) 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vs untreated 2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-Cq (reference gene)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1089D9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geNorm</w:t>
            </w:r>
            <w:proofErr w:type="spellEnd"/>
            <w:r w:rsidR="00C9271F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[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C9271F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]</w:t>
            </w:r>
          </w:p>
          <w:p w14:paraId="44855054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 value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9678227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D. </w:t>
            </w:r>
            <w:proofErr w:type="spellStart"/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Bestkeeper</w:t>
            </w:r>
            <w:proofErr w:type="spellEnd"/>
            <w:r w:rsidR="00C9271F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[</w:t>
            </w: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="00C9271F" w:rsidRPr="002E25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]</w:t>
            </w:r>
          </w:p>
          <w:p w14:paraId="22F8F1A1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 ; CV</w:t>
            </w:r>
          </w:p>
        </w:tc>
      </w:tr>
      <w:tr w:rsidR="00B86A39" w:rsidRPr="002E2583" w14:paraId="5D19E0BF" w14:textId="77777777" w:rsidTr="008C3537">
        <w:tc>
          <w:tcPr>
            <w:tcW w:w="1304" w:type="dxa"/>
            <w:shd w:val="clear" w:color="auto" w:fill="auto"/>
            <w:vAlign w:val="center"/>
          </w:tcPr>
          <w:p w14:paraId="7FA25A3E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TFRC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6CE6DA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 (1.21 ; 1.23)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E0E314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464B6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8486A12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 ; 1.09</w:t>
            </w:r>
          </w:p>
        </w:tc>
      </w:tr>
      <w:tr w:rsidR="00B86A39" w:rsidRPr="002E2583" w14:paraId="555B8BB2" w14:textId="77777777" w:rsidTr="008C3537">
        <w:tc>
          <w:tcPr>
            <w:tcW w:w="1304" w:type="dxa"/>
            <w:shd w:val="clear" w:color="auto" w:fill="auto"/>
            <w:vAlign w:val="center"/>
          </w:tcPr>
          <w:p w14:paraId="44CFDFA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HPRT1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C48C9E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 (1.09 ; 1.09)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38003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2BB3E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CB636A7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 ; 0.89</w:t>
            </w:r>
          </w:p>
        </w:tc>
      </w:tr>
      <w:tr w:rsidR="00B86A39" w:rsidRPr="002E2583" w14:paraId="485A1E46" w14:textId="77777777" w:rsidTr="008C3537">
        <w:tc>
          <w:tcPr>
            <w:tcW w:w="1304" w:type="dxa"/>
            <w:shd w:val="clear" w:color="auto" w:fill="auto"/>
            <w:vAlign w:val="center"/>
          </w:tcPr>
          <w:p w14:paraId="340AFC23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B2M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77A7B4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 (0.98 ; 0.95)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6967D4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0F5C5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8A18AE3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 ; 1.62</w:t>
            </w:r>
          </w:p>
        </w:tc>
      </w:tr>
      <w:tr w:rsidR="00B86A39" w:rsidRPr="002E2583" w14:paraId="7DCEADA4" w14:textId="77777777" w:rsidTr="008C3537">
        <w:tc>
          <w:tcPr>
            <w:tcW w:w="1304" w:type="dxa"/>
            <w:shd w:val="clear" w:color="auto" w:fill="auto"/>
            <w:vAlign w:val="center"/>
          </w:tcPr>
          <w:p w14:paraId="44484E47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PPIA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EFD462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(1.01 ; 0.98)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B37E3C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E73FA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3B40FC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 ; 0.75</w:t>
            </w:r>
          </w:p>
        </w:tc>
      </w:tr>
      <w:tr w:rsidR="00B86A39" w:rsidRPr="002E2583" w14:paraId="18A81270" w14:textId="77777777" w:rsidTr="008C3537">
        <w:tc>
          <w:tcPr>
            <w:tcW w:w="1304" w:type="dxa"/>
            <w:shd w:val="clear" w:color="auto" w:fill="auto"/>
            <w:vAlign w:val="center"/>
          </w:tcPr>
          <w:p w14:paraId="7CE8770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ACTB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2BD49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 (1.05 ; 1.11)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884901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5673C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536214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 ; 1.31</w:t>
            </w:r>
          </w:p>
        </w:tc>
      </w:tr>
      <w:tr w:rsidR="00B86A39" w:rsidRPr="002E2583" w14:paraId="46A55781" w14:textId="77777777" w:rsidTr="008C3537">
        <w:tc>
          <w:tcPr>
            <w:tcW w:w="1304" w:type="dxa"/>
            <w:shd w:val="clear" w:color="auto" w:fill="auto"/>
            <w:vAlign w:val="center"/>
          </w:tcPr>
          <w:p w14:paraId="02D82483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GUSB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FD768E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 (0.99 ; 0.95)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B9EB92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F238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7536DB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 ; 0.88</w:t>
            </w:r>
          </w:p>
        </w:tc>
      </w:tr>
      <w:tr w:rsidR="00B86A39" w:rsidRPr="002E2583" w14:paraId="12FD6F28" w14:textId="77777777" w:rsidTr="008C3537">
        <w:tc>
          <w:tcPr>
            <w:tcW w:w="1304" w:type="dxa"/>
            <w:shd w:val="clear" w:color="auto" w:fill="auto"/>
            <w:vAlign w:val="center"/>
          </w:tcPr>
          <w:p w14:paraId="501ACF06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RPLP</w:t>
            </w:r>
            <w:r w:rsidR="00BC238F"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84E6E2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9A2D71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E0A82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47621DA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B86A39" w:rsidRPr="002E2583" w14:paraId="127BE434" w14:textId="77777777" w:rsidTr="008C3537">
        <w:tc>
          <w:tcPr>
            <w:tcW w:w="1304" w:type="dxa"/>
            <w:shd w:val="clear" w:color="auto" w:fill="auto"/>
            <w:vAlign w:val="center"/>
          </w:tcPr>
          <w:p w14:paraId="1F9E0589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TBP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470E7F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 (1.12 ; 1.12)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03DAAE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9160F" w14:textId="77777777" w:rsidR="001F0577" w:rsidRPr="002E2583" w:rsidRDefault="001F0577" w:rsidP="00612A54">
            <w:pPr>
              <w:tabs>
                <w:tab w:val="left" w:pos="480"/>
              </w:tabs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40016E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 ; 0.72</w:t>
            </w:r>
          </w:p>
        </w:tc>
      </w:tr>
      <w:tr w:rsidR="00B86A39" w:rsidRPr="002E2583" w14:paraId="3CD38BDC" w14:textId="77777777" w:rsidTr="008C3537">
        <w:tc>
          <w:tcPr>
            <w:tcW w:w="1304" w:type="dxa"/>
            <w:shd w:val="clear" w:color="auto" w:fill="auto"/>
            <w:vAlign w:val="center"/>
          </w:tcPr>
          <w:p w14:paraId="35EE6686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CSNK2A2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DFEF09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1.06 (1.14 ; 1.01)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E1E344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0.852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88DFB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CCBADB3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0.19 ; 0.74</w:t>
            </w:r>
          </w:p>
        </w:tc>
      </w:tr>
      <w:tr w:rsidR="00B86A39" w:rsidRPr="002E2583" w14:paraId="6411876E" w14:textId="77777777" w:rsidTr="008C3537">
        <w:tc>
          <w:tcPr>
            <w:tcW w:w="1304" w:type="dxa"/>
            <w:shd w:val="clear" w:color="auto" w:fill="auto"/>
            <w:vAlign w:val="center"/>
          </w:tcPr>
          <w:p w14:paraId="1AA95CFA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AP3D1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60A56E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1.03 (1.06 ; 1.01)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B75929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43875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E56D40A" w14:textId="77777777" w:rsidR="001F0577" w:rsidRPr="002E2583" w:rsidRDefault="001F0577" w:rsidP="00612A54">
            <w:pPr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0.17 ; 0.77</w:t>
            </w:r>
          </w:p>
        </w:tc>
      </w:tr>
    </w:tbl>
    <w:p w14:paraId="0F857449" w14:textId="77777777" w:rsidR="001F0577" w:rsidRPr="002E2583" w:rsidRDefault="001F0577" w:rsidP="00EE252A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DCAC886" w14:textId="77777777" w:rsidR="00EC489F" w:rsidRPr="00612A54" w:rsidRDefault="00EC489F" w:rsidP="004527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12A54">
        <w:rPr>
          <w:rFonts w:ascii="Arial" w:hAnsi="Arial" w:cs="Arial"/>
          <w:color w:val="000000"/>
          <w:sz w:val="22"/>
          <w:szCs w:val="22"/>
        </w:rPr>
        <w:t xml:space="preserve">Fold=fold change in gene expression induced by differentiation or MGS, </w:t>
      </w:r>
      <w:proofErr w:type="spellStart"/>
      <w:r w:rsidRPr="00612A54">
        <w:rPr>
          <w:rFonts w:ascii="Arial" w:hAnsi="Arial" w:cs="Arial"/>
          <w:color w:val="000000"/>
          <w:sz w:val="22"/>
          <w:szCs w:val="22"/>
        </w:rPr>
        <w:t>Cq</w:t>
      </w:r>
      <w:proofErr w:type="spellEnd"/>
      <w:r w:rsidRPr="00612A54">
        <w:rPr>
          <w:rFonts w:ascii="Arial" w:eastAsia="Times New Roman" w:hAnsi="Arial" w:cs="Arial"/>
          <w:color w:val="000000"/>
          <w:sz w:val="22"/>
          <w:szCs w:val="22"/>
        </w:rPr>
        <w:t>=threshold cycle value (cycle number at which the fluorescence generated within a qPCR reaction crosses the fluorescence threshold</w:t>
      </w:r>
      <w:r w:rsidRPr="00612A54"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 w:rsidRPr="00612A54">
        <w:rPr>
          <w:rFonts w:ascii="Arial" w:hAnsi="Arial" w:cs="Arial"/>
          <w:color w:val="000000"/>
          <w:sz w:val="22"/>
          <w:szCs w:val="22"/>
        </w:rPr>
        <w:t>avg</w:t>
      </w:r>
      <w:proofErr w:type="spellEnd"/>
      <w:r w:rsidRPr="00612A54">
        <w:rPr>
          <w:rFonts w:ascii="Arial" w:hAnsi="Arial" w:cs="Arial"/>
          <w:color w:val="000000"/>
          <w:sz w:val="22"/>
          <w:szCs w:val="22"/>
        </w:rPr>
        <w:t xml:space="preserve">=average, MGS=MG sera, ∆=delta (difference between two </w:t>
      </w:r>
      <w:proofErr w:type="spellStart"/>
      <w:r w:rsidRPr="00612A54">
        <w:rPr>
          <w:rFonts w:ascii="Arial" w:hAnsi="Arial" w:cs="Arial"/>
          <w:color w:val="000000"/>
          <w:sz w:val="22"/>
          <w:szCs w:val="22"/>
        </w:rPr>
        <w:t>Cq</w:t>
      </w:r>
      <w:proofErr w:type="spellEnd"/>
      <w:r w:rsidRPr="00612A54">
        <w:rPr>
          <w:rFonts w:ascii="Arial" w:hAnsi="Arial" w:cs="Arial"/>
          <w:color w:val="000000"/>
          <w:sz w:val="22"/>
          <w:szCs w:val="22"/>
        </w:rPr>
        <w:t xml:space="preserve"> values), m value=expression stability value (lower value correlates with higher </w:t>
      </w:r>
      <w:r w:rsidRPr="00612A54">
        <w:rPr>
          <w:rFonts w:ascii="Arial" w:hAnsi="Arial" w:cs="Arial"/>
          <w:color w:val="000000"/>
          <w:sz w:val="22"/>
          <w:szCs w:val="22"/>
        </w:rPr>
        <w:lastRenderedPageBreak/>
        <w:t xml:space="preserve">expression stability), SD=standard deviation, CV=coefficient of variation, NA for </w:t>
      </w:r>
      <w:r w:rsidRPr="00612A54">
        <w:rPr>
          <w:rFonts w:ascii="Arial" w:hAnsi="Arial" w:cs="Arial"/>
          <w:i/>
          <w:color w:val="000000"/>
          <w:sz w:val="22"/>
          <w:szCs w:val="22"/>
        </w:rPr>
        <w:t>RPLP</w:t>
      </w:r>
      <w:r w:rsidR="00BC238F" w:rsidRPr="00612A54">
        <w:rPr>
          <w:rFonts w:ascii="Arial" w:hAnsi="Arial" w:cs="Arial"/>
          <w:i/>
          <w:color w:val="000000"/>
          <w:sz w:val="22"/>
          <w:szCs w:val="22"/>
        </w:rPr>
        <w:t>0</w:t>
      </w:r>
      <w:r w:rsidRPr="00612A54">
        <w:rPr>
          <w:rFonts w:ascii="Arial" w:hAnsi="Arial" w:cs="Arial"/>
          <w:color w:val="000000"/>
          <w:sz w:val="22"/>
          <w:szCs w:val="22"/>
        </w:rPr>
        <w:t xml:space="preserve"> indicates that one sample had a missing value which necessitated the exclusion of this gene as a reference candidate for a specific group. </w:t>
      </w:r>
      <w:r w:rsidR="00E56D96" w:rsidRPr="00612A54">
        <w:rPr>
          <w:rFonts w:ascii="Arial" w:hAnsi="Arial" w:cs="Arial"/>
          <w:color w:val="000000"/>
          <w:sz w:val="22"/>
          <w:szCs w:val="22"/>
        </w:rPr>
        <w:t>[1], [2] and [3] indicate references.</w:t>
      </w:r>
    </w:p>
    <w:p w14:paraId="377B7267" w14:textId="77777777" w:rsidR="00EC489F" w:rsidRPr="00612A54" w:rsidRDefault="00EC489F" w:rsidP="004527E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871589" w14:textId="77777777" w:rsidR="00BB0E18" w:rsidRDefault="00BB0E18" w:rsidP="004527E3">
      <w:pPr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53F8640D" w14:textId="4534E24F" w:rsidR="001F0577" w:rsidRPr="002E2583" w:rsidRDefault="0061390E" w:rsidP="00EE252A">
      <w:pPr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F</w:t>
      </w:r>
      <w:r w:rsidR="00C069E6" w:rsidRPr="007A7A4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igure </w:t>
      </w:r>
      <w:r w:rsidRPr="007A7A43">
        <w:rPr>
          <w:rFonts w:ascii="Arial" w:hAnsi="Arial" w:cs="Arial"/>
          <w:b/>
          <w:color w:val="000000"/>
          <w:sz w:val="22"/>
          <w:szCs w:val="22"/>
          <w:lang w:val="en-GB"/>
        </w:rPr>
        <w:t>S</w:t>
      </w:r>
      <w:r w:rsidR="00C069E6" w:rsidRPr="007A7A43">
        <w:rPr>
          <w:rFonts w:ascii="Arial" w:hAnsi="Arial" w:cs="Arial"/>
          <w:b/>
          <w:color w:val="000000"/>
          <w:sz w:val="22"/>
          <w:szCs w:val="22"/>
          <w:lang w:val="en-GB"/>
        </w:rPr>
        <w:t>1.</w:t>
      </w:r>
      <w:r w:rsidR="00C069E6" w:rsidRPr="00612A54">
        <w:rPr>
          <w:rFonts w:ascii="Arial" w:hAnsi="Arial" w:cs="Arial"/>
          <w:color w:val="000000"/>
          <w:sz w:val="22"/>
          <w:szCs w:val="22"/>
          <w:lang w:val="en-GB"/>
        </w:rPr>
        <w:t xml:space="preserve"> Comparison of reference gene expression between the early and late muscle and MG models</w:t>
      </w:r>
      <w:r w:rsidR="00C069E6" w:rsidRPr="002E258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7B232A99" w14:textId="77777777" w:rsidR="001A4E60" w:rsidRPr="002E2583" w:rsidRDefault="001A4E60" w:rsidP="00EE252A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F2634A8" w14:textId="77777777" w:rsidR="001F0577" w:rsidRPr="002E2583" w:rsidRDefault="00DE1CA5" w:rsidP="00EE252A">
      <w:pPr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2E2583"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0BF7554B" wp14:editId="2A8FD35F">
            <wp:extent cx="5721350" cy="316103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EDB49" w14:textId="77777777" w:rsidR="00B77576" w:rsidRPr="002E2583" w:rsidRDefault="00B77576" w:rsidP="00EE252A">
      <w:pPr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FEF5994" w14:textId="6D62AFA1" w:rsidR="00D85970" w:rsidRDefault="001F0577" w:rsidP="00AA1EA0">
      <w:pPr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612A54">
        <w:rPr>
          <w:rFonts w:ascii="Arial" w:hAnsi="Arial" w:cs="Arial"/>
          <w:color w:val="000000"/>
          <w:sz w:val="22"/>
          <w:szCs w:val="22"/>
          <w:lang w:val="en-GB"/>
        </w:rPr>
        <w:t xml:space="preserve">Individual data points indicate reference gene </w:t>
      </w:r>
      <w:proofErr w:type="spellStart"/>
      <w:r w:rsidRPr="00612A54">
        <w:rPr>
          <w:rFonts w:ascii="Arial" w:hAnsi="Arial" w:cs="Arial"/>
          <w:color w:val="000000"/>
          <w:sz w:val="22"/>
          <w:szCs w:val="22"/>
          <w:lang w:val="en-GB"/>
        </w:rPr>
        <w:t>Cq</w:t>
      </w:r>
      <w:proofErr w:type="spellEnd"/>
      <w:r w:rsidRPr="00612A54">
        <w:rPr>
          <w:rFonts w:ascii="Arial" w:hAnsi="Arial" w:cs="Arial"/>
          <w:color w:val="000000"/>
          <w:sz w:val="22"/>
          <w:szCs w:val="22"/>
          <w:lang w:val="en-GB"/>
        </w:rPr>
        <w:t xml:space="preserve"> values for 16 samples per condition (48 hrs, 48 hrs + MGS, 5 days, 5 days +MG</w:t>
      </w:r>
      <w:r w:rsidR="00586D9E" w:rsidRPr="00612A54">
        <w:rPr>
          <w:rFonts w:ascii="Arial" w:hAnsi="Arial" w:cs="Arial"/>
          <w:color w:val="000000"/>
          <w:sz w:val="22"/>
          <w:szCs w:val="22"/>
          <w:lang w:val="en-GB"/>
        </w:rPr>
        <w:t xml:space="preserve"> sera</w:t>
      </w:r>
      <w:r w:rsidRPr="00612A54">
        <w:rPr>
          <w:rFonts w:ascii="Arial" w:hAnsi="Arial" w:cs="Arial"/>
          <w:color w:val="000000"/>
          <w:sz w:val="22"/>
          <w:szCs w:val="22"/>
          <w:lang w:val="en-GB"/>
        </w:rPr>
        <w:t>). Error bars show mean and SD. Boxes indicate the reference gene</w:t>
      </w:r>
      <w:r w:rsidR="007631F3" w:rsidRPr="00612A54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Pr="00612A54">
        <w:rPr>
          <w:rFonts w:ascii="Arial" w:hAnsi="Arial" w:cs="Arial"/>
          <w:color w:val="000000"/>
          <w:sz w:val="22"/>
          <w:szCs w:val="22"/>
          <w:lang w:val="en-GB"/>
        </w:rPr>
        <w:t xml:space="preserve"> selected for normalisation for each condition.</w:t>
      </w:r>
    </w:p>
    <w:p w14:paraId="7DF89BC9" w14:textId="457D683A" w:rsidR="002545B8" w:rsidRDefault="002545B8" w:rsidP="00612A54">
      <w:pPr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23556B2" w14:textId="77777777" w:rsidR="000C38BB" w:rsidRDefault="000C38BB" w:rsidP="00612A54">
      <w:pPr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ECC6306" w14:textId="77777777" w:rsidR="000C38BB" w:rsidRDefault="000C38BB" w:rsidP="00612A54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529A1A02" w14:textId="77777777" w:rsidR="000C38BB" w:rsidRDefault="000C38BB" w:rsidP="00612A54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6C4A1B7A" w14:textId="77777777" w:rsidR="000C38BB" w:rsidRDefault="000C38BB" w:rsidP="00612A54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7B913E52" w14:textId="77777777" w:rsidR="000C38BB" w:rsidRDefault="000C38BB" w:rsidP="00612A54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33B22FEC" w14:textId="77777777" w:rsidR="000C38BB" w:rsidRDefault="000C38BB" w:rsidP="00612A54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559EFB46" w14:textId="77777777" w:rsidR="000C38BB" w:rsidRDefault="000C38BB" w:rsidP="00612A54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4BD985FB" w14:textId="77777777" w:rsidR="000C38BB" w:rsidRDefault="000C38BB" w:rsidP="00612A54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5CD8DF64" w14:textId="77777777" w:rsidR="000C38BB" w:rsidRDefault="000C38BB" w:rsidP="00612A54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7A06567B" w14:textId="77777777" w:rsidR="000C38BB" w:rsidRDefault="000C38BB" w:rsidP="00612A54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436E745B" w14:textId="77777777" w:rsidR="000C38BB" w:rsidRDefault="000C38BB" w:rsidP="00612A54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68DEA864" w14:textId="77777777" w:rsidR="000C38BB" w:rsidRDefault="000C38BB" w:rsidP="00612A54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2BDB6F19" w14:textId="77777777" w:rsidR="000C38BB" w:rsidRDefault="000C38BB" w:rsidP="00612A54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25FF25B0" w14:textId="77777777" w:rsidR="000C38BB" w:rsidRDefault="000C38BB" w:rsidP="00612A54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15A2D2B7" w14:textId="77777777" w:rsidR="000C38BB" w:rsidRDefault="000C38BB" w:rsidP="00612A54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4E25A354" w14:textId="77777777" w:rsidR="000C38BB" w:rsidRDefault="000C38BB" w:rsidP="00612A54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7E20C59A" w14:textId="77777777" w:rsidR="000C38BB" w:rsidRDefault="000C38BB" w:rsidP="00612A54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51B6BC95" w14:textId="5BA7DD8C" w:rsidR="00A07DE9" w:rsidRDefault="00C13936" w:rsidP="00A07D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lastRenderedPageBreak/>
        <w:t>T</w:t>
      </w:r>
      <w:r w:rsidR="00A779DC" w:rsidRPr="007A7A4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able </w:t>
      </w:r>
      <w:r w:rsidRPr="007A7A43">
        <w:rPr>
          <w:rFonts w:ascii="Arial" w:hAnsi="Arial" w:cs="Arial"/>
          <w:b/>
          <w:color w:val="000000"/>
          <w:sz w:val="22"/>
          <w:szCs w:val="22"/>
          <w:lang w:val="en-GB"/>
        </w:rPr>
        <w:t>S</w:t>
      </w:r>
      <w:r w:rsidR="00A779DC" w:rsidRPr="007A7A43">
        <w:rPr>
          <w:rFonts w:ascii="Arial" w:hAnsi="Arial" w:cs="Arial"/>
          <w:b/>
          <w:color w:val="000000"/>
          <w:sz w:val="22"/>
          <w:szCs w:val="22"/>
          <w:lang w:val="en-GB"/>
        </w:rPr>
        <w:t>2.</w:t>
      </w:r>
      <w:r w:rsidR="00A779DC" w:rsidRPr="00612A5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A7A43" w:rsidRPr="00BB0E18">
        <w:rPr>
          <w:rFonts w:ascii="Arial" w:hAnsi="Arial" w:cs="Arial"/>
          <w:sz w:val="22"/>
          <w:szCs w:val="22"/>
        </w:rPr>
        <w:t>Statistical analysis of differentially expressed genes</w:t>
      </w:r>
      <w:r w:rsidR="007A7A43" w:rsidRPr="00BB0E18">
        <w:rPr>
          <w:rFonts w:ascii="Arial" w:hAnsi="Arial" w:cs="Arial"/>
          <w:b/>
          <w:sz w:val="22"/>
          <w:szCs w:val="22"/>
        </w:rPr>
        <w:t xml:space="preserve">: </w:t>
      </w:r>
      <w:r w:rsidR="00381D74" w:rsidRPr="00BB0E18">
        <w:rPr>
          <w:rFonts w:ascii="Arial" w:hAnsi="Arial" w:cs="Arial"/>
          <w:sz w:val="22"/>
          <w:szCs w:val="22"/>
        </w:rPr>
        <w:t xml:space="preserve">Average </w:t>
      </w:r>
      <w:proofErr w:type="spellStart"/>
      <w:r w:rsidR="00381D74" w:rsidRPr="00BB0E18">
        <w:rPr>
          <w:rFonts w:ascii="Arial" w:hAnsi="Arial" w:cs="Arial"/>
          <w:sz w:val="22"/>
          <w:szCs w:val="22"/>
        </w:rPr>
        <w:t>Cq</w:t>
      </w:r>
      <w:proofErr w:type="spellEnd"/>
      <w:r w:rsidR="00381D74" w:rsidRPr="00BB0E18">
        <w:rPr>
          <w:rFonts w:ascii="Arial" w:hAnsi="Arial" w:cs="Arial"/>
          <w:sz w:val="22"/>
          <w:szCs w:val="22"/>
        </w:rPr>
        <w:t xml:space="preserve"> values and assessment of data distribution (normality testing) for differentially expressed genes.</w:t>
      </w:r>
      <w:r w:rsidR="00A07DE9" w:rsidRPr="00BB0E18">
        <w:rPr>
          <w:rFonts w:ascii="Arial" w:hAnsi="Arial" w:cs="Arial"/>
          <w:sz w:val="22"/>
          <w:szCs w:val="22"/>
        </w:rPr>
        <w:t xml:space="preserve"> *p&lt;0.05; MGS refers to MG sera</w:t>
      </w:r>
      <w:r w:rsidR="004527E3">
        <w:rPr>
          <w:rFonts w:ascii="Arial" w:hAnsi="Arial" w:cs="Arial"/>
          <w:sz w:val="22"/>
          <w:szCs w:val="22"/>
        </w:rPr>
        <w:t>.</w:t>
      </w:r>
    </w:p>
    <w:p w14:paraId="4208A4A0" w14:textId="77777777" w:rsidR="004527E3" w:rsidRPr="002E2583" w:rsidRDefault="004527E3" w:rsidP="00A07DE9"/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891"/>
        <w:gridCol w:w="850"/>
        <w:gridCol w:w="1419"/>
        <w:gridCol w:w="1433"/>
        <w:gridCol w:w="835"/>
        <w:gridCol w:w="1417"/>
        <w:gridCol w:w="2410"/>
      </w:tblGrid>
      <w:tr w:rsidR="00977F8A" w:rsidRPr="002E2583" w14:paraId="10CBFB1E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7DCD32EC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45" w:type="dxa"/>
            <w:gridSpan w:val="6"/>
            <w:shd w:val="clear" w:color="auto" w:fill="auto"/>
            <w:vAlign w:val="center"/>
          </w:tcPr>
          <w:p w14:paraId="4427807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sz w:val="18"/>
                <w:szCs w:val="18"/>
              </w:rPr>
              <w:t>control MG (n=6)</w:t>
            </w:r>
          </w:p>
        </w:tc>
        <w:tc>
          <w:tcPr>
            <w:tcW w:w="2410" w:type="dxa"/>
            <w:shd w:val="clear" w:color="auto" w:fill="auto"/>
          </w:tcPr>
          <w:p w14:paraId="3A7760DE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6A39" w:rsidRPr="002E2583" w14:paraId="351697F0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7C6D78E6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60" w:type="dxa"/>
            <w:gridSpan w:val="3"/>
            <w:shd w:val="clear" w:color="auto" w:fill="auto"/>
            <w:vAlign w:val="center"/>
          </w:tcPr>
          <w:p w14:paraId="0EC408F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b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1197C2EC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sz w:val="18"/>
                <w:szCs w:val="18"/>
              </w:rPr>
              <w:t>5 days</w:t>
            </w:r>
          </w:p>
        </w:tc>
        <w:tc>
          <w:tcPr>
            <w:tcW w:w="2410" w:type="dxa"/>
            <w:shd w:val="clear" w:color="auto" w:fill="auto"/>
          </w:tcPr>
          <w:p w14:paraId="061D8226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6A39" w:rsidRPr="002E2583" w14:paraId="2B516B9D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3ECFAB8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FF33B1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average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2FE42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SD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54FDE5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Shapiro-Wilk normality test (2</w:t>
            </w:r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-∆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410ADE7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average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EEC6703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SD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8ADBE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Shapiro-Wilk normality test (2</w:t>
            </w:r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-∆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2F6E08B9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condition</w:t>
            </w:r>
          </w:p>
        </w:tc>
      </w:tr>
      <w:tr w:rsidR="00B86A39" w:rsidRPr="002E2583" w14:paraId="17FD0FF6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6D9A27AB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CHRNA1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DF0CFD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617924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8712959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0.656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84C4248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21.3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0977CE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9E8A79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0.114</w:t>
            </w:r>
          </w:p>
        </w:tc>
        <w:tc>
          <w:tcPr>
            <w:tcW w:w="2410" w:type="dxa"/>
            <w:shd w:val="clear" w:color="auto" w:fill="auto"/>
          </w:tcPr>
          <w:p w14:paraId="4333096A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vs 5 days</w:t>
            </w:r>
          </w:p>
        </w:tc>
      </w:tr>
      <w:tr w:rsidR="00B86A39" w:rsidRPr="002E2583" w14:paraId="507775C8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625A0BC9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MYOD1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382F96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A7E1E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D914450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0.491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8F68729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22.8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4ABD80E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8C78B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0.241</w:t>
            </w:r>
          </w:p>
        </w:tc>
        <w:tc>
          <w:tcPr>
            <w:tcW w:w="2410" w:type="dxa"/>
            <w:shd w:val="clear" w:color="auto" w:fill="auto"/>
          </w:tcPr>
          <w:p w14:paraId="4AFFC00C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vs 5 days</w:t>
            </w:r>
          </w:p>
        </w:tc>
      </w:tr>
      <w:tr w:rsidR="00B86A39" w:rsidRPr="002E2583" w14:paraId="5802ECBE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11EE694D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MYOG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24A7B2E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643CC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2.0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67C4016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0.624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7B379C3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26.5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B530BA6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F2C907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0.010*</w:t>
            </w:r>
          </w:p>
        </w:tc>
        <w:tc>
          <w:tcPr>
            <w:tcW w:w="2410" w:type="dxa"/>
            <w:shd w:val="clear" w:color="auto" w:fill="auto"/>
          </w:tcPr>
          <w:p w14:paraId="3C16F6B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vs 5 days</w:t>
            </w:r>
          </w:p>
        </w:tc>
      </w:tr>
      <w:tr w:rsidR="00977F8A" w:rsidRPr="002E2583" w14:paraId="665D64AE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03412C50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45" w:type="dxa"/>
            <w:gridSpan w:val="6"/>
            <w:shd w:val="clear" w:color="auto" w:fill="auto"/>
            <w:vAlign w:val="center"/>
          </w:tcPr>
          <w:p w14:paraId="764DB32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sz w:val="18"/>
                <w:szCs w:val="18"/>
              </w:rPr>
              <w:t>OP-MG (n=10)</w:t>
            </w:r>
          </w:p>
        </w:tc>
        <w:tc>
          <w:tcPr>
            <w:tcW w:w="2410" w:type="dxa"/>
            <w:shd w:val="clear" w:color="auto" w:fill="auto"/>
          </w:tcPr>
          <w:p w14:paraId="1DDDF06E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6A39" w:rsidRPr="002E2583" w14:paraId="4DF9DB24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27EC544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60" w:type="dxa"/>
            <w:gridSpan w:val="3"/>
            <w:shd w:val="clear" w:color="auto" w:fill="auto"/>
            <w:vAlign w:val="center"/>
          </w:tcPr>
          <w:p w14:paraId="306B2029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b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18BD86FC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sz w:val="18"/>
                <w:szCs w:val="18"/>
              </w:rPr>
              <w:t>5 days</w:t>
            </w:r>
          </w:p>
        </w:tc>
        <w:tc>
          <w:tcPr>
            <w:tcW w:w="2410" w:type="dxa"/>
            <w:shd w:val="clear" w:color="auto" w:fill="auto"/>
          </w:tcPr>
          <w:p w14:paraId="39F02CF7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6A39" w:rsidRPr="002E2583" w14:paraId="70A6DABA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0558E500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E55DA36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average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A11FB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SD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64A57A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Shapiro-Wilk normality test (2</w:t>
            </w:r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-∆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D111634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average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38DAAB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SD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DC43EB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Shapiro-Wilk normality test (2</w:t>
            </w:r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-∆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92662BE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condition</w:t>
            </w:r>
          </w:p>
        </w:tc>
      </w:tr>
      <w:tr w:rsidR="00B86A39" w:rsidRPr="002E2583" w14:paraId="6EBAE99C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4C220B4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CHRNA1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11695DA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7FB2D8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FFD02D4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0.059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8624A3E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21.0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DC71474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685724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0.614</w:t>
            </w:r>
          </w:p>
        </w:tc>
        <w:tc>
          <w:tcPr>
            <w:tcW w:w="2410" w:type="dxa"/>
            <w:shd w:val="clear" w:color="auto" w:fill="auto"/>
          </w:tcPr>
          <w:p w14:paraId="32E3F857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vs 5 days</w:t>
            </w:r>
          </w:p>
        </w:tc>
      </w:tr>
      <w:tr w:rsidR="00B86A39" w:rsidRPr="002E2583" w14:paraId="33CA71EF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13A0F4DE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MYOD1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0DEB168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48A49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DE3AF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0.416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B8841D0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22.6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551919D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C380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0.421</w:t>
            </w:r>
          </w:p>
        </w:tc>
        <w:tc>
          <w:tcPr>
            <w:tcW w:w="2410" w:type="dxa"/>
            <w:shd w:val="clear" w:color="auto" w:fill="auto"/>
          </w:tcPr>
          <w:p w14:paraId="680F736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vs 5 days</w:t>
            </w:r>
          </w:p>
        </w:tc>
      </w:tr>
      <w:tr w:rsidR="00B86A39" w:rsidRPr="002E2583" w14:paraId="270FBC5D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7881B6E9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MYOG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35307BA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5C207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0557FE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0.165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B183CCC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27.2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BE1385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2.8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A964D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0.263</w:t>
            </w:r>
          </w:p>
        </w:tc>
        <w:tc>
          <w:tcPr>
            <w:tcW w:w="2410" w:type="dxa"/>
            <w:shd w:val="clear" w:color="auto" w:fill="auto"/>
          </w:tcPr>
          <w:p w14:paraId="64A4F31E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vs 5 days</w:t>
            </w:r>
          </w:p>
        </w:tc>
      </w:tr>
    </w:tbl>
    <w:p w14:paraId="21B9F5EF" w14:textId="77777777" w:rsidR="00977F8A" w:rsidRPr="002E2583" w:rsidRDefault="00977F8A" w:rsidP="00EE252A"/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891"/>
        <w:gridCol w:w="849"/>
        <w:gridCol w:w="1419"/>
        <w:gridCol w:w="1431"/>
        <w:gridCol w:w="837"/>
        <w:gridCol w:w="1417"/>
        <w:gridCol w:w="2410"/>
      </w:tblGrid>
      <w:tr w:rsidR="00977F8A" w:rsidRPr="002E2583" w14:paraId="183538FB" w14:textId="77777777" w:rsidTr="008C3537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14:paraId="761C8380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44" w:type="dxa"/>
            <w:gridSpan w:val="6"/>
            <w:shd w:val="clear" w:color="auto" w:fill="auto"/>
            <w:vAlign w:val="center"/>
          </w:tcPr>
          <w:p w14:paraId="3EEDAFC0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sz w:val="18"/>
                <w:szCs w:val="18"/>
              </w:rPr>
              <w:t>control MG (n=6)</w:t>
            </w:r>
          </w:p>
        </w:tc>
        <w:tc>
          <w:tcPr>
            <w:tcW w:w="2410" w:type="dxa"/>
            <w:shd w:val="clear" w:color="auto" w:fill="auto"/>
          </w:tcPr>
          <w:p w14:paraId="3F7C221B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6A39" w:rsidRPr="002E2583" w14:paraId="1EAC8704" w14:textId="77777777" w:rsidTr="008C3537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14:paraId="4CD7C07C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9" w:type="dxa"/>
            <w:gridSpan w:val="3"/>
            <w:shd w:val="clear" w:color="auto" w:fill="auto"/>
            <w:vAlign w:val="center"/>
          </w:tcPr>
          <w:p w14:paraId="0C0043F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sz w:val="18"/>
                <w:szCs w:val="18"/>
              </w:rPr>
              <w:t>untreated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013B47CD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sz w:val="18"/>
                <w:szCs w:val="18"/>
              </w:rPr>
              <w:t>MGS</w:t>
            </w:r>
          </w:p>
        </w:tc>
        <w:tc>
          <w:tcPr>
            <w:tcW w:w="2410" w:type="dxa"/>
            <w:shd w:val="clear" w:color="auto" w:fill="auto"/>
          </w:tcPr>
          <w:p w14:paraId="5A3E2F6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6A39" w:rsidRPr="002E2583" w14:paraId="5BDBC274" w14:textId="77777777" w:rsidTr="008C3537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14:paraId="5BC45D2C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7374E1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average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FBB4116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SD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DBCD17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Shapiro-Wilk normality test (2</w:t>
            </w:r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-∆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FBBBDD6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average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06E6FCC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SD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C3894D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Shapiro-Wilk normality test (2</w:t>
            </w:r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-∆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3771E8D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condition</w:t>
            </w:r>
          </w:p>
        </w:tc>
      </w:tr>
      <w:tr w:rsidR="00B86A39" w:rsidRPr="002E2583" w14:paraId="43556B06" w14:textId="77777777" w:rsidTr="008C3537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14:paraId="18BFB95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ANGPTL4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E351A1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28.4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635B626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5999D94" w14:textId="77777777" w:rsidR="00977F8A" w:rsidRPr="002E2583" w:rsidRDefault="007E4A5B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0.455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13F2570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25.9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E8BF81B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B9E30D" w14:textId="77777777" w:rsidR="00977F8A" w:rsidRPr="002E2583" w:rsidRDefault="0099265B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0.863</w:t>
            </w:r>
          </w:p>
        </w:tc>
        <w:tc>
          <w:tcPr>
            <w:tcW w:w="2410" w:type="dxa"/>
            <w:shd w:val="clear" w:color="auto" w:fill="auto"/>
          </w:tcPr>
          <w:p w14:paraId="384828E3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MGS vs untreated</w:t>
            </w:r>
          </w:p>
        </w:tc>
      </w:tr>
      <w:tr w:rsidR="00B86A39" w:rsidRPr="002E2583" w14:paraId="1480EAB7" w14:textId="77777777" w:rsidTr="008C3537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14:paraId="3EF7A7DC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SPHK1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DEF853A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25.0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8D6E7E6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78B36A0" w14:textId="77777777" w:rsidR="00977F8A" w:rsidRPr="002E2583" w:rsidRDefault="007E4A5B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0.315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2BB6A53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23.7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AEAAF98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F31F5" w14:textId="77777777" w:rsidR="00977F8A" w:rsidRPr="002E2583" w:rsidRDefault="0099265B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0.464</w:t>
            </w:r>
          </w:p>
        </w:tc>
        <w:tc>
          <w:tcPr>
            <w:tcW w:w="2410" w:type="dxa"/>
            <w:shd w:val="clear" w:color="auto" w:fill="auto"/>
          </w:tcPr>
          <w:p w14:paraId="570C78BE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MGS vs untreated</w:t>
            </w:r>
          </w:p>
        </w:tc>
      </w:tr>
      <w:tr w:rsidR="00B86A39" w:rsidRPr="002E2583" w14:paraId="670BA1A2" w14:textId="77777777" w:rsidTr="008C3537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14:paraId="30B93238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SMAD3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BC8499D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28.9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DBCD98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0F14963" w14:textId="77777777" w:rsidR="00977F8A" w:rsidRPr="002E2583" w:rsidRDefault="007E4A5B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0.290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39929CA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27.9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5E50786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5E4AB1" w14:textId="77777777" w:rsidR="00977F8A" w:rsidRPr="002E2583" w:rsidRDefault="0099265B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0.205</w:t>
            </w:r>
          </w:p>
        </w:tc>
        <w:tc>
          <w:tcPr>
            <w:tcW w:w="2410" w:type="dxa"/>
            <w:shd w:val="clear" w:color="auto" w:fill="auto"/>
          </w:tcPr>
          <w:p w14:paraId="526425D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MGS vs untreated</w:t>
            </w:r>
          </w:p>
        </w:tc>
      </w:tr>
      <w:tr w:rsidR="00977F8A" w:rsidRPr="002E2583" w14:paraId="7638D5B2" w14:textId="77777777" w:rsidTr="008C3537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14:paraId="4444B478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44" w:type="dxa"/>
            <w:gridSpan w:val="6"/>
            <w:shd w:val="clear" w:color="auto" w:fill="auto"/>
            <w:vAlign w:val="center"/>
          </w:tcPr>
          <w:p w14:paraId="1ACC39A9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sz w:val="18"/>
                <w:szCs w:val="18"/>
              </w:rPr>
              <w:t>OP-MG (n=10)</w:t>
            </w:r>
          </w:p>
        </w:tc>
        <w:tc>
          <w:tcPr>
            <w:tcW w:w="2410" w:type="dxa"/>
            <w:shd w:val="clear" w:color="auto" w:fill="auto"/>
          </w:tcPr>
          <w:p w14:paraId="27CCC89C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6A39" w:rsidRPr="002E2583" w14:paraId="63ABE55F" w14:textId="77777777" w:rsidTr="008C3537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14:paraId="7D6B035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9" w:type="dxa"/>
            <w:gridSpan w:val="3"/>
            <w:shd w:val="clear" w:color="auto" w:fill="auto"/>
            <w:vAlign w:val="center"/>
          </w:tcPr>
          <w:p w14:paraId="0D6D618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sz w:val="18"/>
                <w:szCs w:val="18"/>
              </w:rPr>
              <w:t>untreated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38424D6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sz w:val="18"/>
                <w:szCs w:val="18"/>
              </w:rPr>
              <w:t>MGS</w:t>
            </w:r>
          </w:p>
        </w:tc>
        <w:tc>
          <w:tcPr>
            <w:tcW w:w="2410" w:type="dxa"/>
            <w:shd w:val="clear" w:color="auto" w:fill="auto"/>
          </w:tcPr>
          <w:p w14:paraId="62A15E4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6A39" w:rsidRPr="002E2583" w14:paraId="68B87278" w14:textId="77777777" w:rsidTr="008C3537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14:paraId="548B643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28FC79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average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0E8447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SD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968E6D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Shapiro-Wilk normality test (2</w:t>
            </w:r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-∆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FE2C13E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average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91C329A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SD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CE17E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Shapiro-Wilk normality test (2</w:t>
            </w:r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-∆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32790B6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condition</w:t>
            </w:r>
          </w:p>
        </w:tc>
      </w:tr>
      <w:tr w:rsidR="00B86A39" w:rsidRPr="002E2583" w14:paraId="5B059582" w14:textId="77777777" w:rsidTr="008C3537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14:paraId="070C5AE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ANGPTL4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009478A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28.2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F0A1BE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1DD2B2F" w14:textId="77777777" w:rsidR="00977F8A" w:rsidRPr="002E2583" w:rsidRDefault="007E4A5B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0.135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CCE8F73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26.2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B6225C3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4F94C2" w14:textId="77777777" w:rsidR="00977F8A" w:rsidRPr="002E2583" w:rsidRDefault="0099265B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0.157</w:t>
            </w:r>
          </w:p>
        </w:tc>
        <w:tc>
          <w:tcPr>
            <w:tcW w:w="2410" w:type="dxa"/>
            <w:shd w:val="clear" w:color="auto" w:fill="auto"/>
          </w:tcPr>
          <w:p w14:paraId="2B0ADE79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MGS vs untreated</w:t>
            </w:r>
          </w:p>
        </w:tc>
      </w:tr>
      <w:tr w:rsidR="00B86A39" w:rsidRPr="002E2583" w14:paraId="59E9D72F" w14:textId="77777777" w:rsidTr="008C3537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14:paraId="004575F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SPHK1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3CC5BFB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24.8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1F1635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47C901A" w14:textId="77777777" w:rsidR="00977F8A" w:rsidRPr="002E2583" w:rsidRDefault="007E4A5B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0.816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9B10F70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24.0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8A9F4F0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2645F8" w14:textId="77777777" w:rsidR="00977F8A" w:rsidRPr="002E2583" w:rsidRDefault="0099265B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0.574</w:t>
            </w:r>
          </w:p>
        </w:tc>
        <w:tc>
          <w:tcPr>
            <w:tcW w:w="2410" w:type="dxa"/>
            <w:shd w:val="clear" w:color="auto" w:fill="auto"/>
          </w:tcPr>
          <w:p w14:paraId="0657306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MGS vs untreated</w:t>
            </w:r>
          </w:p>
        </w:tc>
      </w:tr>
      <w:tr w:rsidR="00B86A39" w:rsidRPr="002E2583" w14:paraId="5ED7006D" w14:textId="77777777" w:rsidTr="008C3537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14:paraId="7AF0FD23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SMAD3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A2C2A78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29.7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B65EFB8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1,4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0AA5389" w14:textId="77777777" w:rsidR="00977F8A" w:rsidRPr="002E2583" w:rsidRDefault="007E4A5B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0.750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153ABF9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28.5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1F95D6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1.0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8017A0" w14:textId="77777777" w:rsidR="00977F8A" w:rsidRPr="002E2583" w:rsidRDefault="0099265B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0.291</w:t>
            </w:r>
          </w:p>
        </w:tc>
        <w:tc>
          <w:tcPr>
            <w:tcW w:w="2410" w:type="dxa"/>
            <w:shd w:val="clear" w:color="auto" w:fill="auto"/>
          </w:tcPr>
          <w:p w14:paraId="1B17103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MGS vs untreated</w:t>
            </w:r>
          </w:p>
        </w:tc>
      </w:tr>
    </w:tbl>
    <w:p w14:paraId="793830A2" w14:textId="77777777" w:rsidR="00977F8A" w:rsidRPr="002E2583" w:rsidRDefault="00977F8A" w:rsidP="00EE252A"/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891"/>
        <w:gridCol w:w="850"/>
        <w:gridCol w:w="1419"/>
        <w:gridCol w:w="1433"/>
        <w:gridCol w:w="835"/>
        <w:gridCol w:w="1417"/>
        <w:gridCol w:w="2410"/>
      </w:tblGrid>
      <w:tr w:rsidR="00B86A39" w:rsidRPr="002E2583" w14:paraId="029C385E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7BAEAB49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60" w:type="dxa"/>
            <w:gridSpan w:val="3"/>
            <w:shd w:val="clear" w:color="auto" w:fill="auto"/>
            <w:vAlign w:val="center"/>
          </w:tcPr>
          <w:p w14:paraId="76EE1A3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sz w:val="18"/>
                <w:szCs w:val="18"/>
              </w:rPr>
              <w:t>control MG (n=6)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27706BDA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b/>
                <w:sz w:val="18"/>
                <w:szCs w:val="18"/>
              </w:rPr>
              <w:t>OP-MG (n=10)</w:t>
            </w:r>
          </w:p>
        </w:tc>
        <w:tc>
          <w:tcPr>
            <w:tcW w:w="2410" w:type="dxa"/>
            <w:shd w:val="clear" w:color="auto" w:fill="auto"/>
          </w:tcPr>
          <w:p w14:paraId="1EE642C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6A39" w:rsidRPr="002E2583" w14:paraId="31E3C597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3E2B157C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5E41DC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average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562836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SD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3519B2C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Shapiro-Wilk normality test (2</w:t>
            </w:r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-∆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CBAD50E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average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68C4D68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SD (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82680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Shapiro-Wilk normality test (2</w:t>
            </w:r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-∆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Cq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8DD6E79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condition</w:t>
            </w:r>
          </w:p>
        </w:tc>
      </w:tr>
      <w:tr w:rsidR="00B86A39" w:rsidRPr="002E2583" w14:paraId="662F44CA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0A1FFD16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UCP3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83CF68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CB7CF4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856E8A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0.109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BEE6C1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32.7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4B48A0A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06E8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0.983</w:t>
            </w:r>
          </w:p>
        </w:tc>
        <w:tc>
          <w:tcPr>
            <w:tcW w:w="2410" w:type="dxa"/>
            <w:shd w:val="clear" w:color="auto" w:fill="auto"/>
          </w:tcPr>
          <w:p w14:paraId="403C590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untreated</w:t>
            </w:r>
          </w:p>
        </w:tc>
      </w:tr>
      <w:tr w:rsidR="00B86A39" w:rsidRPr="002E2583" w14:paraId="2505E2F4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3E6EF9E3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PPP6R2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27540A6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26.0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3DE936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D288C58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0.504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79CC9A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26.2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4F03880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44884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0.008*</w:t>
            </w:r>
          </w:p>
        </w:tc>
        <w:tc>
          <w:tcPr>
            <w:tcW w:w="2410" w:type="dxa"/>
            <w:shd w:val="clear" w:color="auto" w:fill="auto"/>
          </w:tcPr>
          <w:p w14:paraId="354EA467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untreated</w:t>
            </w:r>
          </w:p>
        </w:tc>
      </w:tr>
      <w:tr w:rsidR="00B86A39" w:rsidRPr="002E2583" w14:paraId="03060231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6DE074D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CANX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6EE6F6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33ED6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7264F7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0.888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3C489E4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20.0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5EA9FA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ADF59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0.002*</w:t>
            </w:r>
          </w:p>
        </w:tc>
        <w:tc>
          <w:tcPr>
            <w:tcW w:w="2410" w:type="dxa"/>
            <w:shd w:val="clear" w:color="auto" w:fill="auto"/>
          </w:tcPr>
          <w:p w14:paraId="1757167A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MGS</w:t>
            </w:r>
          </w:p>
        </w:tc>
      </w:tr>
      <w:tr w:rsidR="00B86A39" w:rsidRPr="002E2583" w14:paraId="0C6EE090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188ECA4D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PAX3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8F39DCE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F9AA4B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90703D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0.236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D2C48F9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25.9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6F82C74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CE6098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0.905</w:t>
            </w:r>
          </w:p>
        </w:tc>
        <w:tc>
          <w:tcPr>
            <w:tcW w:w="2410" w:type="dxa"/>
            <w:shd w:val="clear" w:color="auto" w:fill="auto"/>
          </w:tcPr>
          <w:p w14:paraId="6D5C63D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MGS</w:t>
            </w:r>
          </w:p>
        </w:tc>
      </w:tr>
      <w:tr w:rsidR="00B86A39" w:rsidRPr="002E2583" w14:paraId="2B3656E4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14A9A34C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SPTLC1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AEA49D0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1E9B0A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62E866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0.303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1E6167A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23.4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2F8F4A0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CD81B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0.132</w:t>
            </w:r>
          </w:p>
        </w:tc>
        <w:tc>
          <w:tcPr>
            <w:tcW w:w="2410" w:type="dxa"/>
            <w:shd w:val="clear" w:color="auto" w:fill="auto"/>
          </w:tcPr>
          <w:p w14:paraId="0DF5D699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MGS</w:t>
            </w:r>
          </w:p>
        </w:tc>
      </w:tr>
      <w:tr w:rsidR="00B86A39" w:rsidRPr="002E2583" w14:paraId="036AA592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5EB04237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UGCG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AE92C9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FA8CB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6DB3FB9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0.200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4287D16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21.7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053AFE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8EFA0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0.580</w:t>
            </w:r>
          </w:p>
        </w:tc>
        <w:tc>
          <w:tcPr>
            <w:tcW w:w="2410" w:type="dxa"/>
            <w:shd w:val="clear" w:color="auto" w:fill="auto"/>
          </w:tcPr>
          <w:p w14:paraId="791A5CE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MGS</w:t>
            </w:r>
          </w:p>
        </w:tc>
      </w:tr>
      <w:tr w:rsidR="00B86A39" w:rsidRPr="002E2583" w14:paraId="03AAB80E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2D5E869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ACSL5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E5D28D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39FFB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B4D5A04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0.903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18332C7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28.8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13FE8B8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CF87F4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0.274</w:t>
            </w:r>
          </w:p>
        </w:tc>
        <w:tc>
          <w:tcPr>
            <w:tcW w:w="2410" w:type="dxa"/>
            <w:shd w:val="clear" w:color="auto" w:fill="auto"/>
          </w:tcPr>
          <w:p w14:paraId="339F5C7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MGS</w:t>
            </w:r>
          </w:p>
        </w:tc>
      </w:tr>
      <w:tr w:rsidR="00B86A39" w:rsidRPr="002E2583" w14:paraId="54868148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4763AE1D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CD55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61B797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10CEF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E07454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0.120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FDBA6E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22.1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8A018A8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DECC5C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0.603</w:t>
            </w:r>
          </w:p>
        </w:tc>
        <w:tc>
          <w:tcPr>
            <w:tcW w:w="2410" w:type="dxa"/>
            <w:shd w:val="clear" w:color="auto" w:fill="auto"/>
          </w:tcPr>
          <w:p w14:paraId="4E52AB68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MGS</w:t>
            </w:r>
          </w:p>
        </w:tc>
      </w:tr>
      <w:tr w:rsidR="00B86A39" w:rsidRPr="002E2583" w14:paraId="68C6F36E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471A9274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BAFF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1714A2D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37789D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51AF7D4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0.947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6A23CDB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31.2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9058A47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96B52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0.916</w:t>
            </w:r>
          </w:p>
        </w:tc>
        <w:tc>
          <w:tcPr>
            <w:tcW w:w="2410" w:type="dxa"/>
            <w:shd w:val="clear" w:color="auto" w:fill="auto"/>
          </w:tcPr>
          <w:p w14:paraId="04AFD690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MGS</w:t>
            </w:r>
          </w:p>
        </w:tc>
      </w:tr>
      <w:tr w:rsidR="00B86A39" w:rsidRPr="002E2583" w14:paraId="4163D0AA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3375A7BE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IL6ST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3B0E343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21.0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0B66DD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476313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0.827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54AA11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21.1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B1292F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9C328B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0.596</w:t>
            </w:r>
          </w:p>
        </w:tc>
        <w:tc>
          <w:tcPr>
            <w:tcW w:w="2410" w:type="dxa"/>
            <w:shd w:val="clear" w:color="auto" w:fill="auto"/>
          </w:tcPr>
          <w:p w14:paraId="5D4BD629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MGS</w:t>
            </w:r>
          </w:p>
        </w:tc>
      </w:tr>
      <w:tr w:rsidR="00B86A39" w:rsidRPr="002E2583" w14:paraId="1B579302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2D48E792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AKT2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0E88F66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D2213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C50D056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0.663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355442A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22.5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924DFB0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A65A5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0.001*</w:t>
            </w:r>
          </w:p>
        </w:tc>
        <w:tc>
          <w:tcPr>
            <w:tcW w:w="2410" w:type="dxa"/>
            <w:shd w:val="clear" w:color="auto" w:fill="auto"/>
          </w:tcPr>
          <w:p w14:paraId="66E5DCE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MGS</w:t>
            </w:r>
          </w:p>
        </w:tc>
      </w:tr>
      <w:tr w:rsidR="00B86A39" w:rsidRPr="002E2583" w14:paraId="1250F5FD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09AF8374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MAP4K5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D52B6C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3BE97B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A78FC0E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0.082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E6AA643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23.2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C7937E0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61568D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0.971</w:t>
            </w:r>
          </w:p>
        </w:tc>
        <w:tc>
          <w:tcPr>
            <w:tcW w:w="2410" w:type="dxa"/>
            <w:shd w:val="clear" w:color="auto" w:fill="auto"/>
          </w:tcPr>
          <w:p w14:paraId="3E4258A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  <w:proofErr w:type="spellStart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>hrs</w:t>
            </w:r>
            <w:proofErr w:type="spellEnd"/>
            <w:r w:rsidRPr="002E2583">
              <w:rPr>
                <w:rFonts w:ascii="Arial" w:eastAsia="Times New Roman" w:hAnsi="Arial" w:cs="Arial"/>
                <w:sz w:val="18"/>
                <w:szCs w:val="18"/>
              </w:rPr>
              <w:t xml:space="preserve"> MGS</w:t>
            </w:r>
          </w:p>
        </w:tc>
      </w:tr>
      <w:tr w:rsidR="00B86A39" w:rsidRPr="002E2583" w14:paraId="66C3ED47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46F9982B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FAM136A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04F785E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C9AAAE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A5AADA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0.759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0985EA4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25.0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0736D3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314380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0.005*</w:t>
            </w:r>
          </w:p>
        </w:tc>
        <w:tc>
          <w:tcPr>
            <w:tcW w:w="2410" w:type="dxa"/>
            <w:shd w:val="clear" w:color="auto" w:fill="auto"/>
          </w:tcPr>
          <w:p w14:paraId="77F756A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5 days untreated</w:t>
            </w:r>
          </w:p>
        </w:tc>
      </w:tr>
      <w:tr w:rsidR="00B86A39" w:rsidRPr="002E2583" w14:paraId="1AB67168" w14:textId="77777777" w:rsidTr="008C3537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0572A805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i/>
                <w:sz w:val="18"/>
                <w:szCs w:val="18"/>
              </w:rPr>
              <w:t>FAM69A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AA47886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B062B4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3C76BCF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0.463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47FA491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22.0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FD90347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5F81E7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0.645</w:t>
            </w:r>
          </w:p>
        </w:tc>
        <w:tc>
          <w:tcPr>
            <w:tcW w:w="2410" w:type="dxa"/>
            <w:shd w:val="clear" w:color="auto" w:fill="auto"/>
          </w:tcPr>
          <w:p w14:paraId="72073CDA" w14:textId="77777777" w:rsidR="00977F8A" w:rsidRPr="002E2583" w:rsidRDefault="00977F8A" w:rsidP="00612A54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2583">
              <w:rPr>
                <w:rFonts w:ascii="Arial" w:eastAsia="Times New Roman" w:hAnsi="Arial" w:cs="Arial"/>
                <w:sz w:val="18"/>
                <w:szCs w:val="18"/>
              </w:rPr>
              <w:t>5 days MGS</w:t>
            </w:r>
          </w:p>
        </w:tc>
      </w:tr>
    </w:tbl>
    <w:p w14:paraId="577982B4" w14:textId="04FA83C1" w:rsidR="00A07DE9" w:rsidRDefault="00A07DE9"/>
    <w:p w14:paraId="3DE8402D" w14:textId="1B255857" w:rsidR="00004BFB" w:rsidRPr="00AA1EA0" w:rsidRDefault="00C13936" w:rsidP="00AA1EA0">
      <w:pPr>
        <w:pStyle w:val="Figurecaptions"/>
        <w:rPr>
          <w:b/>
          <w:color w:val="000000"/>
          <w:sz w:val="22"/>
        </w:rPr>
      </w:pPr>
      <w:r>
        <w:rPr>
          <w:b/>
          <w:color w:val="000000"/>
          <w:sz w:val="22"/>
          <w:lang w:val="en-GB"/>
        </w:rPr>
        <w:t>F</w:t>
      </w:r>
      <w:r w:rsidR="00004BFB" w:rsidRPr="00AA1EA0">
        <w:rPr>
          <w:b/>
          <w:color w:val="000000"/>
          <w:sz w:val="22"/>
          <w:lang w:val="en-GB"/>
        </w:rPr>
        <w:t xml:space="preserve">igure </w:t>
      </w:r>
      <w:bookmarkStart w:id="0" w:name="_GoBack"/>
      <w:bookmarkEnd w:id="0"/>
      <w:r w:rsidRPr="00AA1EA0">
        <w:rPr>
          <w:b/>
          <w:color w:val="000000"/>
          <w:sz w:val="22"/>
          <w:lang w:val="en-GB"/>
        </w:rPr>
        <w:t>S</w:t>
      </w:r>
      <w:r w:rsidR="00004BFB" w:rsidRPr="00AA1EA0">
        <w:rPr>
          <w:b/>
          <w:color w:val="000000"/>
          <w:sz w:val="22"/>
          <w:lang w:val="en-GB"/>
        </w:rPr>
        <w:t xml:space="preserve">2. </w:t>
      </w:r>
      <w:r w:rsidR="00004BFB" w:rsidRPr="00AA1EA0">
        <w:rPr>
          <w:b/>
          <w:color w:val="000000"/>
          <w:sz w:val="22"/>
        </w:rPr>
        <w:t xml:space="preserve">Control MG and OP-MG myocytes show different gene expression profiles. </w:t>
      </w:r>
    </w:p>
    <w:p w14:paraId="2C485C04" w14:textId="77777777" w:rsidR="00004BFB" w:rsidRDefault="00004BFB" w:rsidP="00004BFB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6EFED553" w14:textId="77777777" w:rsidR="00004BFB" w:rsidRPr="002545B8" w:rsidRDefault="00004BFB" w:rsidP="00004BFB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6C2C3A60" wp14:editId="77C864F7">
            <wp:extent cx="5727700" cy="43173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_Fig2_pub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AC31E" w14:textId="0A65A972" w:rsidR="00004BFB" w:rsidRPr="00004BFB" w:rsidRDefault="00004BFB" w:rsidP="00C4256F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04BFB">
        <w:rPr>
          <w:rFonts w:ascii="Arial" w:hAnsi="Arial" w:cs="Arial"/>
          <w:color w:val="000000"/>
          <w:sz w:val="22"/>
          <w:szCs w:val="22"/>
        </w:rPr>
        <w:t xml:space="preserve">RNA was extracted from untreated and MG sera (MGS) treated control MG (n=6) and OP-MG (n=10) myocytes after 48 hours </w:t>
      </w:r>
      <w:r w:rsidR="00C4256F">
        <w:rPr>
          <w:rFonts w:ascii="Arial" w:hAnsi="Arial" w:cs="Arial"/>
          <w:color w:val="000000"/>
          <w:sz w:val="22"/>
          <w:szCs w:val="22"/>
        </w:rPr>
        <w:t xml:space="preserve">and 5 days </w:t>
      </w:r>
      <w:r w:rsidRPr="00004BFB">
        <w:rPr>
          <w:rFonts w:ascii="Arial" w:hAnsi="Arial" w:cs="Arial"/>
          <w:color w:val="000000"/>
          <w:sz w:val="22"/>
          <w:szCs w:val="22"/>
        </w:rPr>
        <w:t>differentiation as described. Target gene expression levels were determined using the custom qPCR gene expression array and a fold change in gene expression (OP-MG/control MG) was calculated for each gene in each of the four models: early and late muscle models (untreated) and early and late MG models (MGS treated). Genes with statistically significant (p&lt;0.0</w:t>
      </w:r>
      <w:r w:rsidR="00495340">
        <w:rPr>
          <w:rFonts w:ascii="Arial" w:hAnsi="Arial" w:cs="Arial"/>
          <w:color w:val="000000"/>
          <w:sz w:val="22"/>
          <w:szCs w:val="22"/>
        </w:rPr>
        <w:t>5</w:t>
      </w:r>
      <w:r w:rsidRPr="00004BFB">
        <w:rPr>
          <w:rFonts w:ascii="Arial" w:hAnsi="Arial" w:cs="Arial"/>
          <w:color w:val="000000"/>
          <w:sz w:val="22"/>
          <w:szCs w:val="22"/>
        </w:rPr>
        <w:t>) fold changes</w:t>
      </w:r>
      <w:r w:rsidR="00E02A33">
        <w:rPr>
          <w:rFonts w:ascii="Arial" w:hAnsi="Arial" w:cs="Arial"/>
          <w:color w:val="000000"/>
          <w:sz w:val="22"/>
          <w:szCs w:val="22"/>
        </w:rPr>
        <w:t xml:space="preserve"> which are not shown in Fig. 1</w:t>
      </w:r>
      <w:r w:rsidRPr="00004BFB">
        <w:rPr>
          <w:rFonts w:ascii="Arial" w:hAnsi="Arial" w:cs="Arial"/>
          <w:color w:val="000000"/>
          <w:sz w:val="22"/>
          <w:szCs w:val="22"/>
        </w:rPr>
        <w:t xml:space="preserve"> are shown </w:t>
      </w:r>
      <w:r w:rsidR="00E02A33">
        <w:rPr>
          <w:rFonts w:ascii="Arial" w:hAnsi="Arial" w:cs="Arial"/>
          <w:color w:val="000000"/>
          <w:sz w:val="22"/>
          <w:szCs w:val="22"/>
        </w:rPr>
        <w:t>here</w:t>
      </w:r>
      <w:r w:rsidRPr="00004BFB">
        <w:rPr>
          <w:rFonts w:ascii="Arial" w:hAnsi="Arial" w:cs="Arial"/>
          <w:color w:val="000000"/>
          <w:sz w:val="22"/>
          <w:szCs w:val="22"/>
        </w:rPr>
        <w:t>. A</w:t>
      </w:r>
      <w:r w:rsidR="001B0C82">
        <w:rPr>
          <w:rFonts w:ascii="Arial" w:hAnsi="Arial" w:cs="Arial"/>
          <w:color w:val="000000"/>
          <w:sz w:val="22"/>
          <w:szCs w:val="22"/>
        </w:rPr>
        <w:t>.</w:t>
      </w:r>
      <w:r w:rsidRPr="00004BFB">
        <w:rPr>
          <w:rFonts w:ascii="Arial" w:hAnsi="Arial" w:cs="Arial"/>
          <w:color w:val="000000"/>
          <w:sz w:val="22"/>
          <w:szCs w:val="22"/>
        </w:rPr>
        <w:t xml:space="preserve"> shows the fold change as an average of OP-MG/control MG samples (error bars show mean and 95% CI) and B</w:t>
      </w:r>
      <w:r w:rsidR="001B0C82">
        <w:rPr>
          <w:rFonts w:ascii="Arial" w:hAnsi="Arial" w:cs="Arial"/>
          <w:color w:val="000000"/>
          <w:sz w:val="22"/>
          <w:szCs w:val="22"/>
        </w:rPr>
        <w:t>.</w:t>
      </w:r>
      <w:r w:rsidRPr="00004BFB">
        <w:rPr>
          <w:rFonts w:ascii="Arial" w:hAnsi="Arial" w:cs="Arial"/>
          <w:color w:val="000000"/>
          <w:sz w:val="22"/>
          <w:szCs w:val="22"/>
        </w:rPr>
        <w:t xml:space="preserve"> shows the 2</w:t>
      </w:r>
      <w:r w:rsidRPr="00004BFB">
        <w:rPr>
          <w:rFonts w:ascii="Arial" w:hAnsi="Arial" w:cs="Arial"/>
          <w:color w:val="000000"/>
          <w:sz w:val="22"/>
          <w:szCs w:val="22"/>
          <w:vertAlign w:val="superscript"/>
        </w:rPr>
        <w:t>-∆</w:t>
      </w:r>
      <w:proofErr w:type="spellStart"/>
      <w:r w:rsidRPr="00004BFB">
        <w:rPr>
          <w:rFonts w:ascii="Arial" w:hAnsi="Arial" w:cs="Arial"/>
          <w:color w:val="000000"/>
          <w:sz w:val="22"/>
          <w:szCs w:val="22"/>
          <w:vertAlign w:val="superscript"/>
        </w:rPr>
        <w:t>Cq</w:t>
      </w:r>
      <w:proofErr w:type="spellEnd"/>
      <w:r w:rsidRPr="00004BFB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04BFB">
        <w:rPr>
          <w:rFonts w:ascii="Arial" w:hAnsi="Arial" w:cs="Arial"/>
          <w:color w:val="000000"/>
          <w:sz w:val="22"/>
          <w:szCs w:val="22"/>
        </w:rPr>
        <w:t>values for each sample (open circles=control MG, closed circles=OP-MG). Student’s t test was used for comparisons where the data was normally distributed, otherwise Mann-Whitney test was used (†) where Shapiro-Wilk normality test p&lt;0.05.</w:t>
      </w:r>
    </w:p>
    <w:p w14:paraId="199D2D86" w14:textId="2ADBB964" w:rsidR="00004BFB" w:rsidRDefault="00004BFB"/>
    <w:p w14:paraId="786400F1" w14:textId="045030B1" w:rsidR="00004BFB" w:rsidRPr="00612A54" w:rsidRDefault="00004BFB" w:rsidP="00004BFB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612A54">
        <w:rPr>
          <w:rFonts w:ascii="Arial" w:hAnsi="Arial" w:cs="Arial"/>
          <w:b/>
          <w:color w:val="000000"/>
          <w:sz w:val="22"/>
          <w:szCs w:val="22"/>
          <w:lang w:val="en-GB"/>
        </w:rPr>
        <w:t>References</w:t>
      </w:r>
    </w:p>
    <w:p w14:paraId="2F85088D" w14:textId="77777777" w:rsidR="00004BFB" w:rsidRPr="00612A54" w:rsidRDefault="00004BFB" w:rsidP="00004BFB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1DA5CB63" w14:textId="77777777" w:rsidR="00004BFB" w:rsidRPr="00612A54" w:rsidRDefault="00004BFB" w:rsidP="00004BF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noProof/>
          <w:sz w:val="22"/>
          <w:szCs w:val="22"/>
        </w:rPr>
      </w:pPr>
      <w:r w:rsidRPr="00612A54">
        <w:rPr>
          <w:rFonts w:ascii="Arial" w:hAnsi="Arial" w:cs="Arial"/>
          <w:noProof/>
          <w:sz w:val="22"/>
          <w:szCs w:val="22"/>
        </w:rPr>
        <w:t xml:space="preserve">1. Schmittgen TD, Livak KJ. Analyzing real-time PCR data by the comparative CT method. Nat Protoc. 2008;3:1101–8. </w:t>
      </w:r>
    </w:p>
    <w:p w14:paraId="7C785759" w14:textId="77777777" w:rsidR="00004BFB" w:rsidRPr="00612A54" w:rsidRDefault="00004BFB" w:rsidP="00004BF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noProof/>
          <w:sz w:val="22"/>
          <w:szCs w:val="22"/>
        </w:rPr>
      </w:pPr>
      <w:r w:rsidRPr="00612A54">
        <w:rPr>
          <w:rFonts w:ascii="Arial" w:hAnsi="Arial" w:cs="Arial"/>
          <w:noProof/>
          <w:sz w:val="22"/>
          <w:szCs w:val="22"/>
        </w:rPr>
        <w:t xml:space="preserve">2. Vandesompele J, De Preter K, Pattyn F, Poppe B, Van Roy N, De Paepe A, et al. Accurate normalization of real-time quantitative RT-PCR data by geometric averaging of multiple internal control genes. Genome Biol. 2002;3:RESEARCH0034. </w:t>
      </w:r>
    </w:p>
    <w:p w14:paraId="4A63F969" w14:textId="5BC2617B" w:rsidR="00004BFB" w:rsidRPr="001B0C82" w:rsidRDefault="00004BFB" w:rsidP="001B0C8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noProof/>
          <w:sz w:val="22"/>
          <w:szCs w:val="22"/>
        </w:rPr>
      </w:pPr>
      <w:r w:rsidRPr="00612A54">
        <w:rPr>
          <w:rFonts w:ascii="Arial" w:hAnsi="Arial" w:cs="Arial"/>
          <w:noProof/>
          <w:sz w:val="22"/>
          <w:szCs w:val="22"/>
        </w:rPr>
        <w:t xml:space="preserve">3. Pfaffl MW, Tichopad A, Prgomet C, Neuvians TP. Determination of stable housekeeping genes, differentially regulated target genes and sample integrity: BestKeeper--Excel-based tool using pair-wise correlations. Biotechnol Lett. 2004;26:509–15. </w:t>
      </w:r>
    </w:p>
    <w:sectPr w:rsidR="00004BFB" w:rsidRPr="001B0C82" w:rsidSect="00035DA7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F2312" w14:textId="77777777" w:rsidR="008B3FEE" w:rsidRDefault="008B3FEE" w:rsidP="007A7A43">
      <w:r>
        <w:separator/>
      </w:r>
    </w:p>
  </w:endnote>
  <w:endnote w:type="continuationSeparator" w:id="0">
    <w:p w14:paraId="52B5A696" w14:textId="77777777" w:rsidR="008B3FEE" w:rsidRDefault="008B3FEE" w:rsidP="007A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913A4" w14:textId="77777777" w:rsidR="008B3FEE" w:rsidRDefault="008B3FEE" w:rsidP="007A7A43">
      <w:r>
        <w:separator/>
      </w:r>
    </w:p>
  </w:footnote>
  <w:footnote w:type="continuationSeparator" w:id="0">
    <w:p w14:paraId="3177D9F2" w14:textId="77777777" w:rsidR="008B3FEE" w:rsidRDefault="008B3FEE" w:rsidP="007A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922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8F2424" w14:textId="25BB7D03" w:rsidR="004527E3" w:rsidRDefault="004527E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9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F22992" w14:textId="77777777" w:rsidR="004527E3" w:rsidRDefault="00452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6"/>
  </w:docVars>
  <w:rsids>
    <w:rsidRoot w:val="008D43C9"/>
    <w:rsid w:val="00004BFB"/>
    <w:rsid w:val="00035DA7"/>
    <w:rsid w:val="00055F9C"/>
    <w:rsid w:val="000C38BB"/>
    <w:rsid w:val="000D7D3E"/>
    <w:rsid w:val="00131137"/>
    <w:rsid w:val="0015498C"/>
    <w:rsid w:val="001A4E60"/>
    <w:rsid w:val="001B0C82"/>
    <w:rsid w:val="001C2013"/>
    <w:rsid w:val="001F0577"/>
    <w:rsid w:val="00203907"/>
    <w:rsid w:val="002545B8"/>
    <w:rsid w:val="002E2583"/>
    <w:rsid w:val="0032263C"/>
    <w:rsid w:val="00381D74"/>
    <w:rsid w:val="00390248"/>
    <w:rsid w:val="003F6A67"/>
    <w:rsid w:val="00416D3C"/>
    <w:rsid w:val="004527E3"/>
    <w:rsid w:val="004916BC"/>
    <w:rsid w:val="00495340"/>
    <w:rsid w:val="004C4BB5"/>
    <w:rsid w:val="004F7960"/>
    <w:rsid w:val="00511AA6"/>
    <w:rsid w:val="00550DFF"/>
    <w:rsid w:val="00564948"/>
    <w:rsid w:val="00582B8A"/>
    <w:rsid w:val="00586D9E"/>
    <w:rsid w:val="00593F2A"/>
    <w:rsid w:val="00597E01"/>
    <w:rsid w:val="005A4D06"/>
    <w:rsid w:val="005A7BC7"/>
    <w:rsid w:val="005B4668"/>
    <w:rsid w:val="005B5342"/>
    <w:rsid w:val="005E376C"/>
    <w:rsid w:val="005F2F91"/>
    <w:rsid w:val="005F419F"/>
    <w:rsid w:val="00612A54"/>
    <w:rsid w:val="0061390E"/>
    <w:rsid w:val="00692CC5"/>
    <w:rsid w:val="006A0C0D"/>
    <w:rsid w:val="006E2E5B"/>
    <w:rsid w:val="006E39D4"/>
    <w:rsid w:val="00705C58"/>
    <w:rsid w:val="007631F3"/>
    <w:rsid w:val="007A7A43"/>
    <w:rsid w:val="007D7537"/>
    <w:rsid w:val="007E4A5B"/>
    <w:rsid w:val="008413B4"/>
    <w:rsid w:val="008439D9"/>
    <w:rsid w:val="00844122"/>
    <w:rsid w:val="00847253"/>
    <w:rsid w:val="00850A35"/>
    <w:rsid w:val="00863A7D"/>
    <w:rsid w:val="008B3FEE"/>
    <w:rsid w:val="008C3537"/>
    <w:rsid w:val="008D43C9"/>
    <w:rsid w:val="00960EF5"/>
    <w:rsid w:val="00977F8A"/>
    <w:rsid w:val="00990924"/>
    <w:rsid w:val="0099265B"/>
    <w:rsid w:val="00995770"/>
    <w:rsid w:val="009B0B22"/>
    <w:rsid w:val="009D0DD0"/>
    <w:rsid w:val="00A07DE9"/>
    <w:rsid w:val="00A779DC"/>
    <w:rsid w:val="00AA1EA0"/>
    <w:rsid w:val="00AB7148"/>
    <w:rsid w:val="00AC0846"/>
    <w:rsid w:val="00B42C7A"/>
    <w:rsid w:val="00B674B7"/>
    <w:rsid w:val="00B770BF"/>
    <w:rsid w:val="00B77576"/>
    <w:rsid w:val="00B86A39"/>
    <w:rsid w:val="00B91C75"/>
    <w:rsid w:val="00BB0E18"/>
    <w:rsid w:val="00BC238F"/>
    <w:rsid w:val="00BD2F3A"/>
    <w:rsid w:val="00C069E6"/>
    <w:rsid w:val="00C13936"/>
    <w:rsid w:val="00C4256F"/>
    <w:rsid w:val="00C56584"/>
    <w:rsid w:val="00C647A5"/>
    <w:rsid w:val="00C9271F"/>
    <w:rsid w:val="00D22CEF"/>
    <w:rsid w:val="00D306EC"/>
    <w:rsid w:val="00D517A6"/>
    <w:rsid w:val="00D85970"/>
    <w:rsid w:val="00DE1CA5"/>
    <w:rsid w:val="00DE3225"/>
    <w:rsid w:val="00E02A33"/>
    <w:rsid w:val="00E56D96"/>
    <w:rsid w:val="00EC489F"/>
    <w:rsid w:val="00EE252A"/>
    <w:rsid w:val="00EF25D1"/>
    <w:rsid w:val="00F24630"/>
    <w:rsid w:val="00F9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E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77"/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57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013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201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A43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7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43"/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7A43"/>
    <w:pPr>
      <w:ind w:left="720"/>
      <w:contextualSpacing/>
    </w:pPr>
  </w:style>
  <w:style w:type="paragraph" w:customStyle="1" w:styleId="Figurecaptions">
    <w:name w:val="Figure captions"/>
    <w:basedOn w:val="Normal"/>
    <w:qFormat/>
    <w:rsid w:val="00055F9C"/>
    <w:pPr>
      <w:adjustRightInd w:val="0"/>
      <w:jc w:val="both"/>
    </w:pPr>
    <w:rPr>
      <w:rFonts w:ascii="Arial" w:hAnsi="Arial" w:cs="Arial"/>
      <w:noProof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77"/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57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013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201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A43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7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43"/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7A43"/>
    <w:pPr>
      <w:ind w:left="720"/>
      <w:contextualSpacing/>
    </w:pPr>
  </w:style>
  <w:style w:type="paragraph" w:customStyle="1" w:styleId="Figurecaptions">
    <w:name w:val="Figure captions"/>
    <w:basedOn w:val="Normal"/>
    <w:qFormat/>
    <w:rsid w:val="00055F9C"/>
    <w:pPr>
      <w:adjustRightInd w:val="0"/>
      <w:jc w:val="both"/>
    </w:pPr>
    <w:rPr>
      <w:rFonts w:ascii="Arial" w:hAnsi="Arial" w:cs="Arial"/>
      <w:noProof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F1FBAD-F63D-46F8-8632-D8BAA7AE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1689</Words>
  <Characters>8315</Characters>
  <Application>Microsoft Office Word</Application>
  <DocSecurity>0</DocSecurity>
  <Lines>692</Lines>
  <Paragraphs>555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Nel</dc:creator>
  <cp:keywords/>
  <dc:description/>
  <cp:lastModifiedBy>MLAPINIG</cp:lastModifiedBy>
  <cp:revision>23</cp:revision>
  <dcterms:created xsi:type="dcterms:W3CDTF">2019-01-07T14:22:00Z</dcterms:created>
  <dcterms:modified xsi:type="dcterms:W3CDTF">2019-01-22T19:06:00Z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http://www.zotero.org/styles/frontiers-in-genetics</vt:lpwstr>
  </property>
  <property fmtid="{D5CDD505-2E9C-101B-9397-08002B2CF9AE}" pid="13" name="Mendeley Recent Style Name 5_1">
    <vt:lpwstr>Frontiers in Genetics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http://www.zotero.org/styles/orphanet-journal-of-rare-diseases</vt:lpwstr>
  </property>
  <property fmtid="{D5CDD505-2E9C-101B-9397-08002B2CF9AE}" pid="19" name="Mendeley Recent Style Name 8_1">
    <vt:lpwstr>Orphanet Journal of Rare Diseases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