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54B" w:rsidRPr="0077354B" w:rsidRDefault="004A42DF" w:rsidP="0077354B">
      <w:pPr>
        <w:spacing w:after="0" w:line="360" w:lineRule="auto"/>
        <w:rPr>
          <w:rFonts w:ascii="Times New Roman" w:eastAsia="Times New Roman" w:hAnsi="Times New Roman" w:cs="Times New Roman"/>
          <w:b/>
          <w:sz w:val="32"/>
          <w:szCs w:val="24"/>
          <w:lang w:val="en-US" w:eastAsia="fr-FR"/>
        </w:rPr>
      </w:pPr>
      <w:r>
        <w:rPr>
          <w:rFonts w:ascii="Times New Roman" w:eastAsia="Times New Roman" w:hAnsi="Times New Roman" w:cs="Times New Roman"/>
          <w:b/>
          <w:sz w:val="32"/>
          <w:szCs w:val="24"/>
          <w:lang w:val="en-US" w:eastAsia="fr-FR"/>
        </w:rPr>
        <w:t xml:space="preserve">Additional </w:t>
      </w:r>
      <w:bookmarkStart w:id="0" w:name="_GoBack"/>
      <w:bookmarkEnd w:id="0"/>
      <w:r>
        <w:rPr>
          <w:rFonts w:ascii="Times New Roman" w:eastAsia="Times New Roman" w:hAnsi="Times New Roman" w:cs="Times New Roman"/>
          <w:b/>
          <w:sz w:val="32"/>
          <w:szCs w:val="24"/>
          <w:lang w:val="en-US" w:eastAsia="fr-FR"/>
        </w:rPr>
        <w:t>file 1</w:t>
      </w:r>
    </w:p>
    <w:p w:rsidR="00AD2F6F" w:rsidRPr="00C23830" w:rsidRDefault="00AD2F6F" w:rsidP="0077354B">
      <w:pPr>
        <w:spacing w:after="0" w:line="360" w:lineRule="auto"/>
        <w:rPr>
          <w:rFonts w:ascii="Times New Roman" w:eastAsia="Times New Roman" w:hAnsi="Times New Roman" w:cs="Times New Roman"/>
          <w:b/>
          <w:sz w:val="24"/>
          <w:szCs w:val="24"/>
          <w:u w:val="single"/>
          <w:lang w:val="en-US" w:eastAsia="fr-FR"/>
        </w:rPr>
      </w:pPr>
    </w:p>
    <w:sdt>
      <w:sdtPr>
        <w:rPr>
          <w:rFonts w:asciiTheme="minorHAnsi" w:eastAsiaTheme="minorHAnsi" w:hAnsiTheme="minorHAnsi" w:cstheme="minorBidi"/>
          <w:color w:val="auto"/>
          <w:sz w:val="22"/>
          <w:szCs w:val="22"/>
          <w:lang w:val="fr-FR"/>
        </w:rPr>
        <w:id w:val="1704289649"/>
        <w:docPartObj>
          <w:docPartGallery w:val="Table of Contents"/>
          <w:docPartUnique/>
        </w:docPartObj>
      </w:sdtPr>
      <w:sdtEndPr>
        <w:rPr>
          <w:b/>
          <w:bCs/>
          <w:noProof/>
        </w:rPr>
      </w:sdtEndPr>
      <w:sdtContent>
        <w:p w:rsidR="00C23830" w:rsidRPr="00C23830" w:rsidRDefault="00C23830">
          <w:pPr>
            <w:pStyle w:val="TOCHeading"/>
            <w:rPr>
              <w:rFonts w:ascii="Times New Roman" w:hAnsi="Times New Roman" w:cs="Times New Roman"/>
              <w:b/>
              <w:color w:val="000000" w:themeColor="text1"/>
              <w:sz w:val="24"/>
            </w:rPr>
          </w:pPr>
          <w:r w:rsidRPr="00C23830">
            <w:rPr>
              <w:rFonts w:ascii="Times New Roman" w:hAnsi="Times New Roman" w:cs="Times New Roman"/>
              <w:b/>
              <w:color w:val="000000" w:themeColor="text1"/>
              <w:sz w:val="24"/>
            </w:rPr>
            <w:t>Table of Contents</w:t>
          </w:r>
        </w:p>
        <w:p w:rsidR="00C23830" w:rsidRPr="00C23830" w:rsidRDefault="00C23830" w:rsidP="00C23830">
          <w:pPr>
            <w:rPr>
              <w:lang w:val="en-US"/>
            </w:rPr>
          </w:pPr>
        </w:p>
        <w:p w:rsidR="0074617C" w:rsidRDefault="00C23830">
          <w:pPr>
            <w:pStyle w:val="TOC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523247786" w:history="1">
            <w:r w:rsidR="0074617C" w:rsidRPr="006209AC">
              <w:rPr>
                <w:rStyle w:val="Hyperlink"/>
                <w:rFonts w:ascii="Times New Roman" w:eastAsia="Times New Roman" w:hAnsi="Times New Roman" w:cs="Times New Roman"/>
                <w:b/>
                <w:noProof/>
                <w:lang w:val="en-US" w:eastAsia="fr-FR"/>
              </w:rPr>
              <w:t>Supplementary Methods</w:t>
            </w:r>
            <w:r w:rsidR="0074617C">
              <w:rPr>
                <w:noProof/>
                <w:webHidden/>
              </w:rPr>
              <w:tab/>
            </w:r>
            <w:r w:rsidR="0074617C">
              <w:rPr>
                <w:noProof/>
                <w:webHidden/>
              </w:rPr>
              <w:fldChar w:fldCharType="begin"/>
            </w:r>
            <w:r w:rsidR="0074617C">
              <w:rPr>
                <w:noProof/>
                <w:webHidden/>
              </w:rPr>
              <w:instrText xml:space="preserve"> PAGEREF _Toc523247786 \h </w:instrText>
            </w:r>
            <w:r w:rsidR="0074617C">
              <w:rPr>
                <w:noProof/>
                <w:webHidden/>
              </w:rPr>
            </w:r>
            <w:r w:rsidR="0074617C">
              <w:rPr>
                <w:noProof/>
                <w:webHidden/>
              </w:rPr>
              <w:fldChar w:fldCharType="separate"/>
            </w:r>
            <w:r w:rsidR="00C36173">
              <w:rPr>
                <w:noProof/>
                <w:webHidden/>
              </w:rPr>
              <w:t>2</w:t>
            </w:r>
            <w:r w:rsidR="0074617C">
              <w:rPr>
                <w:noProof/>
                <w:webHidden/>
              </w:rPr>
              <w:fldChar w:fldCharType="end"/>
            </w:r>
          </w:hyperlink>
        </w:p>
        <w:p w:rsidR="0074617C" w:rsidRDefault="003A3064">
          <w:pPr>
            <w:pStyle w:val="TOC1"/>
            <w:tabs>
              <w:tab w:val="right" w:leader="dot" w:pos="9062"/>
            </w:tabs>
            <w:rPr>
              <w:rFonts w:eastAsiaTheme="minorEastAsia"/>
              <w:noProof/>
              <w:lang w:eastAsia="fr-FR"/>
            </w:rPr>
          </w:pPr>
          <w:hyperlink w:anchor="_Toc523247787" w:history="1">
            <w:r w:rsidR="0074617C" w:rsidRPr="006209AC">
              <w:rPr>
                <w:rStyle w:val="Hyperlink"/>
                <w:rFonts w:ascii="Times New Roman" w:eastAsia="Times New Roman" w:hAnsi="Times New Roman" w:cs="Times New Roman"/>
                <w:b/>
                <w:noProof/>
                <w:lang w:val="en-US" w:eastAsia="fr-FR"/>
              </w:rPr>
              <w:t>Supplementary Figures</w:t>
            </w:r>
            <w:r w:rsidR="0074617C">
              <w:rPr>
                <w:noProof/>
                <w:webHidden/>
              </w:rPr>
              <w:tab/>
            </w:r>
            <w:r w:rsidR="0074617C">
              <w:rPr>
                <w:noProof/>
                <w:webHidden/>
              </w:rPr>
              <w:fldChar w:fldCharType="begin"/>
            </w:r>
            <w:r w:rsidR="0074617C">
              <w:rPr>
                <w:noProof/>
                <w:webHidden/>
              </w:rPr>
              <w:instrText xml:space="preserve"> PAGEREF _Toc523247787 \h </w:instrText>
            </w:r>
            <w:r w:rsidR="0074617C">
              <w:rPr>
                <w:noProof/>
                <w:webHidden/>
              </w:rPr>
            </w:r>
            <w:r w:rsidR="0074617C">
              <w:rPr>
                <w:noProof/>
                <w:webHidden/>
              </w:rPr>
              <w:fldChar w:fldCharType="separate"/>
            </w:r>
            <w:r w:rsidR="00C36173">
              <w:rPr>
                <w:noProof/>
                <w:webHidden/>
              </w:rPr>
              <w:t>8</w:t>
            </w:r>
            <w:r w:rsidR="0074617C">
              <w:rPr>
                <w:noProof/>
                <w:webHidden/>
              </w:rPr>
              <w:fldChar w:fldCharType="end"/>
            </w:r>
          </w:hyperlink>
        </w:p>
        <w:p w:rsidR="0074617C" w:rsidRDefault="003A3064">
          <w:pPr>
            <w:pStyle w:val="TOC1"/>
            <w:tabs>
              <w:tab w:val="right" w:leader="dot" w:pos="9062"/>
            </w:tabs>
            <w:rPr>
              <w:rFonts w:eastAsiaTheme="minorEastAsia"/>
              <w:noProof/>
              <w:lang w:eastAsia="fr-FR"/>
            </w:rPr>
          </w:pPr>
          <w:hyperlink w:anchor="_Toc523247788" w:history="1">
            <w:r w:rsidR="0074617C" w:rsidRPr="006209AC">
              <w:rPr>
                <w:rStyle w:val="Hyperlink"/>
                <w:rFonts w:ascii="Times New Roman" w:hAnsi="Times New Roman" w:cs="Times New Roman"/>
                <w:b/>
                <w:noProof/>
                <w:lang w:val="en-US"/>
              </w:rPr>
              <w:t>Supplementary tables</w:t>
            </w:r>
            <w:r w:rsidR="0074617C">
              <w:rPr>
                <w:noProof/>
                <w:webHidden/>
              </w:rPr>
              <w:tab/>
            </w:r>
            <w:r w:rsidR="0074617C">
              <w:rPr>
                <w:noProof/>
                <w:webHidden/>
              </w:rPr>
              <w:fldChar w:fldCharType="begin"/>
            </w:r>
            <w:r w:rsidR="0074617C">
              <w:rPr>
                <w:noProof/>
                <w:webHidden/>
              </w:rPr>
              <w:instrText xml:space="preserve"> PAGEREF _Toc523247788 \h </w:instrText>
            </w:r>
            <w:r w:rsidR="0074617C">
              <w:rPr>
                <w:noProof/>
                <w:webHidden/>
              </w:rPr>
            </w:r>
            <w:r w:rsidR="0074617C">
              <w:rPr>
                <w:noProof/>
                <w:webHidden/>
              </w:rPr>
              <w:fldChar w:fldCharType="separate"/>
            </w:r>
            <w:r w:rsidR="00C36173">
              <w:rPr>
                <w:noProof/>
                <w:webHidden/>
              </w:rPr>
              <w:t>10</w:t>
            </w:r>
            <w:r w:rsidR="0074617C">
              <w:rPr>
                <w:noProof/>
                <w:webHidden/>
              </w:rPr>
              <w:fldChar w:fldCharType="end"/>
            </w:r>
          </w:hyperlink>
        </w:p>
        <w:p w:rsidR="0074617C" w:rsidRDefault="003A3064">
          <w:pPr>
            <w:pStyle w:val="TOC1"/>
            <w:tabs>
              <w:tab w:val="right" w:leader="dot" w:pos="9062"/>
            </w:tabs>
            <w:rPr>
              <w:rFonts w:eastAsiaTheme="minorEastAsia"/>
              <w:noProof/>
              <w:lang w:eastAsia="fr-FR"/>
            </w:rPr>
          </w:pPr>
          <w:hyperlink w:anchor="_Toc523247789" w:history="1">
            <w:r w:rsidR="0074617C" w:rsidRPr="006209AC">
              <w:rPr>
                <w:rStyle w:val="Hyperlink"/>
                <w:rFonts w:ascii="Times New Roman" w:hAnsi="Times New Roman" w:cs="Times New Roman"/>
                <w:b/>
                <w:noProof/>
                <w:lang w:val="en-US"/>
              </w:rPr>
              <w:t>References</w:t>
            </w:r>
            <w:r w:rsidR="0074617C">
              <w:rPr>
                <w:noProof/>
                <w:webHidden/>
              </w:rPr>
              <w:tab/>
            </w:r>
            <w:r w:rsidR="0074617C">
              <w:rPr>
                <w:noProof/>
                <w:webHidden/>
              </w:rPr>
              <w:fldChar w:fldCharType="begin"/>
            </w:r>
            <w:r w:rsidR="0074617C">
              <w:rPr>
                <w:noProof/>
                <w:webHidden/>
              </w:rPr>
              <w:instrText xml:space="preserve"> PAGEREF _Toc523247789 \h </w:instrText>
            </w:r>
            <w:r w:rsidR="0074617C">
              <w:rPr>
                <w:noProof/>
                <w:webHidden/>
              </w:rPr>
            </w:r>
            <w:r w:rsidR="0074617C">
              <w:rPr>
                <w:noProof/>
                <w:webHidden/>
              </w:rPr>
              <w:fldChar w:fldCharType="separate"/>
            </w:r>
            <w:r w:rsidR="00C36173">
              <w:rPr>
                <w:noProof/>
                <w:webHidden/>
              </w:rPr>
              <w:t>20</w:t>
            </w:r>
            <w:r w:rsidR="0074617C">
              <w:rPr>
                <w:noProof/>
                <w:webHidden/>
              </w:rPr>
              <w:fldChar w:fldCharType="end"/>
            </w:r>
          </w:hyperlink>
        </w:p>
        <w:p w:rsidR="00C23830" w:rsidRDefault="00C23830">
          <w:r>
            <w:rPr>
              <w:b/>
              <w:bCs/>
              <w:noProof/>
            </w:rPr>
            <w:fldChar w:fldCharType="end"/>
          </w:r>
        </w:p>
      </w:sdtContent>
    </w:sdt>
    <w:p w:rsidR="0077354B" w:rsidRPr="00C23830" w:rsidRDefault="0077354B" w:rsidP="00C23830">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Default="0077354B" w:rsidP="0077354B">
      <w:pPr>
        <w:spacing w:after="0" w:line="360" w:lineRule="auto"/>
        <w:rPr>
          <w:rFonts w:ascii="Times New Roman" w:hAnsi="Times New Roman" w:cs="Times New Roman"/>
          <w:sz w:val="24"/>
          <w:lang w:val="en-US"/>
        </w:rPr>
      </w:pPr>
    </w:p>
    <w:p w:rsidR="0077354B" w:rsidRPr="0077354B" w:rsidRDefault="0077354B" w:rsidP="0077354B">
      <w:pPr>
        <w:pStyle w:val="Heading1"/>
        <w:rPr>
          <w:rFonts w:ascii="Times New Roman" w:eastAsia="Times New Roman" w:hAnsi="Times New Roman" w:cs="Times New Roman"/>
          <w:b/>
          <w:color w:val="000000" w:themeColor="text1"/>
          <w:sz w:val="28"/>
          <w:lang w:val="en-US" w:eastAsia="fr-FR"/>
        </w:rPr>
      </w:pPr>
      <w:bookmarkStart w:id="1" w:name="_Toc523247786"/>
      <w:r w:rsidRPr="0077354B">
        <w:rPr>
          <w:rFonts w:ascii="Times New Roman" w:eastAsia="Times New Roman" w:hAnsi="Times New Roman" w:cs="Times New Roman"/>
          <w:b/>
          <w:color w:val="000000" w:themeColor="text1"/>
          <w:sz w:val="28"/>
          <w:lang w:val="en-US" w:eastAsia="fr-FR"/>
        </w:rPr>
        <w:t>Supplementary Methods</w:t>
      </w:r>
      <w:bookmarkEnd w:id="1"/>
    </w:p>
    <w:p w:rsidR="0077354B" w:rsidRDefault="0077354B" w:rsidP="0077354B">
      <w:pPr>
        <w:spacing w:after="0" w:line="360" w:lineRule="auto"/>
        <w:rPr>
          <w:rFonts w:ascii="Times New Roman" w:eastAsia="Times New Roman" w:hAnsi="Times New Roman" w:cs="Times New Roman"/>
          <w:b/>
          <w:sz w:val="24"/>
          <w:szCs w:val="24"/>
          <w:lang w:val="en-US" w:eastAsia="fr-FR"/>
        </w:rPr>
      </w:pPr>
    </w:p>
    <w:p w:rsidR="0019394D" w:rsidRPr="00296084" w:rsidRDefault="0019394D" w:rsidP="0019394D">
      <w:pPr>
        <w:spacing w:after="0" w:line="360" w:lineRule="auto"/>
        <w:jc w:val="both"/>
        <w:rPr>
          <w:rFonts w:ascii="Times New Roman" w:hAnsi="Times New Roman" w:cs="Times New Roman"/>
          <w:sz w:val="24"/>
          <w:szCs w:val="24"/>
          <w:lang w:val="en-US"/>
        </w:rPr>
      </w:pPr>
      <w:r w:rsidRPr="00296084">
        <w:rPr>
          <w:rFonts w:ascii="Times New Roman" w:hAnsi="Times New Roman" w:cs="Times New Roman"/>
          <w:b/>
          <w:sz w:val="24"/>
          <w:lang w:val="en-US"/>
        </w:rPr>
        <w:t>Cell culture</w:t>
      </w:r>
    </w:p>
    <w:p w:rsidR="0019394D" w:rsidRPr="00296084" w:rsidRDefault="0019394D" w:rsidP="0019394D">
      <w:pPr>
        <w:spacing w:after="0" w:line="360" w:lineRule="auto"/>
        <w:ind w:firstLine="708"/>
        <w:jc w:val="both"/>
        <w:rPr>
          <w:rFonts w:ascii="Times New Roman" w:hAnsi="Times New Roman" w:cs="Times New Roman"/>
          <w:sz w:val="24"/>
          <w:szCs w:val="24"/>
          <w:lang w:val="en-US"/>
        </w:rPr>
      </w:pPr>
      <w:r w:rsidRPr="00296084">
        <w:rPr>
          <w:rFonts w:ascii="Times New Roman" w:hAnsi="Times New Roman" w:cs="Times New Roman"/>
          <w:sz w:val="24"/>
          <w:szCs w:val="24"/>
          <w:lang w:val="en-US"/>
        </w:rPr>
        <w:t>The LMS cell lines IB112 and IB136 and the uterine LMS cell line IB134 were cultured in RPMI 1640 medium, GlutaMAX</w:t>
      </w:r>
      <w:r w:rsidRPr="00296084">
        <w:rPr>
          <w:rFonts w:ascii="Times New Roman" w:hAnsi="Times New Roman" w:cs="Times New Roman"/>
          <w:sz w:val="20"/>
          <w:szCs w:val="24"/>
          <w:vertAlign w:val="superscript"/>
          <w:lang w:val="en-US"/>
        </w:rPr>
        <w:t>TM</w:t>
      </w:r>
      <w:r w:rsidRPr="00296084">
        <w:rPr>
          <w:rFonts w:ascii="Times New Roman" w:hAnsi="Times New Roman" w:cs="Times New Roman"/>
          <w:sz w:val="24"/>
          <w:szCs w:val="24"/>
          <w:lang w:val="en-US"/>
        </w:rPr>
        <w:t xml:space="preserve"> Supplement </w:t>
      </w:r>
      <w:r w:rsidRPr="00296084">
        <w:rPr>
          <w:rFonts w:ascii="Times New Roman" w:hAnsi="Times New Roman" w:cs="Times New Roman"/>
          <w:color w:val="000000"/>
          <w:sz w:val="24"/>
          <w:shd w:val="clear" w:color="auto" w:fill="FFFFFF"/>
          <w:lang w:val="en-US"/>
        </w:rPr>
        <w:t>(</w:t>
      </w:r>
      <w:r w:rsidRPr="00296084">
        <w:rPr>
          <w:rFonts w:ascii="Times New Roman" w:hAnsi="Times New Roman" w:cs="Times New Roman"/>
          <w:sz w:val="24"/>
          <w:szCs w:val="32"/>
          <w:lang w:val="en-US"/>
        </w:rPr>
        <w:t>Sigma-Aldrich, St. Quentin Fallavier, France</w:t>
      </w:r>
      <w:r w:rsidRPr="00296084">
        <w:rPr>
          <w:rFonts w:ascii="Times New Roman" w:hAnsi="Times New Roman" w:cs="Times New Roman"/>
          <w:color w:val="000000"/>
          <w:sz w:val="24"/>
          <w:shd w:val="clear" w:color="auto" w:fill="FFFFFF"/>
          <w:lang w:val="en-US"/>
        </w:rPr>
        <w:t xml:space="preserve">) </w:t>
      </w:r>
      <w:r w:rsidRPr="00296084">
        <w:rPr>
          <w:rFonts w:ascii="Times New Roman" w:hAnsi="Times New Roman" w:cs="Times New Roman"/>
          <w:sz w:val="24"/>
          <w:szCs w:val="24"/>
          <w:lang w:val="en-US"/>
        </w:rPr>
        <w:t>supplemented with 10% (v/v) fetal bovine serum (FBS) and 0.2% Normocin (InvivoGen, Toulouse, France) at 37°C in an environment containing 5% CO</w:t>
      </w:r>
      <w:r w:rsidRPr="00296084">
        <w:rPr>
          <w:rFonts w:ascii="Times New Roman" w:hAnsi="Times New Roman" w:cs="Times New Roman"/>
          <w:sz w:val="24"/>
          <w:szCs w:val="24"/>
          <w:vertAlign w:val="subscript"/>
          <w:lang w:val="en-US"/>
        </w:rPr>
        <w:t>2</w:t>
      </w:r>
      <w:r w:rsidRPr="00296084">
        <w:rPr>
          <w:rFonts w:ascii="Times New Roman" w:hAnsi="Times New Roman" w:cs="Times New Roman"/>
          <w:sz w:val="24"/>
          <w:szCs w:val="24"/>
          <w:lang w:val="en-US"/>
        </w:rPr>
        <w:t xml:space="preserve">. </w:t>
      </w:r>
      <w:r>
        <w:rPr>
          <w:rFonts w:ascii="Times New Roman" w:hAnsi="Times New Roman" w:cs="Times New Roman"/>
          <w:sz w:val="24"/>
          <w:szCs w:val="24"/>
          <w:lang w:val="en-US"/>
        </w:rPr>
        <w:t>SKBR3 cell line was</w:t>
      </w:r>
      <w:r w:rsidRPr="00296084">
        <w:rPr>
          <w:rFonts w:ascii="Times New Roman" w:hAnsi="Times New Roman" w:cs="Times New Roman"/>
          <w:sz w:val="24"/>
          <w:szCs w:val="24"/>
          <w:lang w:val="en-US"/>
        </w:rPr>
        <w:t xml:space="preserve"> purchased from ATCC</w:t>
      </w:r>
      <w:r>
        <w:rPr>
          <w:rFonts w:ascii="Times New Roman" w:hAnsi="Times New Roman" w:cs="Times New Roman"/>
          <w:sz w:val="24"/>
          <w:szCs w:val="24"/>
          <w:lang w:val="en-US"/>
        </w:rPr>
        <w:t xml:space="preserve"> and was</w:t>
      </w:r>
      <w:r w:rsidRPr="00296084">
        <w:rPr>
          <w:rFonts w:ascii="Times New Roman" w:hAnsi="Times New Roman" w:cs="Times New Roman"/>
          <w:sz w:val="24"/>
          <w:szCs w:val="24"/>
          <w:lang w:val="en-US"/>
        </w:rPr>
        <w:t xml:space="preserve"> cultured in complete</w:t>
      </w:r>
      <w:r w:rsidRPr="00296084">
        <w:rPr>
          <w:rFonts w:ascii="Times New Roman" w:hAnsi="Times New Roman" w:cs="Times New Roman"/>
          <w:sz w:val="24"/>
          <w:szCs w:val="24"/>
          <w:shd w:val="clear" w:color="auto" w:fill="FFFFFF"/>
          <w:lang w:val="en-US"/>
        </w:rPr>
        <w:t xml:space="preserve"> Dulbecco’s Modified Eagle Medium (</w:t>
      </w:r>
      <w:r w:rsidRPr="00296084">
        <w:rPr>
          <w:rFonts w:ascii="Times New Roman" w:hAnsi="Times New Roman" w:cs="Times New Roman"/>
          <w:sz w:val="24"/>
          <w:szCs w:val="32"/>
          <w:lang w:val="en-US"/>
        </w:rPr>
        <w:t>Sigma-Aldrich, St. Quentin Fallavier, France</w:t>
      </w:r>
      <w:r w:rsidRPr="00296084">
        <w:rPr>
          <w:rFonts w:ascii="Times New Roman" w:hAnsi="Times New Roman" w:cs="Times New Roman"/>
          <w:sz w:val="24"/>
          <w:szCs w:val="24"/>
          <w:shd w:val="clear" w:color="auto" w:fill="FFFFFF"/>
          <w:lang w:val="en-US"/>
        </w:rPr>
        <w:t>)</w:t>
      </w:r>
      <w:r w:rsidRPr="00296084">
        <w:rPr>
          <w:rFonts w:ascii="Times New Roman" w:hAnsi="Times New Roman" w:cs="Times New Roman"/>
          <w:sz w:val="24"/>
          <w:szCs w:val="24"/>
          <w:lang w:val="en-US"/>
        </w:rPr>
        <w:t>. Cells were routinely passaged every 2 to 3 days. The cell lines were tested negativ</w:t>
      </w:r>
      <w:r>
        <w:rPr>
          <w:rFonts w:ascii="Times New Roman" w:hAnsi="Times New Roman" w:cs="Times New Roman"/>
          <w:sz w:val="24"/>
          <w:szCs w:val="24"/>
          <w:lang w:val="en-US"/>
        </w:rPr>
        <w:t>e for mycoplasma contamination.</w:t>
      </w:r>
    </w:p>
    <w:p w:rsidR="0019394D" w:rsidRPr="00296084" w:rsidRDefault="0019394D" w:rsidP="0019394D">
      <w:pPr>
        <w:spacing w:after="0" w:line="360" w:lineRule="auto"/>
        <w:jc w:val="both"/>
        <w:rPr>
          <w:rFonts w:ascii="Times New Roman" w:hAnsi="Times New Roman" w:cs="Times New Roman"/>
          <w:sz w:val="24"/>
          <w:szCs w:val="24"/>
          <w:lang w:val="en-US"/>
        </w:rPr>
      </w:pPr>
    </w:p>
    <w:p w:rsidR="0019394D" w:rsidRPr="00296084" w:rsidRDefault="0019394D" w:rsidP="0019394D">
      <w:pPr>
        <w:spacing w:after="0" w:line="360" w:lineRule="auto"/>
        <w:jc w:val="both"/>
        <w:rPr>
          <w:rFonts w:ascii="Times New Roman" w:hAnsi="Times New Roman" w:cs="Times New Roman"/>
          <w:i/>
          <w:sz w:val="24"/>
          <w:lang w:val="en-US"/>
        </w:rPr>
      </w:pPr>
      <w:r w:rsidRPr="00296084">
        <w:rPr>
          <w:rFonts w:ascii="Times New Roman" w:hAnsi="Times New Roman" w:cs="Times New Roman"/>
          <w:b/>
          <w:sz w:val="24"/>
          <w:lang w:val="en-US"/>
        </w:rPr>
        <w:t>Reagents</w:t>
      </w:r>
    </w:p>
    <w:p w:rsidR="0019394D" w:rsidRPr="00296084" w:rsidRDefault="0019394D" w:rsidP="0019394D">
      <w:pPr>
        <w:spacing w:after="0" w:line="360" w:lineRule="auto"/>
        <w:ind w:firstLine="708"/>
        <w:jc w:val="both"/>
        <w:rPr>
          <w:rFonts w:ascii="Times New Roman" w:hAnsi="Times New Roman" w:cs="Times New Roman"/>
          <w:sz w:val="24"/>
          <w:szCs w:val="24"/>
          <w:lang w:val="en-US"/>
        </w:rPr>
      </w:pPr>
      <w:r w:rsidRPr="00296084">
        <w:rPr>
          <w:rFonts w:ascii="Times New Roman" w:hAnsi="Times New Roman" w:cs="Times New Roman"/>
          <w:sz w:val="24"/>
          <w:szCs w:val="24"/>
          <w:lang w:val="en-US"/>
        </w:rPr>
        <w:t xml:space="preserve">BEZ235 (dual PI3K/mTOR inhibitor) was purchased from Selleck Chemicals (Houston, TX, USA) and was prepared as a 2.1 mmol/L stock solution in DMSO and stored at -80°C. EPZ011989, a selective EZH2 inhibitor, was synthesized and provided by Epizyme Inc. (Cambridge, MA, USA). The chemotherapy drugs doxorubicin and gemcitabine were purchased from Sigma Aldrich </w:t>
      </w:r>
      <w:r w:rsidRPr="00296084">
        <w:rPr>
          <w:rFonts w:ascii="Times New Roman" w:hAnsi="Times New Roman" w:cs="Times New Roman"/>
          <w:color w:val="000000"/>
          <w:sz w:val="24"/>
          <w:shd w:val="clear" w:color="auto" w:fill="FFFFFF"/>
          <w:lang w:val="en-US"/>
        </w:rPr>
        <w:t>(</w:t>
      </w:r>
      <w:r w:rsidRPr="00296084">
        <w:rPr>
          <w:rFonts w:ascii="Times New Roman" w:hAnsi="Times New Roman" w:cs="Times New Roman"/>
          <w:sz w:val="24"/>
          <w:szCs w:val="32"/>
          <w:lang w:val="en-US"/>
        </w:rPr>
        <w:t>St. Quentin Fallavier, France</w:t>
      </w:r>
      <w:r w:rsidRPr="00296084">
        <w:rPr>
          <w:rFonts w:ascii="Times New Roman" w:hAnsi="Times New Roman" w:cs="Times New Roman"/>
          <w:color w:val="000000"/>
          <w:sz w:val="24"/>
          <w:shd w:val="clear" w:color="auto" w:fill="FFFFFF"/>
          <w:lang w:val="en-US"/>
        </w:rPr>
        <w:t>)</w:t>
      </w:r>
      <w:r w:rsidRPr="00296084">
        <w:rPr>
          <w:rFonts w:ascii="Times New Roman" w:hAnsi="Times New Roman" w:cs="Times New Roman"/>
          <w:sz w:val="24"/>
          <w:szCs w:val="24"/>
          <w:lang w:val="en-US"/>
        </w:rPr>
        <w:t xml:space="preserve">. Cultured cells were treated with medium changes and fresh drug additions as indicated in the figure legends. </w:t>
      </w:r>
    </w:p>
    <w:p w:rsidR="0019394D" w:rsidRPr="00296084" w:rsidRDefault="0019394D" w:rsidP="0019394D">
      <w:pPr>
        <w:spacing w:after="0" w:line="360" w:lineRule="auto"/>
        <w:jc w:val="both"/>
        <w:rPr>
          <w:rFonts w:ascii="Times New Roman" w:hAnsi="Times New Roman" w:cs="Times New Roman"/>
          <w:b/>
          <w:sz w:val="24"/>
          <w:lang w:val="en-US"/>
        </w:rPr>
      </w:pPr>
    </w:p>
    <w:p w:rsidR="0019394D" w:rsidRPr="00296084" w:rsidRDefault="0019394D" w:rsidP="0019394D">
      <w:pPr>
        <w:spacing w:after="0" w:line="360" w:lineRule="auto"/>
        <w:jc w:val="both"/>
        <w:rPr>
          <w:rFonts w:ascii="Times New Roman" w:hAnsi="Times New Roman" w:cs="Times New Roman"/>
          <w:color w:val="231F20"/>
          <w:sz w:val="24"/>
          <w:szCs w:val="24"/>
          <w:lang w:val="en-US"/>
        </w:rPr>
      </w:pPr>
      <w:r w:rsidRPr="00296084">
        <w:rPr>
          <w:rFonts w:ascii="Times New Roman" w:hAnsi="Times New Roman" w:cs="Times New Roman"/>
          <w:b/>
          <w:sz w:val="24"/>
          <w:lang w:val="en-US"/>
        </w:rPr>
        <w:t>Cell viability assay</w:t>
      </w:r>
    </w:p>
    <w:p w:rsidR="0019394D" w:rsidRPr="00296084" w:rsidRDefault="0019394D" w:rsidP="0019394D">
      <w:pPr>
        <w:spacing w:after="0" w:line="360" w:lineRule="auto"/>
        <w:ind w:firstLine="708"/>
        <w:jc w:val="both"/>
        <w:rPr>
          <w:sz w:val="24"/>
          <w:lang w:val="en-US"/>
        </w:rPr>
      </w:pPr>
      <w:r w:rsidRPr="00296084">
        <w:rPr>
          <w:rFonts w:ascii="Times New Roman" w:hAnsi="Times New Roman" w:cs="Times New Roman"/>
          <w:color w:val="231F20"/>
          <w:sz w:val="24"/>
          <w:szCs w:val="24"/>
          <w:lang w:val="en-US"/>
        </w:rPr>
        <w:t>Cells were seeded in triplicate at 5000 cells/well into</w:t>
      </w:r>
      <w:r w:rsidRPr="00296084">
        <w:rPr>
          <w:rFonts w:ascii="Times New Roman" w:hAnsi="Times New Roman" w:cs="Times New Roman"/>
          <w:color w:val="231F20"/>
          <w:spacing w:val="-14"/>
          <w:sz w:val="24"/>
          <w:szCs w:val="24"/>
          <w:lang w:val="en-US"/>
        </w:rPr>
        <w:t xml:space="preserve"> </w:t>
      </w:r>
      <w:r w:rsidRPr="00296084">
        <w:rPr>
          <w:rFonts w:ascii="Times New Roman" w:hAnsi="Times New Roman" w:cs="Times New Roman"/>
          <w:color w:val="231F20"/>
          <w:sz w:val="24"/>
          <w:szCs w:val="24"/>
          <w:lang w:val="en-US"/>
        </w:rPr>
        <w:t>96-well</w:t>
      </w:r>
      <w:r w:rsidRPr="00296084">
        <w:rPr>
          <w:rFonts w:ascii="Times New Roman" w:hAnsi="Times New Roman" w:cs="Times New Roman"/>
          <w:color w:val="231F20"/>
          <w:spacing w:val="-14"/>
          <w:sz w:val="24"/>
          <w:szCs w:val="24"/>
          <w:lang w:val="en-US"/>
        </w:rPr>
        <w:t xml:space="preserve"> </w:t>
      </w:r>
      <w:r w:rsidRPr="00296084">
        <w:rPr>
          <w:rFonts w:ascii="Times New Roman" w:hAnsi="Times New Roman" w:cs="Times New Roman"/>
          <w:color w:val="231F20"/>
          <w:sz w:val="24"/>
          <w:szCs w:val="24"/>
          <w:lang w:val="en-US"/>
        </w:rPr>
        <w:t>plates,</w:t>
      </w:r>
      <w:r w:rsidRPr="00296084">
        <w:rPr>
          <w:rFonts w:ascii="Times New Roman" w:hAnsi="Times New Roman" w:cs="Times New Roman"/>
          <w:color w:val="231F20"/>
          <w:spacing w:val="-14"/>
          <w:sz w:val="24"/>
          <w:szCs w:val="24"/>
          <w:lang w:val="en-US"/>
        </w:rPr>
        <w:t xml:space="preserve"> </w:t>
      </w:r>
      <w:r w:rsidRPr="00296084">
        <w:rPr>
          <w:rFonts w:ascii="Times New Roman" w:hAnsi="Times New Roman" w:cs="Times New Roman"/>
          <w:color w:val="231F20"/>
          <w:sz w:val="24"/>
          <w:szCs w:val="24"/>
          <w:lang w:val="en-US"/>
        </w:rPr>
        <w:t>cultured</w:t>
      </w:r>
      <w:r w:rsidRPr="00296084">
        <w:rPr>
          <w:rFonts w:ascii="Times New Roman" w:hAnsi="Times New Roman" w:cs="Times New Roman"/>
          <w:color w:val="231F20"/>
          <w:spacing w:val="-14"/>
          <w:sz w:val="24"/>
          <w:szCs w:val="24"/>
          <w:lang w:val="en-US"/>
        </w:rPr>
        <w:t xml:space="preserve"> </w:t>
      </w:r>
      <w:r w:rsidRPr="00296084">
        <w:rPr>
          <w:rFonts w:ascii="Times New Roman" w:hAnsi="Times New Roman" w:cs="Times New Roman"/>
          <w:color w:val="231F20"/>
          <w:sz w:val="24"/>
          <w:szCs w:val="24"/>
          <w:lang w:val="en-US"/>
        </w:rPr>
        <w:t>with</w:t>
      </w:r>
      <w:r w:rsidRPr="00296084">
        <w:rPr>
          <w:rFonts w:ascii="Times New Roman" w:hAnsi="Times New Roman" w:cs="Times New Roman"/>
          <w:color w:val="231F20"/>
          <w:spacing w:val="-14"/>
          <w:sz w:val="24"/>
          <w:szCs w:val="24"/>
          <w:lang w:val="en-US"/>
        </w:rPr>
        <w:t xml:space="preserve"> </w:t>
      </w:r>
      <w:r w:rsidRPr="00296084">
        <w:rPr>
          <w:rFonts w:ascii="Times New Roman" w:hAnsi="Times New Roman" w:cs="Times New Roman"/>
          <w:color w:val="231F20"/>
          <w:sz w:val="24"/>
          <w:szCs w:val="24"/>
          <w:lang w:val="en-US"/>
        </w:rPr>
        <w:t>fresh</w:t>
      </w:r>
      <w:r w:rsidRPr="00296084">
        <w:rPr>
          <w:rFonts w:ascii="Times New Roman" w:hAnsi="Times New Roman" w:cs="Times New Roman"/>
          <w:color w:val="231F20"/>
          <w:spacing w:val="-14"/>
          <w:sz w:val="24"/>
          <w:szCs w:val="24"/>
          <w:lang w:val="en-US"/>
        </w:rPr>
        <w:t xml:space="preserve"> </w:t>
      </w:r>
      <w:r w:rsidRPr="00296084">
        <w:rPr>
          <w:rFonts w:ascii="Times New Roman" w:hAnsi="Times New Roman" w:cs="Times New Roman"/>
          <w:color w:val="231F20"/>
          <w:sz w:val="24"/>
          <w:szCs w:val="24"/>
          <w:lang w:val="en-US"/>
        </w:rPr>
        <w:t>growth</w:t>
      </w:r>
      <w:r w:rsidRPr="00296084">
        <w:rPr>
          <w:rFonts w:ascii="Times New Roman" w:hAnsi="Times New Roman" w:cs="Times New Roman"/>
          <w:color w:val="231F20"/>
          <w:spacing w:val="-14"/>
          <w:sz w:val="24"/>
          <w:szCs w:val="24"/>
          <w:lang w:val="en-US"/>
        </w:rPr>
        <w:t xml:space="preserve"> </w:t>
      </w:r>
      <w:r w:rsidRPr="00296084">
        <w:rPr>
          <w:rFonts w:ascii="Times New Roman" w:hAnsi="Times New Roman" w:cs="Times New Roman"/>
          <w:color w:val="231F20"/>
          <w:sz w:val="24"/>
          <w:szCs w:val="24"/>
          <w:lang w:val="en-US"/>
        </w:rPr>
        <w:t>medium</w:t>
      </w:r>
      <w:r w:rsidRPr="00296084">
        <w:rPr>
          <w:rFonts w:ascii="Times New Roman" w:hAnsi="Times New Roman" w:cs="Times New Roman"/>
          <w:color w:val="231F20"/>
          <w:spacing w:val="-14"/>
          <w:sz w:val="24"/>
          <w:szCs w:val="24"/>
          <w:lang w:val="en-US"/>
        </w:rPr>
        <w:t xml:space="preserve"> </w:t>
      </w:r>
      <w:r w:rsidRPr="00296084">
        <w:rPr>
          <w:rFonts w:ascii="Times New Roman" w:hAnsi="Times New Roman" w:cs="Times New Roman"/>
          <w:color w:val="231F20"/>
          <w:sz w:val="24"/>
          <w:szCs w:val="24"/>
          <w:lang w:val="en-US"/>
        </w:rPr>
        <w:t>for at least 24 hours and treated with a range of increasing concentrations of BEZ235 for 72 hours.</w:t>
      </w:r>
      <w:r w:rsidRPr="00296084">
        <w:rPr>
          <w:rFonts w:ascii="Times New Roman" w:hAnsi="Times New Roman" w:cs="Times New Roman"/>
          <w:sz w:val="24"/>
          <w:szCs w:val="24"/>
          <w:lang w:val="en-US"/>
        </w:rPr>
        <w:t xml:space="preserve"> For BEZ235 and EPZ011989 combination studies, cells were pretreated for one week with a single dose of EZH2 inhibitor before seeding. Cell viability was assessed by MTT (</w:t>
      </w:r>
      <w:r w:rsidRPr="00296084">
        <w:rPr>
          <w:rFonts w:ascii="Times New Roman" w:hAnsi="Times New Roman" w:cs="Times New Roman"/>
          <w:color w:val="000000"/>
          <w:sz w:val="24"/>
          <w:shd w:val="clear" w:color="auto" w:fill="FFFFFF"/>
          <w:lang w:val="en-US"/>
        </w:rPr>
        <w:t>2-deoxyglucose (2-DG) and 3-4,5-dimethylthiazol-2-yl)-2,5-diphenyltetrazolium bromide) assay (</w:t>
      </w:r>
      <w:r w:rsidRPr="00296084">
        <w:rPr>
          <w:rFonts w:ascii="Times New Roman" w:hAnsi="Times New Roman" w:cs="Times New Roman"/>
          <w:sz w:val="24"/>
          <w:szCs w:val="32"/>
          <w:lang w:val="en-US"/>
        </w:rPr>
        <w:t>Sigma-Aldrich, St. Quentin Fallavier, France</w:t>
      </w:r>
      <w:r w:rsidRPr="00296084">
        <w:rPr>
          <w:rFonts w:ascii="Times New Roman" w:hAnsi="Times New Roman" w:cs="Times New Roman"/>
          <w:color w:val="000000"/>
          <w:sz w:val="24"/>
          <w:shd w:val="clear" w:color="auto" w:fill="FFFFFF"/>
          <w:lang w:val="en-US"/>
        </w:rPr>
        <w:t>)</w:t>
      </w:r>
      <w:r w:rsidRPr="00296084">
        <w:rPr>
          <w:rFonts w:ascii="Times New Roman" w:hAnsi="Times New Roman" w:cs="Times New Roman"/>
          <w:sz w:val="24"/>
          <w:szCs w:val="24"/>
          <w:lang w:val="en-US"/>
        </w:rPr>
        <w:t>.</w:t>
      </w:r>
      <w:r w:rsidRPr="00296084">
        <w:rPr>
          <w:rFonts w:ascii="Times New Roman" w:hAnsi="Times New Roman" w:cs="Times New Roman"/>
          <w:color w:val="231F20"/>
          <w:lang w:val="en-US"/>
        </w:rPr>
        <w:t xml:space="preserve"> </w:t>
      </w:r>
      <w:r w:rsidRPr="00296084">
        <w:rPr>
          <w:rFonts w:ascii="Times New Roman" w:hAnsi="Times New Roman" w:cs="Times New Roman"/>
          <w:color w:val="231F20"/>
          <w:sz w:val="24"/>
          <w:lang w:val="en-US"/>
        </w:rPr>
        <w:t>T</w:t>
      </w:r>
      <w:r w:rsidRPr="00296084">
        <w:rPr>
          <w:rFonts w:ascii="Times New Roman" w:hAnsi="Times New Roman" w:cs="Times New Roman"/>
          <w:color w:val="231F20"/>
          <w:sz w:val="24"/>
          <w:szCs w:val="24"/>
          <w:lang w:val="en-US"/>
        </w:rPr>
        <w:t>he absorbance at 570 nm was monitored using a Flexstation</w:t>
      </w:r>
      <w:r w:rsidRPr="00296084">
        <w:rPr>
          <w:rFonts w:ascii="Times New Roman" w:hAnsi="Times New Roman" w:cs="Times New Roman"/>
          <w:color w:val="231F20"/>
          <w:spacing w:val="-22"/>
          <w:sz w:val="24"/>
          <w:szCs w:val="24"/>
          <w:lang w:val="en-US"/>
        </w:rPr>
        <w:t xml:space="preserve"> </w:t>
      </w:r>
      <w:r w:rsidRPr="00296084">
        <w:rPr>
          <w:rFonts w:ascii="Times New Roman" w:hAnsi="Times New Roman" w:cs="Times New Roman"/>
          <w:color w:val="231F20"/>
          <w:sz w:val="24"/>
          <w:szCs w:val="24"/>
          <w:lang w:val="en-US"/>
        </w:rPr>
        <w:t>3</w:t>
      </w:r>
      <w:r w:rsidRPr="00296084">
        <w:rPr>
          <w:rFonts w:ascii="Times New Roman" w:hAnsi="Times New Roman" w:cs="Times New Roman"/>
          <w:color w:val="231F20"/>
          <w:spacing w:val="-22"/>
          <w:sz w:val="24"/>
          <w:szCs w:val="24"/>
          <w:lang w:val="en-US"/>
        </w:rPr>
        <w:t xml:space="preserve"> </w:t>
      </w:r>
      <w:r w:rsidRPr="00296084">
        <w:rPr>
          <w:rFonts w:ascii="Times New Roman" w:hAnsi="Times New Roman" w:cs="Times New Roman"/>
          <w:color w:val="231F20"/>
          <w:sz w:val="24"/>
          <w:szCs w:val="24"/>
          <w:lang w:val="en-US"/>
        </w:rPr>
        <w:t>Plate</w:t>
      </w:r>
      <w:r w:rsidRPr="00296084">
        <w:rPr>
          <w:rFonts w:ascii="Times New Roman" w:hAnsi="Times New Roman" w:cs="Times New Roman"/>
          <w:color w:val="231F20"/>
          <w:spacing w:val="-22"/>
          <w:sz w:val="24"/>
          <w:szCs w:val="24"/>
          <w:lang w:val="en-US"/>
        </w:rPr>
        <w:t xml:space="preserve"> </w:t>
      </w:r>
      <w:r w:rsidRPr="00296084">
        <w:rPr>
          <w:rFonts w:ascii="Times New Roman" w:hAnsi="Times New Roman" w:cs="Times New Roman"/>
          <w:color w:val="231F20"/>
          <w:sz w:val="24"/>
          <w:szCs w:val="24"/>
          <w:lang w:val="en-US"/>
        </w:rPr>
        <w:t>reader</w:t>
      </w:r>
      <w:r w:rsidRPr="00296084">
        <w:rPr>
          <w:rFonts w:ascii="Times New Roman" w:hAnsi="Times New Roman" w:cs="Times New Roman"/>
          <w:color w:val="231F20"/>
          <w:spacing w:val="-22"/>
          <w:sz w:val="24"/>
          <w:szCs w:val="24"/>
          <w:lang w:val="en-US"/>
        </w:rPr>
        <w:t xml:space="preserve"> </w:t>
      </w:r>
      <w:r w:rsidRPr="00296084">
        <w:rPr>
          <w:rFonts w:ascii="Times New Roman" w:hAnsi="Times New Roman" w:cs="Times New Roman"/>
          <w:color w:val="231F20"/>
          <w:sz w:val="24"/>
          <w:szCs w:val="24"/>
          <w:lang w:val="en-US"/>
        </w:rPr>
        <w:t>(Sunnyvale,</w:t>
      </w:r>
      <w:r w:rsidRPr="00296084">
        <w:rPr>
          <w:rFonts w:ascii="Times New Roman" w:hAnsi="Times New Roman" w:cs="Times New Roman"/>
          <w:color w:val="231F20"/>
          <w:spacing w:val="-22"/>
          <w:sz w:val="24"/>
          <w:szCs w:val="24"/>
          <w:lang w:val="en-US"/>
        </w:rPr>
        <w:t xml:space="preserve"> </w:t>
      </w:r>
      <w:r w:rsidRPr="00296084">
        <w:rPr>
          <w:rFonts w:ascii="Times New Roman" w:hAnsi="Times New Roman" w:cs="Times New Roman"/>
          <w:color w:val="231F20"/>
          <w:sz w:val="24"/>
          <w:szCs w:val="24"/>
          <w:lang w:val="en-US"/>
        </w:rPr>
        <w:t>CA,</w:t>
      </w:r>
      <w:r w:rsidRPr="00296084">
        <w:rPr>
          <w:rFonts w:ascii="Times New Roman" w:hAnsi="Times New Roman" w:cs="Times New Roman"/>
          <w:color w:val="231F20"/>
          <w:spacing w:val="-22"/>
          <w:sz w:val="24"/>
          <w:szCs w:val="24"/>
          <w:lang w:val="en-US"/>
        </w:rPr>
        <w:t xml:space="preserve"> </w:t>
      </w:r>
      <w:r w:rsidRPr="00296084">
        <w:rPr>
          <w:rFonts w:ascii="Times New Roman" w:hAnsi="Times New Roman" w:cs="Times New Roman"/>
          <w:color w:val="231F20"/>
          <w:sz w:val="24"/>
          <w:szCs w:val="24"/>
          <w:lang w:val="en-US"/>
        </w:rPr>
        <w:t>USA)</w:t>
      </w:r>
      <w:r w:rsidRPr="00296084">
        <w:rPr>
          <w:rFonts w:ascii="Times New Roman" w:hAnsi="Times New Roman" w:cs="Times New Roman"/>
          <w:color w:val="231F20"/>
          <w:spacing w:val="-22"/>
          <w:sz w:val="24"/>
          <w:szCs w:val="24"/>
          <w:lang w:val="en-US"/>
        </w:rPr>
        <w:t>,</w:t>
      </w:r>
      <w:r w:rsidRPr="00296084">
        <w:rPr>
          <w:rFonts w:ascii="Times New Roman" w:hAnsi="Times New Roman" w:cs="Times New Roman"/>
          <w:color w:val="231F20"/>
          <w:sz w:val="24"/>
          <w:szCs w:val="24"/>
          <w:lang w:val="en-US"/>
        </w:rPr>
        <w:t xml:space="preserve"> using 630 nm as a reference.</w:t>
      </w:r>
      <w:r w:rsidRPr="00296084">
        <w:rPr>
          <w:rFonts w:ascii="Times New Roman" w:hAnsi="Times New Roman" w:cs="Times New Roman"/>
          <w:color w:val="231F20"/>
          <w:lang w:val="en-US"/>
        </w:rPr>
        <w:t xml:space="preserve"> </w:t>
      </w:r>
      <w:r w:rsidRPr="00296084">
        <w:rPr>
          <w:rFonts w:ascii="Times New Roman" w:hAnsi="Times New Roman" w:cs="Times New Roman"/>
          <w:sz w:val="24"/>
          <w:szCs w:val="24"/>
          <w:lang w:val="en-US"/>
        </w:rPr>
        <w:t>The half maximal inhibitory concentration (IC</w:t>
      </w:r>
      <w:r w:rsidRPr="00296084">
        <w:rPr>
          <w:rFonts w:ascii="Times New Roman" w:hAnsi="Times New Roman" w:cs="Times New Roman"/>
          <w:sz w:val="24"/>
          <w:szCs w:val="24"/>
          <w:vertAlign w:val="subscript"/>
          <w:lang w:val="en-US"/>
        </w:rPr>
        <w:t>50</w:t>
      </w:r>
      <w:r w:rsidRPr="00296084">
        <w:rPr>
          <w:rFonts w:ascii="Times New Roman" w:hAnsi="Times New Roman" w:cs="Times New Roman"/>
          <w:sz w:val="24"/>
          <w:szCs w:val="24"/>
          <w:lang w:val="en-US"/>
        </w:rPr>
        <w:t xml:space="preserve">) was calculated with </w:t>
      </w:r>
      <w:r w:rsidRPr="00296084">
        <w:rPr>
          <w:rStyle w:val="fmainbody"/>
          <w:rFonts w:ascii="Times New Roman" w:hAnsi="Times New Roman" w:cs="Times New Roman"/>
          <w:sz w:val="24"/>
          <w:szCs w:val="24"/>
          <w:lang w:val="en-US"/>
        </w:rPr>
        <w:t>GraphPad Prism software version 5.00 for Windows (GraphPad Software, La Jolla, CA, USA). Each experiment was repeated at least 3 times.</w:t>
      </w:r>
    </w:p>
    <w:p w:rsidR="0019394D" w:rsidRPr="00296084" w:rsidRDefault="0019394D" w:rsidP="0019394D">
      <w:pPr>
        <w:spacing w:after="0" w:line="360" w:lineRule="auto"/>
        <w:jc w:val="both"/>
        <w:rPr>
          <w:rFonts w:ascii="Times New Roman" w:hAnsi="Times New Roman" w:cs="Times New Roman"/>
          <w:sz w:val="24"/>
          <w:lang w:val="en-US"/>
        </w:rPr>
      </w:pPr>
    </w:p>
    <w:p w:rsidR="0019394D" w:rsidRPr="00296084" w:rsidRDefault="0019394D" w:rsidP="0019394D">
      <w:pPr>
        <w:spacing w:after="0" w:line="360" w:lineRule="auto"/>
        <w:jc w:val="both"/>
        <w:rPr>
          <w:rFonts w:ascii="Times New Roman" w:hAnsi="Times New Roman" w:cs="Times New Roman"/>
          <w:sz w:val="24"/>
          <w:szCs w:val="24"/>
          <w:lang w:val="en-US"/>
        </w:rPr>
      </w:pPr>
      <w:r w:rsidRPr="00296084">
        <w:rPr>
          <w:rFonts w:ascii="Times New Roman" w:hAnsi="Times New Roman" w:cs="Times New Roman"/>
          <w:b/>
          <w:sz w:val="24"/>
          <w:lang w:val="en-US"/>
        </w:rPr>
        <w:lastRenderedPageBreak/>
        <w:t>Determination of apoptosis</w:t>
      </w:r>
    </w:p>
    <w:p w:rsidR="0019394D" w:rsidRDefault="0019394D" w:rsidP="0019394D">
      <w:pPr>
        <w:spacing w:after="0" w:line="360" w:lineRule="auto"/>
        <w:ind w:firstLine="708"/>
        <w:jc w:val="both"/>
        <w:rPr>
          <w:rFonts w:ascii="Times New Roman" w:hAnsi="Times New Roman" w:cs="Times New Roman"/>
          <w:sz w:val="24"/>
          <w:szCs w:val="24"/>
          <w:lang w:val="en-US"/>
        </w:rPr>
      </w:pPr>
      <w:r w:rsidRPr="00296084">
        <w:rPr>
          <w:rFonts w:ascii="Times New Roman" w:hAnsi="Times New Roman" w:cs="Times New Roman"/>
          <w:sz w:val="24"/>
          <w:szCs w:val="24"/>
          <w:lang w:val="en-US"/>
        </w:rPr>
        <w:t xml:space="preserve">LMS cells </w:t>
      </w:r>
      <w:r w:rsidRPr="00296084">
        <w:rPr>
          <w:rFonts w:ascii="Times New Roman" w:hAnsi="Times New Roman" w:cs="Times New Roman"/>
          <w:color w:val="231F20"/>
          <w:sz w:val="24"/>
          <w:szCs w:val="24"/>
          <w:lang w:val="en-US"/>
        </w:rPr>
        <w:t xml:space="preserve">were seeded in 6-well plates and treated for 72 hours with several drug concentrations. After treatment, cells were washed once with phosphate-buffered saline (PBS) and labeled with annexin-V-FITC and propidium iodide (PI) according to the manufacturer’s protocol (BD Biosciences, San Jose, CA, USA). Then, </w:t>
      </w:r>
      <w:r w:rsidRPr="00296084">
        <w:rPr>
          <w:color w:val="231F20"/>
          <w:lang w:val="en-US"/>
        </w:rPr>
        <w:t>a</w:t>
      </w:r>
      <w:r w:rsidRPr="00296084">
        <w:rPr>
          <w:rFonts w:ascii="Times New Roman" w:hAnsi="Times New Roman" w:cs="Times New Roman"/>
          <w:sz w:val="24"/>
          <w:szCs w:val="24"/>
          <w:lang w:val="en-US"/>
        </w:rPr>
        <w:t>poptosis was determined by fluorescence-activated cell-sorting (FACS Calibur flow cytometer, BD Biosciences, San Jose, CA, USA) analysis of annexin-V-FITC and PI labelling. The percentage of cells in early apoptosis (annexin-V-positive, PI-negative) and in late apoptosis or necrosis (annexin-V- and PI-positive) was calculated using FlowJo version 7.6.3 for Windows (Tree Star Inc, Ashland, OR, USA). The percentages of overall death (sum of early and late apoptosis) are represented as the mean ± SEM values based on 3 independent experiments.</w:t>
      </w:r>
    </w:p>
    <w:p w:rsidR="007A7A68" w:rsidRDefault="007A7A68" w:rsidP="007A7A68">
      <w:pPr>
        <w:spacing w:after="0" w:line="360" w:lineRule="auto"/>
        <w:jc w:val="both"/>
        <w:rPr>
          <w:rFonts w:ascii="Times New Roman" w:hAnsi="Times New Roman" w:cs="Times New Roman"/>
          <w:sz w:val="24"/>
          <w:szCs w:val="24"/>
          <w:lang w:val="en-US"/>
        </w:rPr>
      </w:pPr>
    </w:p>
    <w:p w:rsidR="00C36173" w:rsidRPr="00296084" w:rsidRDefault="00C36173" w:rsidP="00C36173">
      <w:p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b/>
          <w:sz w:val="24"/>
          <w:lang w:val="en-US"/>
        </w:rPr>
        <w:t>Western blotting</w:t>
      </w:r>
    </w:p>
    <w:p w:rsidR="00C36173" w:rsidRPr="006C0163" w:rsidRDefault="00C36173" w:rsidP="00C36173">
      <w:pPr>
        <w:spacing w:after="0" w:line="360" w:lineRule="auto"/>
        <w:ind w:firstLine="709"/>
        <w:jc w:val="both"/>
        <w:rPr>
          <w:rFonts w:ascii="Times New Roman" w:hAnsi="Times New Roman" w:cs="Times New Roman"/>
          <w:b/>
          <w:sz w:val="24"/>
          <w:lang w:val="en-US"/>
        </w:rPr>
      </w:pPr>
      <w:r>
        <w:rPr>
          <w:rFonts w:ascii="Times New Roman" w:hAnsi="Times New Roman" w:cs="Times New Roman"/>
          <w:sz w:val="24"/>
          <w:szCs w:val="24"/>
          <w:lang w:val="en-US"/>
        </w:rPr>
        <w:t>W</w:t>
      </w:r>
      <w:r w:rsidRPr="006C0163">
        <w:rPr>
          <w:rFonts w:ascii="Times New Roman" w:hAnsi="Times New Roman" w:cs="Times New Roman"/>
          <w:sz w:val="24"/>
          <w:szCs w:val="24"/>
          <w:lang w:val="en-US"/>
        </w:rPr>
        <w:t xml:space="preserve">hole cells were harvested using 60 µL </w:t>
      </w:r>
      <w:r w:rsidRPr="006C0163">
        <w:rPr>
          <w:rFonts w:ascii="Times New Roman" w:hAnsi="Times New Roman" w:cs="Times New Roman"/>
          <w:bCs/>
          <w:sz w:val="24"/>
          <w:szCs w:val="24"/>
          <w:lang w:val="en-US"/>
        </w:rPr>
        <w:t>r</w:t>
      </w:r>
      <w:r w:rsidRPr="006C0163">
        <w:rPr>
          <w:rFonts w:ascii="Times New Roman" w:hAnsi="Times New Roman" w:cs="Times New Roman"/>
          <w:sz w:val="24"/>
          <w:szCs w:val="24"/>
          <w:lang w:val="en-US"/>
        </w:rPr>
        <w:t>adio-</w:t>
      </w:r>
      <w:r w:rsidRPr="006C0163">
        <w:rPr>
          <w:rFonts w:ascii="Times New Roman" w:hAnsi="Times New Roman" w:cs="Times New Roman"/>
          <w:bCs/>
          <w:sz w:val="24"/>
          <w:szCs w:val="24"/>
          <w:lang w:val="en-US"/>
        </w:rPr>
        <w:t>i</w:t>
      </w:r>
      <w:r w:rsidRPr="006C0163">
        <w:rPr>
          <w:rFonts w:ascii="Times New Roman" w:hAnsi="Times New Roman" w:cs="Times New Roman"/>
          <w:sz w:val="24"/>
          <w:szCs w:val="24"/>
          <w:lang w:val="en-US"/>
        </w:rPr>
        <w:t>mmuno</w:t>
      </w:r>
      <w:r w:rsidRPr="006C0163">
        <w:rPr>
          <w:rFonts w:ascii="Times New Roman" w:hAnsi="Times New Roman" w:cs="Times New Roman"/>
          <w:bCs/>
          <w:sz w:val="24"/>
          <w:szCs w:val="24"/>
          <w:lang w:val="en-US"/>
        </w:rPr>
        <w:t>p</w:t>
      </w:r>
      <w:r w:rsidRPr="006C0163">
        <w:rPr>
          <w:rFonts w:ascii="Times New Roman" w:hAnsi="Times New Roman" w:cs="Times New Roman"/>
          <w:sz w:val="24"/>
          <w:szCs w:val="24"/>
          <w:lang w:val="en-US"/>
        </w:rPr>
        <w:t xml:space="preserve">recipitation </w:t>
      </w:r>
      <w:r w:rsidRPr="006C0163">
        <w:rPr>
          <w:rFonts w:ascii="Times New Roman" w:hAnsi="Times New Roman" w:cs="Times New Roman"/>
          <w:bCs/>
          <w:sz w:val="24"/>
          <w:szCs w:val="24"/>
          <w:lang w:val="en-US"/>
        </w:rPr>
        <w:t>a</w:t>
      </w:r>
      <w:r w:rsidRPr="006C0163">
        <w:rPr>
          <w:rFonts w:ascii="Times New Roman" w:hAnsi="Times New Roman" w:cs="Times New Roman"/>
          <w:sz w:val="24"/>
          <w:szCs w:val="24"/>
          <w:lang w:val="en-US"/>
        </w:rPr>
        <w:t xml:space="preserve">ssay (RIPA) lysis buffer </w:t>
      </w:r>
      <w:r w:rsidRPr="006C0163">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ygpNkDxo","properties":{"formattedCitation":"[1]","plainCitation":"[1]","noteIndex":0},"citationItems":[{"id":61,"uris":["http://zotero.org/users/2942631/items/TJEA55VH"],"uri":["http://zotero.org/users/2942631/items/TJEA55VH"],"itemData":{"id":61,"type":"article-journal","title":"Lysing tissue-culture cells for immunoprecipitation","container-title":"CSH protocols","volume":"2006","issue":"4","source":"PubMed","abstract":"INTRODUCTIONFor cells grown in tissue culture, the most useful method of lysis is treating with detergents, as described in this protocol. Non-ionic detergents, such as NP-40, solubilize the plasma and intracellular membranes, break many weak intermolecular bonds, and solubilize most of the commonly studied protein antigens. RIPA lysis buffer, which contains non-ionic detergents mixed with ionic detergents, may be used as a more rigorous extraction buffer to release all but the insoluble proteins of the cell and to break most weak noncovalent interactions. The resulting lysate is ready for preclearing.","DOI":"10.1101/pdb.prot4531","note":"PMID: 22485913","journalAbbreviation":"CSH Protoc","language":"eng","author":[{"family":"Harlow","given":"Ed"},{"family":"Lane","given":"David"}],"issued":{"date-parts":[["2006"]]}}}],"schema":"https://github.com/citation-style-language/schema/raw/master/csl-citation.json"} </w:instrText>
      </w:r>
      <w:r w:rsidRPr="006C0163">
        <w:rPr>
          <w:rFonts w:ascii="Times New Roman" w:hAnsi="Times New Roman" w:cs="Times New Roman"/>
          <w:sz w:val="24"/>
          <w:szCs w:val="24"/>
          <w:lang w:val="en-US"/>
        </w:rPr>
        <w:fldChar w:fldCharType="separate"/>
      </w:r>
      <w:r w:rsidRPr="007E5831">
        <w:rPr>
          <w:rFonts w:ascii="Times New Roman" w:hAnsi="Times New Roman" w:cs="Times New Roman"/>
          <w:sz w:val="24"/>
          <w:lang w:val="en-US"/>
        </w:rPr>
        <w:t>[1]</w:t>
      </w:r>
      <w:r w:rsidRPr="006C0163">
        <w:rPr>
          <w:rFonts w:ascii="Times New Roman" w:hAnsi="Times New Roman" w:cs="Times New Roman"/>
          <w:sz w:val="24"/>
          <w:szCs w:val="24"/>
          <w:lang w:val="en-US"/>
        </w:rPr>
        <w:fldChar w:fldCharType="end"/>
      </w:r>
      <w:r w:rsidRPr="006C0163">
        <w:rPr>
          <w:rFonts w:ascii="Times New Roman" w:hAnsi="Times New Roman" w:cs="Times New Roman"/>
          <w:sz w:val="24"/>
          <w:szCs w:val="24"/>
          <w:lang w:val="en-US"/>
        </w:rPr>
        <w:t xml:space="preserve">. The lysate was centrifuged (13 000 rpm, 15 min, 4°C), and the supernatant was stored at -80°C until further use. Total proteins (30 µg) were electrophoresed on an 8, 12 or 15% sodium dodecyl sulfate (SDS) polyacrylamide gel and transferred onto polyvinylidene difluoride (PVDF) membranes. </w:t>
      </w:r>
      <w:r w:rsidRPr="006C0163">
        <w:rPr>
          <w:rFonts w:ascii="Times New Roman" w:hAnsi="Times New Roman" w:cs="Times New Roman"/>
          <w:sz w:val="24"/>
          <w:szCs w:val="24"/>
          <w:shd w:val="clear" w:color="auto" w:fill="FFFFFF"/>
          <w:lang w:val="en-US"/>
        </w:rPr>
        <w:t>Blots were probed overnight at 4°C in 5% BSA (bovine serum albumin) in PBST (phosphate</w:t>
      </w:r>
      <w:r>
        <w:rPr>
          <w:rFonts w:ascii="Times New Roman" w:hAnsi="Times New Roman" w:cs="Times New Roman"/>
          <w:sz w:val="24"/>
          <w:szCs w:val="24"/>
          <w:shd w:val="clear" w:color="auto" w:fill="FFFFFF"/>
          <w:lang w:val="en-US"/>
        </w:rPr>
        <w:t>,</w:t>
      </w:r>
      <w:r w:rsidRPr="006C0163">
        <w:rPr>
          <w:rFonts w:ascii="Times New Roman" w:hAnsi="Times New Roman" w:cs="Times New Roman"/>
          <w:sz w:val="24"/>
          <w:szCs w:val="24"/>
          <w:shd w:val="clear" w:color="auto" w:fill="FFFFFF"/>
          <w:lang w:val="en-US"/>
        </w:rPr>
        <w:t xml:space="preserve"> 100 mM</w:t>
      </w:r>
      <w:r>
        <w:rPr>
          <w:rFonts w:ascii="Times New Roman" w:hAnsi="Times New Roman" w:cs="Times New Roman"/>
          <w:sz w:val="24"/>
          <w:szCs w:val="24"/>
          <w:shd w:val="clear" w:color="auto" w:fill="FFFFFF"/>
          <w:lang w:val="en-US"/>
        </w:rPr>
        <w:t>;</w:t>
      </w:r>
      <w:r w:rsidRPr="006C0163">
        <w:rPr>
          <w:rFonts w:ascii="Times New Roman" w:hAnsi="Times New Roman" w:cs="Times New Roman"/>
          <w:sz w:val="24"/>
          <w:szCs w:val="24"/>
          <w:shd w:val="clear" w:color="auto" w:fill="FFFFFF"/>
          <w:lang w:val="en-US"/>
        </w:rPr>
        <w:t xml:space="preserve"> KCl</w:t>
      </w:r>
      <w:r>
        <w:rPr>
          <w:rFonts w:ascii="Times New Roman" w:hAnsi="Times New Roman" w:cs="Times New Roman"/>
          <w:sz w:val="24"/>
          <w:szCs w:val="24"/>
          <w:shd w:val="clear" w:color="auto" w:fill="FFFFFF"/>
          <w:lang w:val="en-US"/>
        </w:rPr>
        <w:t>,</w:t>
      </w:r>
      <w:r w:rsidRPr="006C0163">
        <w:rPr>
          <w:rFonts w:ascii="Times New Roman" w:hAnsi="Times New Roman" w:cs="Times New Roman"/>
          <w:sz w:val="24"/>
          <w:szCs w:val="24"/>
          <w:shd w:val="clear" w:color="auto" w:fill="FFFFFF"/>
          <w:lang w:val="en-US"/>
        </w:rPr>
        <w:t xml:space="preserve"> 27 mM</w:t>
      </w:r>
      <w:r>
        <w:rPr>
          <w:rFonts w:ascii="Times New Roman" w:hAnsi="Times New Roman" w:cs="Times New Roman"/>
          <w:sz w:val="24"/>
          <w:szCs w:val="24"/>
          <w:shd w:val="clear" w:color="auto" w:fill="FFFFFF"/>
          <w:lang w:val="en-US"/>
        </w:rPr>
        <w:t>;</w:t>
      </w:r>
      <w:r w:rsidRPr="006C0163">
        <w:rPr>
          <w:rFonts w:ascii="Times New Roman" w:hAnsi="Times New Roman" w:cs="Times New Roman"/>
          <w:sz w:val="24"/>
          <w:szCs w:val="24"/>
          <w:shd w:val="clear" w:color="auto" w:fill="FFFFFF"/>
          <w:lang w:val="en-US"/>
        </w:rPr>
        <w:t xml:space="preserve"> NaCl</w:t>
      </w:r>
      <w:r>
        <w:rPr>
          <w:rFonts w:ascii="Times New Roman" w:hAnsi="Times New Roman" w:cs="Times New Roman"/>
          <w:sz w:val="24"/>
          <w:szCs w:val="24"/>
          <w:shd w:val="clear" w:color="auto" w:fill="FFFFFF"/>
          <w:lang w:val="en-US"/>
        </w:rPr>
        <w:t>,</w:t>
      </w:r>
      <w:r w:rsidRPr="006C0163">
        <w:rPr>
          <w:rFonts w:ascii="Times New Roman" w:hAnsi="Times New Roman" w:cs="Times New Roman"/>
          <w:sz w:val="24"/>
          <w:szCs w:val="24"/>
          <w:shd w:val="clear" w:color="auto" w:fill="FFFFFF"/>
          <w:lang w:val="en-US"/>
        </w:rPr>
        <w:t xml:space="preserve"> 1.37 M, pH 7.4 after 1X dilution; 0.1% Tween-20) with primary antibodies </w:t>
      </w:r>
      <w:r w:rsidRPr="006C0163">
        <w:rPr>
          <w:rFonts w:ascii="Times New Roman" w:hAnsi="Times New Roman" w:cs="Times New Roman"/>
          <w:sz w:val="24"/>
          <w:szCs w:val="24"/>
          <w:lang w:val="en-US"/>
        </w:rPr>
        <w:t>(diluted 1:1000) to p-S6RP</w:t>
      </w:r>
      <w:r>
        <w:rPr>
          <w:rFonts w:ascii="Times New Roman" w:hAnsi="Times New Roman" w:cs="Times New Roman"/>
          <w:sz w:val="24"/>
          <w:szCs w:val="24"/>
          <w:vertAlign w:val="superscript"/>
          <w:lang w:val="en-US"/>
        </w:rPr>
        <w:t>S</w:t>
      </w:r>
      <w:r w:rsidRPr="006C0163">
        <w:rPr>
          <w:rFonts w:ascii="Times New Roman" w:hAnsi="Times New Roman" w:cs="Times New Roman"/>
          <w:sz w:val="24"/>
          <w:szCs w:val="24"/>
          <w:vertAlign w:val="superscript"/>
          <w:lang w:val="en-US"/>
        </w:rPr>
        <w:t>240/244</w:t>
      </w:r>
      <w:r w:rsidRPr="006C0163">
        <w:rPr>
          <w:rFonts w:ascii="Times New Roman" w:hAnsi="Times New Roman" w:cs="Times New Roman"/>
          <w:sz w:val="24"/>
          <w:szCs w:val="24"/>
          <w:lang w:val="en-US"/>
        </w:rPr>
        <w:t xml:space="preserve"> (CST 2215), S6RP (CST 2217) and glyceraldehyde-3-phosphate dehydrogenase (GAPDH, SC-51907)</w:t>
      </w:r>
      <w:r w:rsidRPr="006C0163">
        <w:rPr>
          <w:rFonts w:ascii="Times New Roman" w:hAnsi="Times New Roman" w:cs="Times New Roman"/>
          <w:sz w:val="24"/>
          <w:szCs w:val="24"/>
          <w:shd w:val="clear" w:color="auto" w:fill="FFFFFF"/>
          <w:lang w:val="en-US"/>
        </w:rPr>
        <w:t>. Horseradish peroxidase-conjugated secondary antibody (Santa Cruz Biotechnology, Inc., Heidelberg, Germany) was diluted 1:5000.</w:t>
      </w:r>
      <w:r w:rsidRPr="006C0163">
        <w:rPr>
          <w:rFonts w:ascii="Times New Roman" w:hAnsi="Times New Roman" w:cs="Times New Roman"/>
          <w:sz w:val="24"/>
          <w:szCs w:val="24"/>
          <w:lang w:val="en-US"/>
        </w:rPr>
        <w:t xml:space="preserve"> Bound antibodies were visualized by Fusion Fx7 (Fisher Bioblock Scientific, Waltham, MA, USA) using Immobilon</w:t>
      </w:r>
      <w:r w:rsidRPr="006C0163">
        <w:rPr>
          <w:rFonts w:ascii="Times New Roman" w:hAnsi="Times New Roman" w:cs="Times New Roman"/>
          <w:sz w:val="24"/>
          <w:szCs w:val="24"/>
          <w:vertAlign w:val="superscript"/>
          <w:lang w:val="en-US"/>
        </w:rPr>
        <w:t>TM</w:t>
      </w:r>
      <w:r w:rsidRPr="006C0163">
        <w:rPr>
          <w:rFonts w:ascii="Times New Roman" w:hAnsi="Times New Roman" w:cs="Times New Roman"/>
          <w:sz w:val="24"/>
          <w:szCs w:val="24"/>
          <w:lang w:val="en-US"/>
        </w:rPr>
        <w:t xml:space="preserve"> Western (Millipore Corporation, Billerica, MA, USA), an enhanced chemiluminescence detection kit. The resulting bands were analyzed and quantified by Image</w:t>
      </w:r>
      <w:r w:rsidRPr="006C0163">
        <w:rPr>
          <w:rFonts w:ascii="Times New Roman" w:hAnsi="Times New Roman" w:cs="Times New Roman"/>
          <w:sz w:val="24"/>
          <w:szCs w:val="24"/>
          <w:shd w:val="clear" w:color="auto" w:fill="FFFFFF"/>
          <w:lang w:val="en-US"/>
        </w:rPr>
        <w:t>J®</w:t>
      </w:r>
      <w:r w:rsidRPr="006C0163">
        <w:rPr>
          <w:rFonts w:ascii="Times New Roman" w:hAnsi="Times New Roman" w:cs="Times New Roman"/>
          <w:sz w:val="24"/>
          <w:szCs w:val="24"/>
          <w:lang w:val="en-US"/>
        </w:rPr>
        <w:t xml:space="preserve"> 1.</w:t>
      </w:r>
      <w:r>
        <w:rPr>
          <w:rFonts w:ascii="Times New Roman" w:hAnsi="Times New Roman" w:cs="Times New Roman"/>
          <w:sz w:val="24"/>
          <w:szCs w:val="24"/>
          <w:lang w:val="en-US"/>
        </w:rPr>
        <w:t>51j</w:t>
      </w:r>
      <w:r w:rsidRPr="006C0163">
        <w:rPr>
          <w:rFonts w:ascii="Times New Roman" w:hAnsi="Times New Roman" w:cs="Times New Roman"/>
          <w:sz w:val="24"/>
          <w:szCs w:val="24"/>
          <w:lang w:val="en-US"/>
        </w:rPr>
        <w:t xml:space="preserve"> software</w:t>
      </w:r>
      <w:r w:rsidRPr="006C0163">
        <w:rPr>
          <w:rFonts w:ascii="Times New Roman" w:hAnsi="Times New Roman" w:cs="Times New Roman"/>
          <w:lang w:val="en-US"/>
        </w:rPr>
        <w:t xml:space="preserve"> </w:t>
      </w:r>
      <w:r w:rsidRPr="006C0163">
        <w:rPr>
          <w:rFonts w:ascii="Times New Roman" w:hAnsi="Times New Roman" w:cs="Times New Roman"/>
          <w:sz w:val="24"/>
          <w:szCs w:val="24"/>
          <w:lang w:val="en-US"/>
        </w:rPr>
        <w:t xml:space="preserve">(National Institutes of Health, Bethesda, MD, USA). GAPDH served as a loading control. Each membrane was reused twice after stripping in glycine buffer (6.6 mol/L, pH 2) at 56°C for 30 min. </w:t>
      </w:r>
      <w:r w:rsidRPr="006C0163">
        <w:rPr>
          <w:rStyle w:val="fmainbody"/>
          <w:rFonts w:ascii="Times New Roman" w:hAnsi="Times New Roman" w:cs="Times New Roman"/>
          <w:sz w:val="24"/>
          <w:szCs w:val="24"/>
          <w:lang w:val="en-US"/>
        </w:rPr>
        <w:t xml:space="preserve">Each experiment was repeated </w:t>
      </w:r>
      <w:r>
        <w:rPr>
          <w:rStyle w:val="fmainbody"/>
          <w:rFonts w:ascii="Times New Roman" w:hAnsi="Times New Roman" w:cs="Times New Roman"/>
          <w:sz w:val="24"/>
          <w:szCs w:val="24"/>
          <w:lang w:val="en-US"/>
        </w:rPr>
        <w:t>2</w:t>
      </w:r>
      <w:r w:rsidRPr="006C0163">
        <w:rPr>
          <w:rStyle w:val="fmainbody"/>
          <w:rFonts w:ascii="Times New Roman" w:hAnsi="Times New Roman" w:cs="Times New Roman"/>
          <w:sz w:val="24"/>
          <w:szCs w:val="24"/>
          <w:lang w:val="en-US"/>
        </w:rPr>
        <w:t xml:space="preserve"> times.</w:t>
      </w:r>
    </w:p>
    <w:p w:rsidR="00C36173" w:rsidRDefault="00C36173" w:rsidP="007A7A68">
      <w:pPr>
        <w:spacing w:after="0" w:line="360" w:lineRule="auto"/>
        <w:jc w:val="both"/>
        <w:rPr>
          <w:rFonts w:ascii="Times New Roman" w:hAnsi="Times New Roman" w:cs="Times New Roman"/>
          <w:sz w:val="24"/>
          <w:szCs w:val="24"/>
          <w:lang w:val="en-US"/>
        </w:rPr>
      </w:pPr>
    </w:p>
    <w:p w:rsidR="007A7A68" w:rsidRPr="00296084" w:rsidRDefault="007A7A68" w:rsidP="007A7A68">
      <w:pPr>
        <w:spacing w:after="0" w:line="360" w:lineRule="auto"/>
        <w:jc w:val="both"/>
        <w:rPr>
          <w:rFonts w:ascii="Times New Roman" w:hAnsi="Times New Roman" w:cs="Times New Roman"/>
          <w:sz w:val="24"/>
          <w:szCs w:val="24"/>
          <w:shd w:val="clear" w:color="auto" w:fill="FFFFFF"/>
          <w:lang w:val="en-US"/>
        </w:rPr>
      </w:pPr>
      <w:r w:rsidRPr="00296084">
        <w:rPr>
          <w:rFonts w:ascii="Times New Roman" w:hAnsi="Times New Roman" w:cs="Times New Roman"/>
          <w:b/>
          <w:sz w:val="24"/>
          <w:lang w:val="en-US"/>
        </w:rPr>
        <w:t>Sequencing</w:t>
      </w:r>
    </w:p>
    <w:p w:rsidR="007A7A68" w:rsidRDefault="007A7A68" w:rsidP="007A7A68">
      <w:pPr>
        <w:spacing w:after="0" w:line="360" w:lineRule="auto"/>
        <w:ind w:firstLine="708"/>
        <w:jc w:val="both"/>
        <w:rPr>
          <w:rFonts w:ascii="Times New Roman" w:hAnsi="Times New Roman" w:cs="Times New Roman"/>
          <w:sz w:val="24"/>
          <w:szCs w:val="24"/>
          <w:shd w:val="clear" w:color="auto" w:fill="FFFFFF"/>
          <w:lang w:val="en-US"/>
        </w:rPr>
      </w:pPr>
      <w:r w:rsidRPr="00296084">
        <w:rPr>
          <w:rFonts w:ascii="Times New Roman" w:hAnsi="Times New Roman" w:cs="Times New Roman"/>
          <w:sz w:val="24"/>
          <w:szCs w:val="24"/>
          <w:shd w:val="clear" w:color="auto" w:fill="FFFFFF"/>
          <w:lang w:val="en-US"/>
        </w:rPr>
        <w:t xml:space="preserve">Quantity and purity of double-stranded cDNA were verified by GATC Biotech using an Agilent 2100 Bioanalyzer (Agilent Technologies Inc., Waldbronn, Germany). Sequencing libraries were constructed from double-stranded cDNA samples according to the Illumina </w:t>
      </w:r>
      <w:r w:rsidRPr="00296084">
        <w:rPr>
          <w:rFonts w:ascii="Times New Roman" w:hAnsi="Times New Roman" w:cs="Times New Roman"/>
          <w:sz w:val="24"/>
          <w:szCs w:val="24"/>
          <w:shd w:val="clear" w:color="auto" w:fill="FFFFFF"/>
          <w:lang w:val="en-US"/>
        </w:rPr>
        <w:lastRenderedPageBreak/>
        <w:t>Genome Analyzer II protocol</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lang w:val="en-US"/>
        </w:rPr>
        <w:fldChar w:fldCharType="begin"/>
      </w:r>
      <w:r w:rsidR="00C36173">
        <w:rPr>
          <w:rFonts w:ascii="Times New Roman" w:hAnsi="Times New Roman" w:cs="Times New Roman"/>
          <w:sz w:val="24"/>
          <w:szCs w:val="24"/>
          <w:lang w:val="en-US"/>
        </w:rPr>
        <w:instrText xml:space="preserve"> ADDIN ZOTERO_ITEM CSL_CITATION {"citationID":"a27s95d9mf1","properties":{"formattedCitation":"[2]","plainCitation":"[2]","noteIndex":0},"citationItems":[{"id":875,"uris":["http://zotero.org/users/2942631/items/EW9PU7HT"],"uri":["http://zotero.org/users/2942631/items/EW9PU7HT"],"itemData":{"id":875,"type":"article-journal","title":"RNA-Seq-quantitative measurement of expression through massively parallel RNA-sequencing","container-title":"Methods (San Diego, Calif.)","page":"249-257","volume":"48","issue":"3","source":"PubMed","abstract":"The ability to quantitatively survey the global behavior of transcriptomes has been a key milestone in the field of systems biology, enabled by the advent of DNA microarrays. While this approach has literally transformed our vision and approach to cellular physiology, microarray technology has always been limited by the requirement to decide, a priori, what regions of the genome to examine. While very high density tiling arrays have reduced this limitation for simpler organisms, it remains an obstacle for larger, more complex, eukaryotic genomes. The recent development of \"next-generation\" massively parallel sequencing (MPS) technologies by companies such as Roche (454 GS FLX), Illumina (Genome Analyzer II), and ABI (AB SOLiD) has completely transformed the way in which quantitative transcriptomics can be done. These new technologies have reduced both the cost-per-reaction and time required by orders of magnitude, making the use of sequencing a cost-effective option for many experimental approaches. One such method that has recently been developed uses MPS technology to directly survey the RNA content of cells, without requiring any of the traditional cloning associated with EST sequencing. This approach, called \"RNA-seq\", can generate quantitative expression scores that are comparable to microarrays, with the added benefit that the entire transcriptome is surveyed without the requirement of a priori knowledge of transcribed regions. The important advantage of this technique is that not only can quantitative expression measures be made, but transcript structures including alternatively spliced transcript isoforms, can also be identified. This article discusses the experimental approach for both sample preparation and data analysis for the technique of RNA-seq.","DOI":"10.1016/j.ymeth.2009.03.016","ISSN":"1095-9130","note":"PMID: 19336255","journalAbbreviation":"Methods","language":"eng","author":[{"family":"Wilhelm","given":"Brian T."},{"family":"Landry","given":"Josette-Renée"}],"issued":{"date-parts":[["2009",7]]}}}],"schema":"https://github.com/citation-style-language/schema/raw/master/csl-citation.json"} </w:instrText>
      </w:r>
      <w:r w:rsidRPr="00296084">
        <w:rPr>
          <w:rFonts w:ascii="Times New Roman" w:hAnsi="Times New Roman" w:cs="Times New Roman"/>
          <w:sz w:val="24"/>
          <w:szCs w:val="24"/>
          <w:lang w:val="en-US"/>
        </w:rPr>
        <w:fldChar w:fldCharType="separate"/>
      </w:r>
      <w:r w:rsidR="00C36173" w:rsidRPr="00E33E46">
        <w:rPr>
          <w:rFonts w:ascii="Times New Roman" w:hAnsi="Times New Roman" w:cs="Times New Roman"/>
          <w:sz w:val="24"/>
          <w:lang w:val="en-US"/>
        </w:rPr>
        <w:t>[2]</w:t>
      </w:r>
      <w:r w:rsidRPr="00296084">
        <w:rPr>
          <w:rFonts w:ascii="Times New Roman" w:hAnsi="Times New Roman" w:cs="Times New Roman"/>
          <w:sz w:val="24"/>
          <w:szCs w:val="24"/>
          <w:lang w:val="en-US"/>
        </w:rPr>
        <w:fldChar w:fldCharType="end"/>
      </w:r>
      <w:r w:rsidRPr="00296084">
        <w:rPr>
          <w:rFonts w:ascii="Times New Roman" w:hAnsi="Times New Roman" w:cs="Times New Roman"/>
          <w:sz w:val="24"/>
          <w:szCs w:val="24"/>
          <w:lang w:val="en-US"/>
        </w:rPr>
        <w:t>,</w:t>
      </w:r>
      <w:r w:rsidRPr="00296084">
        <w:rPr>
          <w:rFonts w:ascii="Times New Roman" w:hAnsi="Times New Roman" w:cs="Times New Roman"/>
          <w:sz w:val="24"/>
          <w:szCs w:val="24"/>
          <w:shd w:val="clear" w:color="auto" w:fill="FFFFFF"/>
          <w:lang w:val="en-US"/>
        </w:rPr>
        <w:t xml:space="preserve"> followed by direct cDNA sequencing in paired end mode with a read length 2 x 125 bp. Then, 30 million read pairs were generated for each sample and FASTQ sequence files were generated by CASAVA.</w:t>
      </w:r>
      <w:r>
        <w:rPr>
          <w:rFonts w:ascii="Times New Roman" w:hAnsi="Times New Roman" w:cs="Times New Roman"/>
          <w:sz w:val="24"/>
          <w:szCs w:val="24"/>
          <w:shd w:val="clear" w:color="auto" w:fill="FFFFFF"/>
          <w:lang w:val="en-US"/>
        </w:rPr>
        <w:t xml:space="preserve"> All raw RNAseq sequences were controlled for quality and differential analysis of genes expression were realized.</w:t>
      </w:r>
    </w:p>
    <w:p w:rsidR="00B80EE4" w:rsidRDefault="00B80EE4" w:rsidP="0074617C">
      <w:pPr>
        <w:spacing w:after="0" w:line="360" w:lineRule="auto"/>
        <w:jc w:val="both"/>
        <w:rPr>
          <w:rFonts w:ascii="Times New Roman" w:hAnsi="Times New Roman" w:cs="Times New Roman"/>
          <w:b/>
          <w:sz w:val="24"/>
          <w:lang w:val="en-US"/>
        </w:rPr>
      </w:pPr>
    </w:p>
    <w:p w:rsidR="0074617C" w:rsidRPr="00296084" w:rsidRDefault="0074617C" w:rsidP="0074617C">
      <w:pPr>
        <w:spacing w:after="0" w:line="360" w:lineRule="auto"/>
        <w:jc w:val="both"/>
        <w:rPr>
          <w:rFonts w:ascii="Times New Roman" w:hAnsi="Times New Roman" w:cs="Times New Roman"/>
          <w:i/>
          <w:sz w:val="24"/>
          <w:lang w:val="en-US"/>
        </w:rPr>
      </w:pPr>
      <w:r w:rsidRPr="00296084">
        <w:rPr>
          <w:rFonts w:ascii="Times New Roman" w:hAnsi="Times New Roman" w:cs="Times New Roman"/>
          <w:b/>
          <w:sz w:val="24"/>
          <w:lang w:val="en-US"/>
        </w:rPr>
        <w:t>NGS RNAseq sequence alignment and quality control pipeline</w:t>
      </w:r>
      <w:r w:rsidRPr="00296084">
        <w:rPr>
          <w:rFonts w:ascii="Times New Roman" w:hAnsi="Times New Roman" w:cs="Times New Roman"/>
          <w:i/>
          <w:sz w:val="24"/>
          <w:lang w:val="en-US"/>
        </w:rPr>
        <w:t xml:space="preserve"> </w:t>
      </w:r>
      <w:bookmarkStart w:id="2" w:name="_Hlk494285212"/>
    </w:p>
    <w:p w:rsidR="0074617C" w:rsidRPr="00296084" w:rsidRDefault="0074617C" w:rsidP="0074617C">
      <w:pPr>
        <w:spacing w:after="0" w:line="360" w:lineRule="auto"/>
        <w:ind w:firstLine="708"/>
        <w:jc w:val="both"/>
        <w:rPr>
          <w:rFonts w:ascii="Times New Roman" w:hAnsi="Times New Roman" w:cs="Times New Roman"/>
          <w:sz w:val="24"/>
          <w:szCs w:val="24"/>
          <w:shd w:val="clear" w:color="auto" w:fill="FFFFFF"/>
          <w:lang w:val="en-US"/>
        </w:rPr>
      </w:pPr>
      <w:r w:rsidRPr="00296084">
        <w:rPr>
          <w:rFonts w:ascii="Times New Roman" w:hAnsi="Times New Roman" w:cs="Times New Roman"/>
          <w:sz w:val="24"/>
          <w:szCs w:val="24"/>
          <w:shd w:val="clear" w:color="auto" w:fill="FFFFFF"/>
          <w:lang w:val="en-US"/>
        </w:rPr>
        <w:t>Raw RNAseq sequences were controlled for quality using a set of published tools to produce curated reads. Firstly, reads with low quality bases at 5’ and 3’ were trimmed using the Sickle package (Phred cut off 20, max trim size 30 nc)</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fldChar w:fldCharType="begin"/>
      </w:r>
      <w:r w:rsidR="00C36173">
        <w:rPr>
          <w:rFonts w:ascii="Times New Roman" w:hAnsi="Times New Roman" w:cs="Times New Roman"/>
          <w:sz w:val="24"/>
          <w:szCs w:val="24"/>
          <w:shd w:val="clear" w:color="auto" w:fill="FFFFFF"/>
          <w:lang w:val="en-US"/>
        </w:rPr>
        <w:instrText xml:space="preserve"> ADDIN ZOTERO_ITEM CSL_CITATION {"citationID":"NSpKt3mg","properties":{"formattedCitation":"[3]","plainCitation":"[3]","noteIndex":0},"citationItems":[{"id":950,"uris":["http://zotero.org/users/2942631/items/XNVASMTT"],"uri":["http://zotero.org/users/2942631/items/XNVASMTT"],"itemData":{"id":950,"type":"book","title":"sickle: Windowed Adaptive Trimming for fastq files using quality","genre":"C","source":"GitHub","URL":"https://github.com/najoshi/sickle","note":"original-date: 2011-02-09T01:18:45Z","shortTitle":"sickle","author":[{"family":"najoshi","given":""}],"issued":{"date-parts":[["2017",9,19]]},"accessed":{"date-parts":[["2017",9,27]]}}}],"schema":"https://github.com/citation-style-language/schema/raw/master/csl-citation.json"} </w:instrText>
      </w:r>
      <w:r>
        <w:rPr>
          <w:rFonts w:ascii="Times New Roman" w:hAnsi="Times New Roman" w:cs="Times New Roman"/>
          <w:sz w:val="24"/>
          <w:szCs w:val="24"/>
          <w:shd w:val="clear" w:color="auto" w:fill="FFFFFF"/>
          <w:lang w:val="en-US"/>
        </w:rPr>
        <w:fldChar w:fldCharType="separate"/>
      </w:r>
      <w:r w:rsidR="00C36173" w:rsidRPr="00E33E46">
        <w:rPr>
          <w:rFonts w:ascii="Times New Roman" w:hAnsi="Times New Roman" w:cs="Times New Roman"/>
          <w:sz w:val="24"/>
          <w:lang w:val="en-US"/>
        </w:rPr>
        <w:t>[3]</w:t>
      </w:r>
      <w:r>
        <w:rPr>
          <w:rFonts w:ascii="Times New Roman" w:hAnsi="Times New Roman" w:cs="Times New Roman"/>
          <w:sz w:val="24"/>
          <w:szCs w:val="24"/>
          <w:shd w:val="clear" w:color="auto" w:fill="FFFFFF"/>
          <w:lang w:val="en-US"/>
        </w:rPr>
        <w:fldChar w:fldCharType="end"/>
      </w:r>
      <w:r w:rsidRPr="00296084">
        <w:rPr>
          <w:rFonts w:ascii="Times New Roman" w:hAnsi="Times New Roman" w:cs="Times New Roman"/>
          <w:sz w:val="24"/>
          <w:szCs w:val="24"/>
          <w:shd w:val="clear" w:color="auto" w:fill="FFFFFF"/>
          <w:lang w:val="en-US"/>
        </w:rPr>
        <w:t>. The SeqPrep package was used to remove sequencing adaptors from raw reads</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shd w:val="clear" w:color="auto" w:fill="FFFFFF"/>
          <w:lang w:val="en-US"/>
        </w:rPr>
        <w:fldChar w:fldCharType="begin"/>
      </w:r>
      <w:r w:rsidR="00C36173">
        <w:rPr>
          <w:rFonts w:ascii="Times New Roman" w:hAnsi="Times New Roman" w:cs="Times New Roman"/>
          <w:sz w:val="24"/>
          <w:szCs w:val="24"/>
          <w:shd w:val="clear" w:color="auto" w:fill="FFFFFF"/>
          <w:lang w:val="en-US"/>
        </w:rPr>
        <w:instrText xml:space="preserve"> ADDIN ZOTERO_ITEM CSL_CITATION {"citationID":"a1cj8a8d5kc","properties":{"formattedCitation":"[4]","plainCitation":"[4]","noteIndex":0},"citationItems":[{"id":952,"uris":["http://zotero.org/users/2942631/items/W5PGCTJI"],"uri":["http://zotero.org/users/2942631/items/W5PGCTJI"],"itemData":{"id":952,"type":"book","title":"SeqPrep: Tool for stripping adaptors and/or merging paired reads with overlap into single reads","genre":"C","source":"GitHub","URL":"https://github.com/jstjohn/SeqPrep","note":"original-date: 2011-03-10T17:03:26Z","shortTitle":"SeqPrep","author":[{"family":"John","given":"John St"}],"issued":{"date-parts":[["2017",9,25]]},"accessed":{"date-parts":[["2017",9,27]]}}}],"schema":"https://github.com/citation-style-language/schema/raw/master/csl-citation.json"} </w:instrText>
      </w:r>
      <w:r w:rsidRPr="00296084">
        <w:rPr>
          <w:rFonts w:ascii="Times New Roman" w:hAnsi="Times New Roman" w:cs="Times New Roman"/>
          <w:sz w:val="24"/>
          <w:szCs w:val="24"/>
          <w:shd w:val="clear" w:color="auto" w:fill="FFFFFF"/>
          <w:lang w:val="en-US"/>
        </w:rPr>
        <w:fldChar w:fldCharType="separate"/>
      </w:r>
      <w:r w:rsidR="00C36173" w:rsidRPr="00E33E46">
        <w:rPr>
          <w:rFonts w:ascii="Times New Roman" w:hAnsi="Times New Roman" w:cs="Times New Roman"/>
          <w:sz w:val="24"/>
          <w:lang w:val="en-US"/>
          <w:rPrChange w:id="3" w:author="antoine italiano" w:date="2018-12-07T20:30:00Z">
            <w:rPr>
              <w:rFonts w:ascii="Times New Roman" w:hAnsi="Times New Roman" w:cs="Times New Roman"/>
              <w:sz w:val="24"/>
            </w:rPr>
          </w:rPrChange>
        </w:rPr>
        <w:t>[4]</w:t>
      </w:r>
      <w:r w:rsidRPr="00296084">
        <w:rPr>
          <w:rFonts w:ascii="Times New Roman" w:hAnsi="Times New Roman" w:cs="Times New Roman"/>
          <w:sz w:val="24"/>
          <w:szCs w:val="24"/>
          <w:shd w:val="clear" w:color="auto" w:fill="FFFFFF"/>
          <w:lang w:val="en-US"/>
        </w:rPr>
        <w:fldChar w:fldCharType="end"/>
      </w:r>
      <w:r w:rsidRPr="00296084">
        <w:rPr>
          <w:rFonts w:ascii="Times New Roman" w:hAnsi="Times New Roman" w:cs="Times New Roman"/>
          <w:sz w:val="24"/>
          <w:szCs w:val="24"/>
          <w:shd w:val="clear" w:color="auto" w:fill="FFFFFF"/>
          <w:lang w:val="en-US"/>
        </w:rPr>
        <w:t>. This package also detected an important proportion of RNA fragments whose R1 and R2 paired-end reads were overlapping and merged them into single-end reads. To keep exploiting those fragment, a home-made python script was developed that split those merged reads into new non-overlapping R1 and R2 paired-end reads. Curated reads were aligned using TOPHAT2 (aka BOWTIE2) on both the UCSC hg19 reference genome and transcriptome</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shd w:val="clear" w:color="auto" w:fill="FFFFFF"/>
          <w:lang w:val="en-US"/>
        </w:rPr>
        <w:fldChar w:fldCharType="begin"/>
      </w:r>
      <w:r w:rsidR="00C36173">
        <w:rPr>
          <w:rFonts w:ascii="Times New Roman" w:hAnsi="Times New Roman" w:cs="Times New Roman"/>
          <w:sz w:val="24"/>
          <w:szCs w:val="24"/>
          <w:shd w:val="clear" w:color="auto" w:fill="FFFFFF"/>
          <w:lang w:val="en-US"/>
        </w:rPr>
        <w:instrText xml:space="preserve"> ADDIN ZOTERO_ITEM CSL_CITATION {"citationID":"a2id0ouq883","properties":{"formattedCitation":"[5]","plainCitation":"[5]","noteIndex":0},"citationItems":[{"id":954,"uris":["http://zotero.org/users/2942631/items/IFQDWRVP"],"uri":["http://zotero.org/users/2942631/items/IFQDWRVP"],"itemData":{"id":954,"type":"article-journal","title":"Fast gapped-read alignment with Bowtie 2","container-title":"Nature Methods","page":"357-359","volume":"9","issue":"4","source":"PubMed","abstract":"As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accuracy.","DOI":"10.1038/nmeth.1923","ISSN":"1548-7105","note":"PMID: 22388286\nPMCID: PMC3322381","journalAbbreviation":"Nat. Methods","language":"eng","author":[{"family":"Langmead","given":"Ben"},{"family":"Salzberg","given":"Steven L."}],"issued":{"date-parts":[["2012",3,4]]}}}],"schema":"https://github.com/citation-style-language/schema/raw/master/csl-citation.json"} </w:instrText>
      </w:r>
      <w:r w:rsidRPr="00296084">
        <w:rPr>
          <w:rFonts w:ascii="Times New Roman" w:hAnsi="Times New Roman" w:cs="Times New Roman"/>
          <w:sz w:val="24"/>
          <w:szCs w:val="24"/>
          <w:shd w:val="clear" w:color="auto" w:fill="FFFFFF"/>
          <w:lang w:val="en-US"/>
        </w:rPr>
        <w:fldChar w:fldCharType="separate"/>
      </w:r>
      <w:r w:rsidR="00C36173" w:rsidRPr="00E33E46">
        <w:rPr>
          <w:rFonts w:ascii="Times New Roman" w:hAnsi="Times New Roman" w:cs="Times New Roman"/>
          <w:sz w:val="24"/>
          <w:lang w:val="en-US"/>
        </w:rPr>
        <w:t>[5]</w:t>
      </w:r>
      <w:r w:rsidRPr="00296084">
        <w:rPr>
          <w:rFonts w:ascii="Times New Roman" w:hAnsi="Times New Roman" w:cs="Times New Roman"/>
          <w:sz w:val="24"/>
          <w:szCs w:val="24"/>
          <w:shd w:val="clear" w:color="auto" w:fill="FFFFFF"/>
          <w:lang w:val="en-US"/>
        </w:rPr>
        <w:fldChar w:fldCharType="end"/>
      </w:r>
      <w:r w:rsidRPr="00296084">
        <w:rPr>
          <w:rFonts w:ascii="Times New Roman" w:hAnsi="Times New Roman" w:cs="Times New Roman"/>
          <w:sz w:val="24"/>
          <w:szCs w:val="24"/>
          <w:shd w:val="clear" w:color="auto" w:fill="FFFFFF"/>
          <w:lang w:val="en-US"/>
        </w:rPr>
        <w:t>. Finally, we applied a post-alignment quality control of aligned reads by removing reads with mapping scores lower than 20 using Samtools</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shd w:val="clear" w:color="auto" w:fill="FFFFFF"/>
          <w:lang w:val="en-US"/>
        </w:rPr>
        <w:fldChar w:fldCharType="begin"/>
      </w:r>
      <w:r w:rsidR="00C36173">
        <w:rPr>
          <w:rFonts w:ascii="Times New Roman" w:hAnsi="Times New Roman" w:cs="Times New Roman"/>
          <w:sz w:val="24"/>
          <w:szCs w:val="24"/>
          <w:shd w:val="clear" w:color="auto" w:fill="FFFFFF"/>
          <w:lang w:val="en-US"/>
        </w:rPr>
        <w:instrText xml:space="preserve"> ADDIN ZOTERO_ITEM CSL_CITATION {"citationID":"a1cn8bp4gei","properties":{"formattedCitation":"[6]","plainCitation":"[6]","noteIndex":0},"citationItems":[{"id":956,"uris":["http://zotero.org/users/2942631/items/SMHPLYFT"],"uri":["http://zotero.org/users/2942631/items/SMHPLYFT"],"itemData":{"id":956,"type":"article-journal","title":"The Sequence Alignment/Map format and SAMtools","container-title":"Bioinformatics (Oxford, England)","page":"2078-2079","volume":"25","issue":"16","source":"PubMed","abstract":"SUMMARY: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alignments.\nAVAILABILITY: http://samtools.sourceforge.net.","DOI":"10.1093/bioinformatics/btp352","ISSN":"1367-4811","note":"PMID: 19505943\nPMCID: PMC2723002","journalAbbreviation":"Bioinformatics","language":"eng","author":[{"family":"Li","given":"Heng"},{"family":"Handsaker","given":"Bob"},{"family":"Wysoker","given":"Alec"},{"family":"Fennell","given":"Tim"},{"family":"Ruan","given":"Jue"},{"family":"Homer","given":"Nils"},{"family":"Marth","given":"Gabor"},{"family":"Abecasis","given":"Goncalo"},{"family":"Durbin","given":"Richard"},{"literal":"1000 Genome Project Data Processing Subgroup"}],"issued":{"date-parts":[["2009",8,15]]}}}],"schema":"https://github.com/citation-style-language/schema/raw/master/csl-citation.json"} </w:instrText>
      </w:r>
      <w:r w:rsidRPr="00296084">
        <w:rPr>
          <w:rFonts w:ascii="Times New Roman" w:hAnsi="Times New Roman" w:cs="Times New Roman"/>
          <w:sz w:val="24"/>
          <w:szCs w:val="24"/>
          <w:shd w:val="clear" w:color="auto" w:fill="FFFFFF"/>
          <w:lang w:val="en-US"/>
        </w:rPr>
        <w:fldChar w:fldCharType="separate"/>
      </w:r>
      <w:r w:rsidR="00C36173" w:rsidRPr="00E33E46">
        <w:rPr>
          <w:rFonts w:ascii="Times New Roman" w:hAnsi="Times New Roman" w:cs="Times New Roman"/>
          <w:sz w:val="24"/>
          <w:lang w:val="en-US"/>
          <w:rPrChange w:id="4" w:author="antoine italiano" w:date="2018-12-07T20:30:00Z">
            <w:rPr>
              <w:rFonts w:ascii="Times New Roman" w:hAnsi="Times New Roman" w:cs="Times New Roman"/>
              <w:sz w:val="24"/>
            </w:rPr>
          </w:rPrChange>
        </w:rPr>
        <w:t>[6]</w:t>
      </w:r>
      <w:r w:rsidRPr="00296084">
        <w:rPr>
          <w:rFonts w:ascii="Times New Roman" w:hAnsi="Times New Roman" w:cs="Times New Roman"/>
          <w:sz w:val="24"/>
          <w:szCs w:val="24"/>
          <w:shd w:val="clear" w:color="auto" w:fill="FFFFFF"/>
          <w:lang w:val="en-US"/>
        </w:rPr>
        <w:fldChar w:fldCharType="end"/>
      </w:r>
      <w:r w:rsidRPr="00296084">
        <w:rPr>
          <w:rFonts w:ascii="Times New Roman" w:hAnsi="Times New Roman" w:cs="Times New Roman"/>
          <w:sz w:val="24"/>
          <w:szCs w:val="24"/>
          <w:shd w:val="clear" w:color="auto" w:fill="FFFFFF"/>
          <w:lang w:val="en-US"/>
        </w:rPr>
        <w:t>. PCR duplicate reads were identified and removed using Picard MarkDuplicates (</w:t>
      </w:r>
      <w:hyperlink r:id="rId9" w:history="1">
        <w:r w:rsidRPr="00296084">
          <w:rPr>
            <w:rStyle w:val="Hyperlink"/>
            <w:rFonts w:ascii="Times New Roman" w:hAnsi="Times New Roman" w:cs="Times New Roman"/>
            <w:sz w:val="24"/>
            <w:szCs w:val="24"/>
            <w:highlight w:val="white"/>
            <w:lang w:val="en-US"/>
          </w:rPr>
          <w:t>https://broadinstitute.github.io</w:t>
        </w:r>
      </w:hyperlink>
      <w:r w:rsidRPr="00296084">
        <w:rPr>
          <w:rFonts w:ascii="Times New Roman" w:hAnsi="Times New Roman" w:cs="Times New Roman"/>
          <w:sz w:val="24"/>
          <w:szCs w:val="24"/>
          <w:shd w:val="clear" w:color="auto" w:fill="FFFFFF"/>
          <w:lang w:val="en-US"/>
        </w:rPr>
        <w:t>). Read counts were performed using the Python module HTSeq</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shd w:val="clear" w:color="auto" w:fill="FFFFFF"/>
          <w:lang w:val="en-US"/>
        </w:rPr>
        <w:fldChar w:fldCharType="begin"/>
      </w:r>
      <w:r w:rsidR="00C36173">
        <w:rPr>
          <w:rFonts w:ascii="Times New Roman" w:hAnsi="Times New Roman" w:cs="Times New Roman"/>
          <w:sz w:val="24"/>
          <w:szCs w:val="24"/>
          <w:shd w:val="clear" w:color="auto" w:fill="FFFFFF"/>
          <w:lang w:val="en-US"/>
        </w:rPr>
        <w:instrText xml:space="preserve"> ADDIN ZOTERO_ITEM CSL_CITATION {"citationID":"a113cetunn0","properties":{"formattedCitation":"[7]","plainCitation":"[7]","noteIndex":0},"citationItems":[{"id":958,"uris":["http://zotero.org/users/2942631/items/P7MG8PY6"],"uri":["http://zotero.org/users/2942631/items/P7MG8PY6"],"itemData":{"id":958,"type":"article-journal","title":"HTSeq--a Python framework to work with high-throughput sequencing data","container-title":"Bioinformatics (Oxford, England)","page":"166-169","volume":"31","issue":"2","source":"PubMed","abstract":"MOTIVATION: A large choice of tools exists for many standard tasks in the analysis of high-throughput sequencing (HTS) data. However, once a project deviates from standard workflows, custom scripts are needed.\nRESULTS: We present HTSeq, a Python library to facilitate the rapid development of such scripts. HTSeq offers parsers for many common data formats in HTS projects, as well as classes to represent data, such as genomic coordinates, sequences, sequencing reads, alignments, gene model information and variant calls, and provides data structures that allow for querying via genomic coordinates. We also present htseq-count, a tool developed with HTSeq that preprocesses RNA-Seq data for differential expression analysis by counting the overlap of reads with genes.\nAVAILABILITY AND IMPLEMENTATION: HTSeq is released as an open-source software under the GNU General Public Licence and available from http://www-huber.embl.de/HTSeq or from the Python Package Index at https://pypi.python.org/pypi/HTSeq.","DOI":"10.1093/bioinformatics/btu638","ISSN":"1367-4811","note":"PMID: 25260700\nPMCID: PMC4287950","journalAbbreviation":"Bioinformatics","language":"eng","author":[{"family":"Anders","given":"Simon"},{"family":"Pyl","given":"Paul Theodor"},{"family":"Huber","given":"Wolfgang"}],"issued":{"date-parts":[["2015",1,15]]}}}],"schema":"https://github.com/citation-style-language/schema/raw/master/csl-citation.json"} </w:instrText>
      </w:r>
      <w:r w:rsidRPr="00296084">
        <w:rPr>
          <w:rFonts w:ascii="Times New Roman" w:hAnsi="Times New Roman" w:cs="Times New Roman"/>
          <w:sz w:val="24"/>
          <w:szCs w:val="24"/>
          <w:shd w:val="clear" w:color="auto" w:fill="FFFFFF"/>
          <w:lang w:val="en-US"/>
        </w:rPr>
        <w:fldChar w:fldCharType="separate"/>
      </w:r>
      <w:r w:rsidR="00C36173" w:rsidRPr="00E33E46">
        <w:rPr>
          <w:rFonts w:ascii="Times New Roman" w:hAnsi="Times New Roman" w:cs="Times New Roman"/>
          <w:sz w:val="24"/>
          <w:lang w:val="en-US"/>
          <w:rPrChange w:id="5" w:author="antoine italiano" w:date="2018-12-07T20:30:00Z">
            <w:rPr>
              <w:rFonts w:ascii="Times New Roman" w:hAnsi="Times New Roman" w:cs="Times New Roman"/>
              <w:sz w:val="24"/>
            </w:rPr>
          </w:rPrChange>
        </w:rPr>
        <w:t>[7]</w:t>
      </w:r>
      <w:r w:rsidRPr="00296084">
        <w:rPr>
          <w:rFonts w:ascii="Times New Roman" w:hAnsi="Times New Roman" w:cs="Times New Roman"/>
          <w:sz w:val="24"/>
          <w:szCs w:val="24"/>
          <w:shd w:val="clear" w:color="auto" w:fill="FFFFFF"/>
          <w:lang w:val="en-US"/>
        </w:rPr>
        <w:fldChar w:fldCharType="end"/>
      </w:r>
      <w:r w:rsidRPr="00296084">
        <w:rPr>
          <w:rFonts w:ascii="Times New Roman" w:hAnsi="Times New Roman" w:cs="Times New Roman"/>
          <w:sz w:val="24"/>
          <w:szCs w:val="24"/>
          <w:shd w:val="clear" w:color="auto" w:fill="FFFFFF"/>
          <w:lang w:val="en-US"/>
        </w:rPr>
        <w:t>. For clinical samples, only one sample per condition was sequenced which was not statistically congruent with differential expression analysis. We avoided this problem by splitting FASTQ files into three equivalent parts to obtain three subsamples per condition.</w:t>
      </w:r>
      <w:bookmarkEnd w:id="2"/>
    </w:p>
    <w:p w:rsidR="0074617C" w:rsidRPr="00296084" w:rsidRDefault="0074617C" w:rsidP="0074617C">
      <w:pPr>
        <w:spacing w:after="0" w:line="360" w:lineRule="auto"/>
        <w:jc w:val="both"/>
        <w:rPr>
          <w:rFonts w:ascii="Times New Roman" w:hAnsi="Times New Roman" w:cs="Times New Roman"/>
          <w:sz w:val="24"/>
          <w:szCs w:val="24"/>
          <w:shd w:val="clear" w:color="auto" w:fill="FFFFFF"/>
          <w:lang w:val="en-US"/>
        </w:rPr>
      </w:pPr>
    </w:p>
    <w:p w:rsidR="0074617C" w:rsidRPr="00296084" w:rsidRDefault="0074617C" w:rsidP="0074617C">
      <w:pPr>
        <w:spacing w:after="0" w:line="360" w:lineRule="auto"/>
        <w:jc w:val="both"/>
        <w:rPr>
          <w:rFonts w:ascii="Times New Roman" w:hAnsi="Times New Roman" w:cs="Times New Roman"/>
          <w:b/>
          <w:sz w:val="24"/>
          <w:lang w:val="en-US"/>
        </w:rPr>
      </w:pPr>
      <w:r w:rsidRPr="00296084">
        <w:rPr>
          <w:rFonts w:ascii="Times New Roman" w:hAnsi="Times New Roman" w:cs="Times New Roman"/>
          <w:b/>
          <w:sz w:val="24"/>
          <w:lang w:val="en-US"/>
        </w:rPr>
        <w:t>Differential analysis</w:t>
      </w:r>
    </w:p>
    <w:p w:rsidR="0074617C" w:rsidRPr="00296084" w:rsidRDefault="0074617C" w:rsidP="0074617C">
      <w:pPr>
        <w:spacing w:after="0" w:line="360" w:lineRule="auto"/>
        <w:ind w:firstLine="708"/>
        <w:jc w:val="both"/>
        <w:rPr>
          <w:rFonts w:ascii="Times New Roman" w:hAnsi="Times New Roman" w:cs="Times New Roman"/>
          <w:color w:val="000000"/>
          <w:sz w:val="24"/>
          <w:szCs w:val="24"/>
          <w:lang w:val="en-US"/>
        </w:rPr>
      </w:pPr>
      <w:r w:rsidRPr="00296084">
        <w:rPr>
          <w:rFonts w:ascii="Times New Roman" w:hAnsi="Times New Roman" w:cs="Times New Roman"/>
          <w:sz w:val="24"/>
          <w:szCs w:val="24"/>
          <w:shd w:val="clear" w:color="auto" w:fill="FFFFFF"/>
          <w:lang w:val="en-US"/>
        </w:rPr>
        <w:t>Transcript count data were normalized according the VOOM method, which transforms raw count values to log2-counts per million (logCPM), estimates the mean-variance relationship and uses this relationship to compute appropriate observational-level weights</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shd w:val="clear" w:color="auto" w:fill="FFFFFF"/>
          <w:lang w:val="en-US"/>
        </w:rPr>
        <w:fldChar w:fldCharType="begin"/>
      </w:r>
      <w:r w:rsidR="00C36173">
        <w:rPr>
          <w:rFonts w:ascii="Times New Roman" w:hAnsi="Times New Roman" w:cs="Times New Roman"/>
          <w:sz w:val="24"/>
          <w:szCs w:val="24"/>
          <w:shd w:val="clear" w:color="auto" w:fill="FFFFFF"/>
          <w:lang w:val="en-US"/>
        </w:rPr>
        <w:instrText xml:space="preserve"> ADDIN ZOTERO_ITEM CSL_CITATION {"citationID":"a58n137ab8","properties":{"formattedCitation":"[8]","plainCitation":"[8]","noteIndex":0},"citationItems":[{"id":960,"uris":["http://zotero.org/users/2942631/items/WQGVSXTL"],"uri":["http://zotero.org/users/2942631/items/WQGVSXTL"],"itemData":{"id":960,"type":"article-journal","title":"voom: Precision weights unlock linear model analysis tools for RNA-seq read counts","container-title":"Genome Biology","page":"R29","volume":"15","issue":"2","source":"PubMed","abstract":"New normal linear modeling strategies are presented for analyzing read counts from RNA-seq experiments. The voom method estimates the mean-variance relationship of the log-counts, generates a precision weight for each observation and enters these into the limma empirical Bayes analysis pipeline. This opens access for RNA-seq analysts to a large body of methodology developed for microarrays. Simulation studies show that voom performs as well or better than count-based RNA-seq methods even when the data are generated according to the assumptions of the earlier methods. Two case studies illustrate the use of linear modeling and gene set testing methods.","DOI":"10.1186/gb-2014-15-2-r29","ISSN":"1474-760X","note":"PMID: 24485249\nPMCID: PMC4053721","shortTitle":"voom","journalAbbreviation":"Genome Biol.","language":"eng","author":[{"family":"Law","given":"Charity W."},{"family":"Chen","given":"Yunshun"},{"family":"Shi","given":"Wei"},{"family":"Smyth","given":"Gordon K."}],"issued":{"date-parts":[["2014",2,3]]}}}],"schema":"https://github.com/citation-style-language/schema/raw/master/csl-citation.json"} </w:instrText>
      </w:r>
      <w:r w:rsidRPr="00296084">
        <w:rPr>
          <w:rFonts w:ascii="Times New Roman" w:hAnsi="Times New Roman" w:cs="Times New Roman"/>
          <w:sz w:val="24"/>
          <w:szCs w:val="24"/>
          <w:shd w:val="clear" w:color="auto" w:fill="FFFFFF"/>
          <w:lang w:val="en-US"/>
        </w:rPr>
        <w:fldChar w:fldCharType="separate"/>
      </w:r>
      <w:r w:rsidR="00C36173" w:rsidRPr="00E33E46">
        <w:rPr>
          <w:rFonts w:ascii="Times New Roman" w:hAnsi="Times New Roman" w:cs="Times New Roman"/>
          <w:sz w:val="24"/>
          <w:lang w:val="en-US"/>
        </w:rPr>
        <w:t>[8]</w:t>
      </w:r>
      <w:r w:rsidRPr="00296084">
        <w:rPr>
          <w:rFonts w:ascii="Times New Roman" w:hAnsi="Times New Roman" w:cs="Times New Roman"/>
          <w:sz w:val="24"/>
          <w:szCs w:val="24"/>
          <w:shd w:val="clear" w:color="auto" w:fill="FFFFFF"/>
          <w:lang w:val="en-US"/>
        </w:rPr>
        <w:fldChar w:fldCharType="end"/>
      </w:r>
      <w:r w:rsidRPr="00296084">
        <w:rPr>
          <w:rFonts w:ascii="Times New Roman" w:hAnsi="Times New Roman" w:cs="Times New Roman"/>
          <w:sz w:val="24"/>
          <w:szCs w:val="24"/>
          <w:shd w:val="clear" w:color="auto" w:fill="FFFFFF"/>
          <w:lang w:val="en-US"/>
        </w:rPr>
        <w:t>. The RNAseq differential gene expression between groups of samples was performed using the</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shd w:val="clear" w:color="auto" w:fill="FFFFFF"/>
          <w:lang w:val="en-US"/>
        </w:rPr>
        <w:t>statistical t-test from the R package LIMMA, which calculates fold changes and nominal p-values related to each gene starting from raw expression values and the normalization weights produced by VOOM</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shd w:val="clear" w:color="auto" w:fill="FFFFFF"/>
          <w:lang w:val="en-US"/>
        </w:rPr>
        <w:fldChar w:fldCharType="begin"/>
      </w:r>
      <w:r w:rsidR="00C36173">
        <w:rPr>
          <w:rFonts w:ascii="Times New Roman" w:hAnsi="Times New Roman" w:cs="Times New Roman"/>
          <w:sz w:val="24"/>
          <w:szCs w:val="24"/>
          <w:shd w:val="clear" w:color="auto" w:fill="FFFFFF"/>
          <w:lang w:val="en-US"/>
        </w:rPr>
        <w:instrText xml:space="preserve"> ADDIN ZOTERO_ITEM CSL_CITATION {"citationID":"a9goc2jugd","properties":{"formattedCitation":"[9]","plainCitation":"[9]","noteIndex":0},"citationItems":[{"id":962,"uris":["http://zotero.org/users/2942631/items/SE7VUD39"],"uri":["http://zotero.org/users/2942631/items/SE7VUD39"],"itemData":{"id":962,"type":"article-journal","title":"limma powers differential expression analyses for RNA-sequencing and microarray studies","container-title":"Nucleic Acids Research","page":"e47","volume":"43","issue":"7","source":"PubMed","abstract":"limma is an R/Bioconductor software package that provides an integrated solution for analysing data from gene expression experiments. It contains rich features for handling complex experimental designs and for information borrowing to overcome the problem of small sample sizes. Over the past decade, limma has been a popular choice for gene discovery through differential expression analyses of microarray and high-throughput PCR data. The package contains particularly strong facilities for reading, normalizing and exploring such data. Recently, the capabilities of limma have been significantly expanded in two important directions. First, the package can now perform both differential expression and differential splicing analyses of RNA sequencing (RNA-seq) data. All the downstream analysis tools previously restricted to microarray data are now available for RNA-seq as well. These capabilities allow users to analyse both RNA-seq and microarray data with very similar pipelines. Second, the package is now able to go past the traditional gene-wise expression analyses in a variety of ways, analysing expression profiles in terms of co-regulated sets of genes or in terms of higher-order expression signatures. This provides enhanced possibilities for biological interpretation of gene expression differences. This article reviews the philosophy and design of the limma package, summarizing both new and historical features, with an emphasis on recent enhancements and features that have not been previously described.","DOI":"10.1093/nar/gkv007","ISSN":"1362-4962","note":"PMID: 25605792\nPMCID: PMC4402510","journalAbbreviation":"Nucleic Acids Res.","language":"eng","author":[{"family":"Ritchie","given":"Matthew E."},{"family":"Phipson","given":"Belinda"},{"family":"Wu","given":"Di"},{"family":"Hu","given":"Yifang"},{"family":"Law","given":"Charity W."},{"family":"Shi","given":"Wei"},{"family":"Smyth","given":"Gordon K."}],"issued":{"date-parts":[["2015",4,20]]}}}],"schema":"https://github.com/citation-style-language/schema/raw/master/csl-citation.json"} </w:instrText>
      </w:r>
      <w:r w:rsidRPr="00296084">
        <w:rPr>
          <w:rFonts w:ascii="Times New Roman" w:hAnsi="Times New Roman" w:cs="Times New Roman"/>
          <w:sz w:val="24"/>
          <w:szCs w:val="24"/>
          <w:shd w:val="clear" w:color="auto" w:fill="FFFFFF"/>
          <w:lang w:val="en-US"/>
        </w:rPr>
        <w:fldChar w:fldCharType="separate"/>
      </w:r>
      <w:r w:rsidR="00C36173" w:rsidRPr="00E33E46">
        <w:rPr>
          <w:rFonts w:ascii="Times New Roman" w:hAnsi="Times New Roman" w:cs="Times New Roman"/>
          <w:sz w:val="24"/>
          <w:lang w:val="en-US"/>
        </w:rPr>
        <w:t>[9]</w:t>
      </w:r>
      <w:r w:rsidRPr="00296084">
        <w:rPr>
          <w:rFonts w:ascii="Times New Roman" w:hAnsi="Times New Roman" w:cs="Times New Roman"/>
          <w:sz w:val="24"/>
          <w:szCs w:val="24"/>
          <w:shd w:val="clear" w:color="auto" w:fill="FFFFFF"/>
          <w:lang w:val="en-US"/>
        </w:rPr>
        <w:fldChar w:fldCharType="end"/>
      </w:r>
      <w:r w:rsidRPr="00296084">
        <w:rPr>
          <w:rFonts w:ascii="Times New Roman" w:hAnsi="Times New Roman" w:cs="Times New Roman"/>
          <w:sz w:val="24"/>
          <w:szCs w:val="24"/>
          <w:shd w:val="clear" w:color="auto" w:fill="FFFFFF"/>
          <w:lang w:val="en-US"/>
        </w:rPr>
        <w:t>. The set of nominal p-values from each test were adjusted according to the Benjamini-Hochberg adjustment</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shd w:val="clear" w:color="auto" w:fill="FFFFFF"/>
          <w:lang w:val="en-US"/>
        </w:rPr>
        <w:fldChar w:fldCharType="begin"/>
      </w:r>
      <w:r w:rsidR="00C36173">
        <w:rPr>
          <w:rFonts w:ascii="Times New Roman" w:hAnsi="Times New Roman" w:cs="Times New Roman"/>
          <w:sz w:val="24"/>
          <w:szCs w:val="24"/>
          <w:shd w:val="clear" w:color="auto" w:fill="FFFFFF"/>
          <w:lang w:val="en-US"/>
        </w:rPr>
        <w:instrText xml:space="preserve"> ADDIN ZOTERO_ITEM CSL_CITATION {"citationID":"a1e5rc6abj","properties":{"formattedCitation":"[10]","plainCitation":"[10]","noteIndex":0},"citationItems":[{"id":964,"uris":["http://zotero.org/users/2942631/items/5ME57N24"],"uri":["http://zotero.org/users/2942631/items/5ME57N24"],"itemData":{"id":964,"type":"article-journal","title":"Controlling the False Discovery Rate: A Practical and Powerful Approach to Multiple Testing","container-title":"Journal of the Royal Statistical Society. Series B (Methodological)","page":"289-300","volume":"57","issue":"1","source":"JSTOR","abstract":"The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examples.","ISSN":"0035-9246","shortTitle":"Controlling the False Discovery Rate","author":[{"family":"Benjamini","given":"Yoav"},{"family":"Hochberg","given":"Yosef"}],"issued":{"date-parts":[["1995"]]}}}],"schema":"https://github.com/citation-style-language/schema/raw/master/csl-citation.json"} </w:instrText>
      </w:r>
      <w:r w:rsidRPr="00296084">
        <w:rPr>
          <w:rFonts w:ascii="Times New Roman" w:hAnsi="Times New Roman" w:cs="Times New Roman"/>
          <w:sz w:val="24"/>
          <w:szCs w:val="24"/>
          <w:shd w:val="clear" w:color="auto" w:fill="FFFFFF"/>
          <w:lang w:val="en-US"/>
        </w:rPr>
        <w:fldChar w:fldCharType="separate"/>
      </w:r>
      <w:r w:rsidR="00C36173" w:rsidRPr="00E33E46">
        <w:rPr>
          <w:rFonts w:ascii="Times New Roman" w:hAnsi="Times New Roman" w:cs="Times New Roman"/>
          <w:sz w:val="24"/>
          <w:lang w:val="en-US"/>
          <w:rPrChange w:id="6" w:author="antoine italiano" w:date="2018-12-07T20:30:00Z">
            <w:rPr>
              <w:rFonts w:ascii="Times New Roman" w:hAnsi="Times New Roman" w:cs="Times New Roman"/>
              <w:sz w:val="24"/>
            </w:rPr>
          </w:rPrChange>
        </w:rPr>
        <w:t>[10]</w:t>
      </w:r>
      <w:r w:rsidRPr="00296084">
        <w:rPr>
          <w:rFonts w:ascii="Times New Roman" w:hAnsi="Times New Roman" w:cs="Times New Roman"/>
          <w:sz w:val="24"/>
          <w:szCs w:val="24"/>
          <w:shd w:val="clear" w:color="auto" w:fill="FFFFFF"/>
          <w:lang w:val="en-US"/>
        </w:rPr>
        <w:fldChar w:fldCharType="end"/>
      </w:r>
      <w:r w:rsidRPr="00296084">
        <w:rPr>
          <w:rFonts w:ascii="Times New Roman" w:hAnsi="Times New Roman" w:cs="Times New Roman"/>
          <w:sz w:val="24"/>
          <w:szCs w:val="24"/>
          <w:shd w:val="clear" w:color="auto" w:fill="FFFFFF"/>
          <w:lang w:val="en-US"/>
        </w:rPr>
        <w:t xml:space="preserve">. We defined the significantly up- or down-regulated transcripts using an FDR threshold of 0.05. The fold-change used to further filter the differential gene expression was set to a minimum value of 2. </w:t>
      </w:r>
      <w:r w:rsidRPr="00296084">
        <w:rPr>
          <w:rFonts w:ascii="Times New Roman" w:hAnsi="Times New Roman" w:cs="Times New Roman"/>
          <w:sz w:val="24"/>
          <w:szCs w:val="24"/>
          <w:shd w:val="clear" w:color="auto" w:fill="FFFFFF"/>
          <w:lang w:val="en-US"/>
        </w:rPr>
        <w:lastRenderedPageBreak/>
        <w:t xml:space="preserve">The differential expression status of all genes presenting significant variations is summarized in </w:t>
      </w:r>
      <w:r>
        <w:rPr>
          <w:rFonts w:ascii="Times New Roman" w:hAnsi="Times New Roman" w:cs="Times New Roman"/>
          <w:sz w:val="24"/>
          <w:szCs w:val="24"/>
          <w:shd w:val="clear" w:color="auto" w:fill="FFFFFF"/>
          <w:lang w:val="en-US"/>
        </w:rPr>
        <w:t xml:space="preserve">Supplementary </w:t>
      </w:r>
      <w:r w:rsidRPr="00296084">
        <w:rPr>
          <w:rFonts w:ascii="Times New Roman" w:hAnsi="Times New Roman" w:cs="Times New Roman"/>
          <w:sz w:val="24"/>
          <w:szCs w:val="24"/>
          <w:shd w:val="clear" w:color="auto" w:fill="FFFFFF"/>
          <w:lang w:val="en-US"/>
        </w:rPr>
        <w:t>Table</w:t>
      </w:r>
      <w:r>
        <w:rPr>
          <w:rFonts w:ascii="Times New Roman" w:hAnsi="Times New Roman" w:cs="Times New Roman"/>
          <w:sz w:val="24"/>
          <w:szCs w:val="24"/>
          <w:shd w:val="clear" w:color="auto" w:fill="FFFFFF"/>
          <w:lang w:val="en-US"/>
        </w:rPr>
        <w:t xml:space="preserve"> S1, S2, S4 and S5</w:t>
      </w:r>
      <w:r w:rsidRPr="00296084">
        <w:rPr>
          <w:rFonts w:ascii="Times New Roman" w:hAnsi="Times New Roman" w:cs="Times New Roman"/>
          <w:sz w:val="24"/>
          <w:szCs w:val="24"/>
          <w:shd w:val="clear" w:color="auto" w:fill="FFFFFF"/>
          <w:lang w:val="en-US"/>
        </w:rPr>
        <w:t xml:space="preserve">. </w:t>
      </w:r>
    </w:p>
    <w:p w:rsidR="0074617C" w:rsidRPr="00296084" w:rsidRDefault="0074617C" w:rsidP="0074617C">
      <w:pPr>
        <w:spacing w:after="0" w:line="360" w:lineRule="auto"/>
        <w:jc w:val="both"/>
        <w:rPr>
          <w:rFonts w:ascii="Times New Roman" w:hAnsi="Times New Roman" w:cs="Times New Roman"/>
          <w:color w:val="000000"/>
          <w:sz w:val="24"/>
          <w:szCs w:val="24"/>
          <w:lang w:val="en-US"/>
        </w:rPr>
      </w:pPr>
    </w:p>
    <w:p w:rsidR="0074617C" w:rsidRPr="00296084" w:rsidRDefault="0074617C" w:rsidP="0074617C">
      <w:pPr>
        <w:spacing w:after="0" w:line="360" w:lineRule="auto"/>
        <w:jc w:val="both"/>
        <w:rPr>
          <w:rFonts w:ascii="Times New Roman" w:hAnsi="Times New Roman" w:cs="Times New Roman"/>
          <w:b/>
          <w:sz w:val="24"/>
          <w:lang w:val="en-US"/>
        </w:rPr>
      </w:pPr>
      <w:r w:rsidRPr="00296084">
        <w:rPr>
          <w:rFonts w:ascii="Times New Roman" w:hAnsi="Times New Roman" w:cs="Times New Roman"/>
          <w:b/>
          <w:sz w:val="24"/>
          <w:lang w:val="en-US"/>
        </w:rPr>
        <w:t>Gene Set-Enrichment Analysis</w:t>
      </w:r>
    </w:p>
    <w:p w:rsidR="0074617C" w:rsidRDefault="0074617C" w:rsidP="0074617C">
      <w:pPr>
        <w:spacing w:after="0" w:line="360" w:lineRule="auto"/>
        <w:ind w:firstLine="708"/>
        <w:jc w:val="both"/>
        <w:rPr>
          <w:rFonts w:ascii="Times New Roman" w:hAnsi="Times New Roman" w:cs="Times New Roman"/>
          <w:sz w:val="24"/>
          <w:lang w:val="en-US"/>
        </w:rPr>
      </w:pPr>
      <w:r w:rsidRPr="00296084">
        <w:rPr>
          <w:rFonts w:ascii="Times New Roman" w:hAnsi="Times New Roman" w:cs="Times New Roman"/>
          <w:sz w:val="24"/>
          <w:lang w:val="en-US"/>
        </w:rPr>
        <w:t>MSigDB</w:t>
      </w:r>
      <w:r>
        <w:rPr>
          <w:rFonts w:ascii="Times New Roman" w:hAnsi="Times New Roman" w:cs="Times New Roman"/>
          <w:sz w:val="24"/>
          <w:lang w:val="en-US"/>
        </w:rPr>
        <w:t xml:space="preserve"> </w:t>
      </w:r>
      <w:r w:rsidRPr="00296084">
        <w:rPr>
          <w:rFonts w:ascii="Times New Roman" w:hAnsi="Times New Roman" w:cs="Times New Roman"/>
          <w:sz w:val="24"/>
          <w:lang w:val="en-US"/>
        </w:rPr>
        <w:fldChar w:fldCharType="begin"/>
      </w:r>
      <w:r w:rsidR="00C36173">
        <w:rPr>
          <w:rFonts w:ascii="Times New Roman" w:hAnsi="Times New Roman" w:cs="Times New Roman"/>
          <w:sz w:val="24"/>
          <w:lang w:val="en-US"/>
        </w:rPr>
        <w:instrText xml:space="preserve"> ADDIN ZOTERO_ITEM CSL_CITATION {"citationID":"a174a9qvsvj","properties":{"formattedCitation":"[11]","plainCitation":"[11]","noteIndex":0},"citationItems":[{"id":877,"uris":["http://zotero.org/users/2942631/items/PRXQYHHY"],"uri":["http://zotero.org/users/2942631/items/PRXQYHHY"],"itemData":{"id":877,"type":"article-journal","title":"Gene set enrichment analysis: a knowledge-based approach for interpreting genome-wide expression profiles","container-title":"Proceedings of the National Academy of Sciences of the United States of America","page":"15545-15550","volume":"102","issue":"43","source":"PubMed","abstract":"Although genomewide RNA expression analysis has become a routine tool in biomedical research, extracting biological insight from such information remains a major challenge. Here, we describe a powerful analytical method called Gene Set Enrichment Analysis (GSEA) for interpreting gene expression data. The method derives its power by focusing on gene sets, that is, groups of genes that share common biological function, chromosomal location, or regulation. We demonstrate how GSEA yields insights into several cancer-related data sets, including leukemia and lung cancer. Notably, where single-gene analysis finds little similarity between two independent studies of patient survival in lung cancer, GSEA reveals many biological pathways in common. The GSEA method is embodied in a freely available software package, together with an initial database of 1,325 biologically defined gene sets.","DOI":"10.1073/pnas.0506580102","ISSN":"0027-8424","note":"PMID: 16199517\nPMCID: PMC1239896","shortTitle":"Gene set enrichment analysis","journalAbbreviation":"Proc. Natl. Acad. Sci. U.S.A.","language":"eng","author":[{"family":"Subramanian","given":"Aravind"},{"family":"Tamayo","given":"Pablo"},{"family":"Mootha","given":"Vamsi K."},{"family":"Mukherjee","given":"Sayan"},{"family":"Ebert","given":"Benjamin L."},{"family":"Gillette","given":"Michael A."},{"family":"Paulovich","given":"Amanda"},{"family":"Pomeroy","given":"Scott L."},{"family":"Golub","given":"Todd R."},{"family":"Lander","given":"Eric S."},{"family":"Mesirov","given":"Jill P."}],"issued":{"date-parts":[["2005",10,25]]}}}],"schema":"https://github.com/citation-style-language/schema/raw/master/csl-citation.json"} </w:instrText>
      </w:r>
      <w:r w:rsidRPr="00296084">
        <w:rPr>
          <w:rFonts w:ascii="Times New Roman" w:hAnsi="Times New Roman" w:cs="Times New Roman"/>
          <w:sz w:val="24"/>
          <w:lang w:val="en-US"/>
        </w:rPr>
        <w:fldChar w:fldCharType="separate"/>
      </w:r>
      <w:r w:rsidR="00C36173" w:rsidRPr="00E33E46">
        <w:rPr>
          <w:rFonts w:ascii="Times New Roman" w:hAnsi="Times New Roman" w:cs="Times New Roman"/>
          <w:sz w:val="24"/>
          <w:lang w:val="en-US"/>
        </w:rPr>
        <w:t>[11]</w:t>
      </w:r>
      <w:r w:rsidRPr="00296084">
        <w:rPr>
          <w:rFonts w:ascii="Times New Roman" w:hAnsi="Times New Roman" w:cs="Times New Roman"/>
          <w:sz w:val="24"/>
          <w:lang w:val="en-US"/>
        </w:rPr>
        <w:fldChar w:fldCharType="end"/>
      </w:r>
      <w:r w:rsidRPr="00296084">
        <w:rPr>
          <w:rFonts w:ascii="Times New Roman" w:hAnsi="Times New Roman" w:cs="Times New Roman"/>
          <w:sz w:val="24"/>
          <w:lang w:val="en-US"/>
        </w:rPr>
        <w:t xml:space="preserve"> and Ingenuity Pathway Analysis (IPA®, QIAGEN Redwood City) were used to identify pathways or gene ontologies in which the genes of an identified group were enriched. With MSigDB, we used the C2 (canonical pathways) and C5 (biological processes) databases. Oncogene and Tumor Suppressor Gene status (approximately 800 known genes) was assigned according to the annotation in Cancer Gene Panel</w:t>
      </w:r>
      <w:r>
        <w:rPr>
          <w:rFonts w:ascii="Times New Roman" w:hAnsi="Times New Roman" w:cs="Times New Roman"/>
          <w:sz w:val="24"/>
          <w:lang w:val="en-US"/>
        </w:rPr>
        <w:t xml:space="preserve"> </w:t>
      </w:r>
      <w:r w:rsidRPr="00296084">
        <w:rPr>
          <w:rFonts w:ascii="Times New Roman" w:hAnsi="Times New Roman" w:cs="Times New Roman"/>
          <w:sz w:val="24"/>
          <w:lang w:val="en-US"/>
        </w:rPr>
        <w:fldChar w:fldCharType="begin"/>
      </w:r>
      <w:r w:rsidR="00C36173">
        <w:rPr>
          <w:rFonts w:ascii="Times New Roman" w:hAnsi="Times New Roman" w:cs="Times New Roman"/>
          <w:sz w:val="24"/>
          <w:lang w:val="en-US"/>
        </w:rPr>
        <w:instrText xml:space="preserve"> ADDIN ZOTERO_ITEM CSL_CITATION {"citationID":"a6fo14ej0g","properties":{"formattedCitation":"[12, 13]","plainCitation":"[12, 13]","noteIndex":0},"citationItems":[{"id":965,"uris":["http://zotero.org/users/2942631/items/BUBNJ3VR"],"uri":["http://zotero.org/users/2942631/items/BUBNJ3VR"],"itemData":{"id":965,"type":"article-journal","title":"Cancer genome landscapes","container-title":"Science (New York, N.Y.)","page":"1546-1558","volume":"339","issue":"6127","source":"PubMed","abstract":"Over the past decade, comprehensive sequencing efforts have revealed the genomic landscapes of common forms of human cancer. For most cancer types, this landscape consists of a small number of \"mountains\" (genes altered in a high percentage of tumors) and a much larger number of \"hills\" (genes altered infrequently). To date, these studies have revealed ~140 genes that, when altered by intragenic mutations, can promote or \"drive\" tumorigenesis. A typical tumor contains two to eight of these \"driver gene\" mutations; the remaining mutations are passengers that confer no selective growth advantage. Driver genes can be classified into 12 signaling pathways that regulate three core cellular processes: cell fate, cell survival, and genome maintenance. A better understanding of these pathways is one of the most pressing needs in basic cancer research. Even now, however, our knowledge of cancer genomes is sufficient to guide the development of more effective approaches for reducing cancer morbidity and mortality.","DOI":"10.1126/science.1235122","ISSN":"1095-9203","note":"PMID: 23539594\nPMCID: PMC3749880","journalAbbreviation":"Science","language":"eng","author":[{"family":"Vogelstein","given":"Bert"},{"family":"Papadopoulos","given":"Nickolas"},{"family":"Velculescu","given":"Victor E."},{"family":"Zhou","given":"Shibin"},{"family":"Diaz","given":"Luis A."},{"family":"Kinzler","given":"Kenneth W."}],"issued":{"date-parts":[["2013",3,29]]}}},{"id":967,"uris":["http://zotero.org/users/2942631/items/IRZ5VFRW"],"uri":["http://zotero.org/users/2942631/items/IRZ5VFRW"],"itemData":{"id":967,"type":"article-journal","title":"Clinical massively parallel next-generation sequencing analysis of 409 cancer-related genes for mutations and copy number variations in solid tumours","container-title":"British Journal of Cancer","page":"2014-2023","volume":"111","issue":"10","source":"PubMed","abstract":"BACKGROUND: In a clinical diagnostic laboratory, we evaluated the applicability of the Ion Proton sequencer for screening 409 cancer-related genes in solid tumours.\nMETHODS: DNA was extracted from formalin-fixed, paraffin-embedded (FFPE) tissue biopsy specimens of 55 solid tumours (20 with matched normal tissue) and four cell lines and screened for mutations in 409 genes using the Ion Proton system. The mutation profiles of these samples were known based on prior testing using the Ion Torrent Personal Genome Machine (46-gene hotspot panel), Sanger sequencing, or fluorescence in situ hybridisation (FISH). Concordance with retrospective findings and additional mutations were evaluated. Assay sensitivity and reproducibility were established. Gene copy number variations (CNVs) detected were confirmed by molecular inversion probe (MIP) array.\nRESULTS: The average Ion Proton (409-gene panel) sequencing output per run was 8 gigabases with 128 million sequencing reads. Of the 15,992 amplicons in the 409-gene panel, 90% achieved a minimum average sequencing depth of 100X. In 59 samples, the Ion Proton detected 100 of 105 expected single-nucleotide variants (SNVs) and all expected deletions (n=8), insertions (n=5), and CNVs (n=7). Five SNVs were not detected due to failed amplification of targeted regions. In 20 tumours with paired normal tissue, Ion Proton detected 37 additional somatic mutations, several in genes of high prognostic or therapeutic significance, such as MET, ALK, TP53, APC, and PTEN. MIP array analysis confirmed all CNVs detected by Ion Proton.\nCONCLUSIONS: The Ion Proton (409-gene panel) system was found to be well suited for use in a clinical molecular diagnostic laboratory. It can simultaneously screen 409 genes for a variety of sequence variants in multiple samples using a low input of FFPE DNA with high reproducibility and sensitivity.","DOI":"10.1038/bjc.2014.518","ISSN":"1532-1827","note":"PMID: 25314059\nPMCID: PMC4229640","journalAbbreviation":"Br. J. Cancer","language":"eng","author":[{"family":"Singh","given":"R. R."},{"family":"Patel","given":"K. P."},{"family":"Routbort","given":"M. J."},{"family":"Aldape","given":"K."},{"family":"Lu","given":"X."},{"family":"Manekia","given":"J."},{"family":"Abraham","given":"R."},{"family":"Reddy","given":"N. G."},{"family":"Barkoh","given":"B. A."},{"family":"Veliyathu","given":"J."},{"family":"Medeiros","given":"L. J."},{"family":"Luthra","given":"R."}],"issued":{"date-parts":[["2014",11,11]]}}}],"schema":"https://github.com/citation-style-language/schema/raw/master/csl-citation.json"} </w:instrText>
      </w:r>
      <w:r w:rsidRPr="00296084">
        <w:rPr>
          <w:rFonts w:ascii="Times New Roman" w:hAnsi="Times New Roman" w:cs="Times New Roman"/>
          <w:sz w:val="24"/>
          <w:lang w:val="en-US"/>
        </w:rPr>
        <w:fldChar w:fldCharType="separate"/>
      </w:r>
      <w:r w:rsidR="00C36173" w:rsidRPr="00E33E46">
        <w:rPr>
          <w:rFonts w:ascii="Times New Roman" w:hAnsi="Times New Roman" w:cs="Times New Roman"/>
          <w:sz w:val="24"/>
          <w:lang w:val="en-US"/>
        </w:rPr>
        <w:t>[12, 13]</w:t>
      </w:r>
      <w:r w:rsidRPr="00296084">
        <w:rPr>
          <w:rFonts w:ascii="Times New Roman" w:hAnsi="Times New Roman" w:cs="Times New Roman"/>
          <w:sz w:val="24"/>
          <w:lang w:val="en-US"/>
        </w:rPr>
        <w:fldChar w:fldCharType="end"/>
      </w:r>
      <w:r w:rsidRPr="00296084">
        <w:rPr>
          <w:rFonts w:ascii="Times New Roman" w:hAnsi="Times New Roman" w:cs="Times New Roman"/>
          <w:sz w:val="24"/>
          <w:lang w:val="en-US"/>
        </w:rPr>
        <w:t>. The functional annotation database DAVID was used to annotate gene lists of interest</w:t>
      </w:r>
      <w:r>
        <w:rPr>
          <w:rFonts w:ascii="Times New Roman" w:hAnsi="Times New Roman" w:cs="Times New Roman"/>
          <w:sz w:val="24"/>
          <w:lang w:val="en-US"/>
        </w:rPr>
        <w:t xml:space="preserve"> </w:t>
      </w:r>
      <w:r w:rsidRPr="00296084">
        <w:rPr>
          <w:rFonts w:ascii="Times New Roman" w:hAnsi="Times New Roman" w:cs="Times New Roman"/>
          <w:sz w:val="24"/>
          <w:lang w:val="en-US"/>
        </w:rPr>
        <w:fldChar w:fldCharType="begin"/>
      </w:r>
      <w:r w:rsidR="00C36173">
        <w:rPr>
          <w:rFonts w:ascii="Times New Roman" w:hAnsi="Times New Roman" w:cs="Times New Roman"/>
          <w:sz w:val="24"/>
          <w:lang w:val="en-US"/>
        </w:rPr>
        <w:instrText xml:space="preserve"> ADDIN ZOTERO_ITEM CSL_CITATION {"citationID":"a29jq3iehog","properties":{"formattedCitation":"[14]","plainCitation":"[14]","noteIndex":0},"citationItems":[{"id":969,"uris":["http://zotero.org/users/2942631/items/F33TMUA3"],"uri":["http://zotero.org/users/2942631/items/F33TMUA3"],"itemData":{"id":969,"type":"article-journal","title":"Bioinformatics enrichment tools: paths toward the comprehensive functional analysis of large gene lists","container-title":"Nucleic Acids Research","page":"1-13","volume":"37","issue":"1","source":"PubMed","abstract":"Functional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interests.","DOI":"10.1093/nar/gkn923","ISSN":"1362-4962","note":"PMID: 19033363\nPMCID: PMC2615629","shortTitle":"Bioinformatics enrichment tools","journalAbbreviation":"Nucleic Acids Res.","language":"eng","author":[{"family":"Huang","given":"Da Wei"},{"family":"Sherman","given":"Brad T."},{"family":"Lempicki","given":"Richard A."}],"issued":{"date-parts":[["2009",1]]}}}],"schema":"https://github.com/citation-style-language/schema/raw/master/csl-citation.json"} </w:instrText>
      </w:r>
      <w:r w:rsidRPr="00296084">
        <w:rPr>
          <w:rFonts w:ascii="Times New Roman" w:hAnsi="Times New Roman" w:cs="Times New Roman"/>
          <w:sz w:val="24"/>
          <w:lang w:val="en-US"/>
        </w:rPr>
        <w:fldChar w:fldCharType="separate"/>
      </w:r>
      <w:r w:rsidR="00C36173" w:rsidRPr="00E33E46">
        <w:rPr>
          <w:rFonts w:ascii="Times New Roman" w:hAnsi="Times New Roman" w:cs="Times New Roman"/>
          <w:sz w:val="24"/>
          <w:lang w:val="en-US"/>
          <w:rPrChange w:id="7" w:author="antoine italiano" w:date="2018-12-07T20:30:00Z">
            <w:rPr>
              <w:rFonts w:ascii="Times New Roman" w:hAnsi="Times New Roman" w:cs="Times New Roman"/>
              <w:sz w:val="24"/>
            </w:rPr>
          </w:rPrChange>
        </w:rPr>
        <w:t>[14]</w:t>
      </w:r>
      <w:r w:rsidRPr="00296084">
        <w:rPr>
          <w:rFonts w:ascii="Times New Roman" w:hAnsi="Times New Roman" w:cs="Times New Roman"/>
          <w:sz w:val="24"/>
          <w:lang w:val="en-US"/>
        </w:rPr>
        <w:fldChar w:fldCharType="end"/>
      </w:r>
      <w:r w:rsidRPr="00296084">
        <w:rPr>
          <w:rFonts w:ascii="Times New Roman" w:hAnsi="Times New Roman" w:cs="Times New Roman"/>
          <w:sz w:val="24"/>
          <w:lang w:val="en-US"/>
        </w:rPr>
        <w:t>.</w:t>
      </w:r>
    </w:p>
    <w:p w:rsidR="0076560B" w:rsidRDefault="0076560B" w:rsidP="0074617C">
      <w:pPr>
        <w:spacing w:after="0" w:line="360" w:lineRule="auto"/>
        <w:ind w:firstLine="708"/>
        <w:jc w:val="both"/>
        <w:rPr>
          <w:rFonts w:ascii="Times New Roman" w:hAnsi="Times New Roman" w:cs="Times New Roman"/>
          <w:sz w:val="24"/>
          <w:lang w:val="en-US"/>
        </w:rPr>
      </w:pPr>
    </w:p>
    <w:p w:rsidR="0076560B" w:rsidRPr="00296084" w:rsidRDefault="0076560B" w:rsidP="0076560B">
      <w:pPr>
        <w:spacing w:after="0" w:line="360" w:lineRule="auto"/>
        <w:jc w:val="both"/>
        <w:rPr>
          <w:rFonts w:ascii="Times New Roman" w:hAnsi="Times New Roman" w:cs="Times New Roman"/>
          <w:b/>
          <w:sz w:val="24"/>
          <w:szCs w:val="24"/>
          <w:lang w:val="en-US"/>
        </w:rPr>
      </w:pPr>
      <w:r w:rsidRPr="00296084">
        <w:rPr>
          <w:rFonts w:ascii="Times New Roman" w:hAnsi="Times New Roman" w:cs="Times New Roman"/>
          <w:b/>
          <w:sz w:val="24"/>
          <w:szCs w:val="24"/>
          <w:lang w:val="en-US"/>
        </w:rPr>
        <w:t>Aldefluor assay</w:t>
      </w:r>
    </w:p>
    <w:p w:rsidR="0076560B" w:rsidRPr="00296084" w:rsidRDefault="0076560B" w:rsidP="0076560B">
      <w:pPr>
        <w:spacing w:after="0" w:line="360" w:lineRule="auto"/>
        <w:ind w:firstLine="708"/>
        <w:jc w:val="both"/>
        <w:rPr>
          <w:rFonts w:ascii="Times New Roman" w:hAnsi="Times New Roman" w:cs="Times New Roman"/>
          <w:sz w:val="24"/>
          <w:szCs w:val="24"/>
          <w:shd w:val="clear" w:color="auto" w:fill="FFFFFF"/>
          <w:lang w:val="en-US"/>
        </w:rPr>
      </w:pPr>
      <w:r w:rsidRPr="00296084">
        <w:rPr>
          <w:rFonts w:ascii="Times New Roman" w:hAnsi="Times New Roman" w:cs="Times New Roman"/>
          <w:sz w:val="24"/>
          <w:szCs w:val="24"/>
          <w:shd w:val="clear" w:color="auto" w:fill="FFFFFF"/>
          <w:lang w:val="en-US"/>
        </w:rPr>
        <w:t>5 x 10</w:t>
      </w:r>
      <w:r w:rsidRPr="00296084">
        <w:rPr>
          <w:rFonts w:ascii="Times New Roman" w:hAnsi="Times New Roman" w:cs="Times New Roman"/>
          <w:sz w:val="24"/>
          <w:szCs w:val="24"/>
          <w:shd w:val="clear" w:color="auto" w:fill="FFFFFF"/>
          <w:vertAlign w:val="superscript"/>
          <w:lang w:val="en-US"/>
        </w:rPr>
        <w:t>5</w:t>
      </w:r>
      <w:r w:rsidRPr="00296084">
        <w:rPr>
          <w:rFonts w:ascii="Times New Roman" w:hAnsi="Times New Roman" w:cs="Times New Roman"/>
          <w:sz w:val="24"/>
          <w:szCs w:val="24"/>
          <w:shd w:val="clear" w:color="auto" w:fill="FFFFFF"/>
          <w:lang w:val="en-US"/>
        </w:rPr>
        <w:t xml:space="preserve"> cells were resuspended in the Aldefluor assay buffer containing the ALDH1 substrate. As a negative control, an aliquot of Aldefluor-exposed cells was immediately quenched with diethylaminobenzaldehyde (DEAB) which is a specific ALDH1 inhibitor. Following an incubation of 30 min at 37°C, the cells were washed and sorted as ALDH1</w:t>
      </w:r>
      <w:r w:rsidRPr="00594B18">
        <w:rPr>
          <w:rFonts w:ascii="Times New Roman" w:hAnsi="Times New Roman" w:cs="Times New Roman"/>
          <w:sz w:val="24"/>
          <w:szCs w:val="24"/>
          <w:shd w:val="clear" w:color="auto" w:fill="FFFFFF"/>
          <w:vertAlign w:val="superscript"/>
          <w:lang w:val="en-US"/>
        </w:rPr>
        <w:t>high</w:t>
      </w:r>
      <w:r w:rsidRPr="00296084">
        <w:rPr>
          <w:rFonts w:ascii="Times New Roman" w:hAnsi="Times New Roman" w:cs="Times New Roman"/>
          <w:sz w:val="24"/>
          <w:szCs w:val="24"/>
          <w:shd w:val="clear" w:color="auto" w:fill="FFFFFF"/>
          <w:lang w:val="en-US"/>
        </w:rPr>
        <w:t xml:space="preserve"> or ALDH1</w:t>
      </w:r>
      <w:r w:rsidRPr="00594B18">
        <w:rPr>
          <w:rFonts w:ascii="Times New Roman" w:hAnsi="Times New Roman" w:cs="Times New Roman"/>
          <w:sz w:val="24"/>
          <w:szCs w:val="24"/>
          <w:shd w:val="clear" w:color="auto" w:fill="FFFFFF"/>
          <w:vertAlign w:val="superscript"/>
          <w:lang w:val="en-US"/>
        </w:rPr>
        <w:t>low</w:t>
      </w:r>
      <w:r>
        <w:rPr>
          <w:rFonts w:ascii="Times New Roman" w:hAnsi="Times New Roman" w:cs="Times New Roman"/>
          <w:sz w:val="24"/>
          <w:szCs w:val="24"/>
          <w:shd w:val="clear" w:color="auto" w:fill="FFFFFF"/>
          <w:lang w:val="en-US"/>
        </w:rPr>
        <w:t xml:space="preserve"> </w:t>
      </w:r>
      <w:r w:rsidRPr="00296084">
        <w:rPr>
          <w:rFonts w:ascii="Times New Roman" w:hAnsi="Times New Roman" w:cs="Times New Roman"/>
          <w:sz w:val="24"/>
          <w:szCs w:val="24"/>
          <w:shd w:val="clear" w:color="auto" w:fill="FFFFFF"/>
          <w:lang w:val="en-US"/>
        </w:rPr>
        <w:t xml:space="preserve">cells using a </w:t>
      </w:r>
      <w:r w:rsidRPr="00296084">
        <w:rPr>
          <w:rFonts w:ascii="Times New Roman" w:hAnsi="Times New Roman" w:cs="Times New Roman"/>
          <w:sz w:val="24"/>
          <w:szCs w:val="24"/>
          <w:lang w:val="en-US"/>
        </w:rPr>
        <w:t>FACS Calibur flow cytometer (BD Biosciences). The SKBR3 cell line was used as positive control.</w:t>
      </w:r>
    </w:p>
    <w:p w:rsidR="0076560B" w:rsidRPr="00296084" w:rsidRDefault="0076560B" w:rsidP="0076560B">
      <w:pPr>
        <w:spacing w:after="0" w:line="360" w:lineRule="auto"/>
        <w:ind w:firstLine="708"/>
        <w:jc w:val="both"/>
        <w:rPr>
          <w:rFonts w:ascii="Times New Roman" w:hAnsi="Times New Roman" w:cs="Times New Roman"/>
          <w:sz w:val="24"/>
          <w:szCs w:val="24"/>
          <w:lang w:val="en-US"/>
        </w:rPr>
      </w:pPr>
    </w:p>
    <w:p w:rsidR="0076560B" w:rsidRPr="00296084" w:rsidRDefault="0076560B" w:rsidP="0076560B">
      <w:pPr>
        <w:spacing w:after="0" w:line="360" w:lineRule="auto"/>
        <w:jc w:val="both"/>
        <w:rPr>
          <w:rFonts w:ascii="Times New Roman" w:hAnsi="Times New Roman" w:cs="Times New Roman"/>
          <w:sz w:val="24"/>
          <w:szCs w:val="24"/>
          <w:shd w:val="clear" w:color="auto" w:fill="FFFFFF"/>
          <w:lang w:val="en-US"/>
        </w:rPr>
      </w:pPr>
      <w:r w:rsidRPr="00296084">
        <w:rPr>
          <w:rFonts w:ascii="Times New Roman" w:hAnsi="Times New Roman" w:cs="Times New Roman"/>
          <w:b/>
          <w:sz w:val="24"/>
          <w:szCs w:val="24"/>
          <w:lang w:val="en-US"/>
        </w:rPr>
        <w:t>Sphere-forming assay</w:t>
      </w:r>
      <w:r w:rsidRPr="00296084">
        <w:rPr>
          <w:rFonts w:ascii="Times New Roman" w:hAnsi="Times New Roman" w:cs="Times New Roman"/>
          <w:i/>
          <w:sz w:val="24"/>
          <w:szCs w:val="24"/>
          <w:lang w:val="en-US"/>
        </w:rPr>
        <w:t xml:space="preserve"> </w:t>
      </w:r>
    </w:p>
    <w:p w:rsidR="0076560B" w:rsidRPr="00296084" w:rsidRDefault="0076560B" w:rsidP="0076560B">
      <w:pPr>
        <w:spacing w:after="0" w:line="360" w:lineRule="auto"/>
        <w:ind w:firstLine="708"/>
        <w:jc w:val="both"/>
        <w:rPr>
          <w:rFonts w:ascii="Times New Roman" w:hAnsi="Times New Roman" w:cs="Times New Roman"/>
          <w:sz w:val="24"/>
          <w:szCs w:val="24"/>
          <w:shd w:val="clear" w:color="auto" w:fill="FFFFFF"/>
          <w:lang w:val="en-US"/>
        </w:rPr>
      </w:pPr>
      <w:r w:rsidRPr="00296084">
        <w:rPr>
          <w:rFonts w:ascii="Times New Roman" w:hAnsi="Times New Roman" w:cs="Times New Roman"/>
          <w:sz w:val="24"/>
          <w:szCs w:val="24"/>
          <w:shd w:val="clear" w:color="auto" w:fill="FFFFFF"/>
          <w:lang w:val="en-US"/>
        </w:rPr>
        <w:t>For the sphere formation assay, a total of 1 000 FACS-sorted cells were suspended in a stem-cell-permissive medium containing Dulbecco’s Modified Eagle Medium (DMEM-F12) with N2 supplement (Invitrogen), 20 ng/mL EGF and 20 ng/mL basic fibroblast growth factor (bFGF), plated in nonadherent 24-well plates and incubated at 37°C in a 5% CO2 humidified incubator. After 15 days, spheres were counted and photographed under a light microscope using a x20 objective. The self-renewal ability of cells dissociated from tumorspheres by trypsin/EDTA and seeded in new nonadherent 24-we</w:t>
      </w:r>
      <w:r>
        <w:rPr>
          <w:rFonts w:ascii="Times New Roman" w:hAnsi="Times New Roman" w:cs="Times New Roman"/>
          <w:sz w:val="24"/>
          <w:szCs w:val="24"/>
          <w:shd w:val="clear" w:color="auto" w:fill="FFFFFF"/>
          <w:lang w:val="en-US"/>
        </w:rPr>
        <w:t>ll plates was evaluated after 15</w:t>
      </w:r>
      <w:r w:rsidRPr="00296084">
        <w:rPr>
          <w:rFonts w:ascii="Times New Roman" w:hAnsi="Times New Roman" w:cs="Times New Roman"/>
          <w:sz w:val="24"/>
          <w:szCs w:val="24"/>
          <w:shd w:val="clear" w:color="auto" w:fill="FFFFFF"/>
          <w:lang w:val="en-US"/>
        </w:rPr>
        <w:t xml:space="preserve"> days.</w:t>
      </w:r>
      <w:r>
        <w:rPr>
          <w:rFonts w:ascii="Times New Roman" w:hAnsi="Times New Roman" w:cs="Times New Roman"/>
          <w:sz w:val="24"/>
          <w:szCs w:val="24"/>
          <w:shd w:val="clear" w:color="auto" w:fill="FFFFFF"/>
          <w:lang w:val="en-US"/>
        </w:rPr>
        <w:t xml:space="preserve"> For drug treatment experiments, 5-day tumor-spheres grown in nonadherent 24-well plates were treated with 0.3 µM of BEZ235 or 0.01 µM of EPZ011989. After 10 days, the number of tumorspheres was recorded.</w:t>
      </w:r>
    </w:p>
    <w:p w:rsidR="007A7A68" w:rsidRDefault="007A7A68" w:rsidP="0074617C">
      <w:pPr>
        <w:spacing w:after="0" w:line="360" w:lineRule="auto"/>
        <w:ind w:firstLine="708"/>
        <w:jc w:val="both"/>
        <w:rPr>
          <w:rFonts w:ascii="Times New Roman" w:hAnsi="Times New Roman" w:cs="Times New Roman"/>
          <w:sz w:val="24"/>
          <w:lang w:val="en-US"/>
        </w:rPr>
      </w:pPr>
    </w:p>
    <w:p w:rsidR="007A7A68" w:rsidRPr="00296084" w:rsidRDefault="007A7A68" w:rsidP="007A7A68">
      <w:pPr>
        <w:spacing w:after="0" w:line="360" w:lineRule="auto"/>
        <w:jc w:val="both"/>
        <w:rPr>
          <w:rFonts w:ascii="Times New Roman" w:hAnsi="Times New Roman" w:cs="Times New Roman"/>
          <w:b/>
          <w:sz w:val="24"/>
          <w:szCs w:val="32"/>
          <w:lang w:val="en-US"/>
        </w:rPr>
      </w:pPr>
      <w:r w:rsidRPr="00296084">
        <w:rPr>
          <w:rFonts w:ascii="Times New Roman" w:hAnsi="Times New Roman" w:cs="Times New Roman"/>
          <w:b/>
          <w:sz w:val="24"/>
          <w:szCs w:val="32"/>
          <w:lang w:val="en-US"/>
        </w:rPr>
        <w:t>Animal studies</w:t>
      </w:r>
    </w:p>
    <w:p w:rsidR="007A7A68" w:rsidRDefault="007A7A68" w:rsidP="007A7A68">
      <w:pPr>
        <w:spacing w:after="0" w:line="360" w:lineRule="auto"/>
        <w:ind w:firstLine="708"/>
        <w:jc w:val="both"/>
        <w:rPr>
          <w:rFonts w:ascii="Times New Roman" w:hAnsi="Times New Roman" w:cs="Times New Roman"/>
          <w:sz w:val="24"/>
          <w:szCs w:val="32"/>
          <w:lang w:val="en-US"/>
        </w:rPr>
      </w:pPr>
      <w:r w:rsidRPr="00296084">
        <w:rPr>
          <w:rFonts w:ascii="Times New Roman" w:hAnsi="Times New Roman" w:cs="Times New Roman"/>
          <w:sz w:val="24"/>
          <w:szCs w:val="32"/>
          <w:lang w:val="en-US"/>
        </w:rPr>
        <w:t>Once palpable, tumor volumes were calculated using the following formula: length x width2 / 2. After tumors reached approximately 100 mm</w:t>
      </w:r>
      <w:r w:rsidRPr="00296084">
        <w:rPr>
          <w:rFonts w:ascii="Times New Roman" w:hAnsi="Times New Roman" w:cs="Times New Roman"/>
          <w:sz w:val="24"/>
          <w:szCs w:val="32"/>
          <w:vertAlign w:val="superscript"/>
          <w:lang w:val="en-US"/>
        </w:rPr>
        <w:t>3</w:t>
      </w:r>
      <w:r w:rsidRPr="00296084">
        <w:rPr>
          <w:rFonts w:ascii="Times New Roman" w:hAnsi="Times New Roman" w:cs="Times New Roman"/>
          <w:sz w:val="24"/>
          <w:szCs w:val="32"/>
          <w:lang w:val="en-US"/>
        </w:rPr>
        <w:t xml:space="preserve"> in average size, animals were </w:t>
      </w:r>
      <w:r w:rsidRPr="00296084">
        <w:rPr>
          <w:rFonts w:ascii="Times New Roman" w:hAnsi="Times New Roman" w:cs="Times New Roman"/>
          <w:sz w:val="24"/>
          <w:szCs w:val="32"/>
          <w:lang w:val="en-US"/>
        </w:rPr>
        <w:lastRenderedPageBreak/>
        <w:t>treated by oral gavage (100 µL). BEZ235 and EPZ011989 were prepared by dissolving them in 1 volume of NMP (1-methyl-2-pyrrolidone) and 9 volumes of PEG300 (Sigma-Aldrich, St Quentin Fallavier, France). To study the effect of PI3K/mTOR pathway inhibition on LMS tumor growth, mice were randomly assigned to receive 40 mg/kg of BEZ235 or vehicle (NMP/PEG300). To study the anti-tumor effect of BEZ235 and EPZ011989 alone or in combination, mice were randomly pretreated with vehicle or 125 mg/kg of EPZ011989 BID for 2 weeks. Then, in the EPZ011989-pretreated group, mice were randomly treated for 3 weeks with 40 mg/kg of BEZ235</w:t>
      </w:r>
      <w:r w:rsidR="0076560B">
        <w:rPr>
          <w:rFonts w:ascii="Times New Roman" w:hAnsi="Times New Roman" w:cs="Times New Roman"/>
          <w:sz w:val="24"/>
          <w:szCs w:val="32"/>
          <w:lang w:val="en-US"/>
        </w:rPr>
        <w:t xml:space="preserve"> or 125 mg/kg of EPZ011989 BID.</w:t>
      </w:r>
      <w:r w:rsidR="00FF2FA1">
        <w:rPr>
          <w:rFonts w:ascii="Times New Roman" w:hAnsi="Times New Roman" w:cs="Times New Roman"/>
          <w:sz w:val="24"/>
          <w:szCs w:val="32"/>
          <w:lang w:val="en-US"/>
        </w:rPr>
        <w:t xml:space="preserve"> </w:t>
      </w:r>
      <w:r w:rsidR="00FF2FA1" w:rsidRPr="00296084">
        <w:rPr>
          <w:rFonts w:ascii="Times New Roman" w:hAnsi="Times New Roman" w:cs="Times New Roman"/>
          <w:sz w:val="24"/>
          <w:szCs w:val="32"/>
          <w:lang w:val="en-US"/>
        </w:rPr>
        <w:t xml:space="preserve">Tumor progression was analyzed with GraphPad Prism software, and Kaplan-Meier curve analysis was used to compare individual tumor doubling rates. </w:t>
      </w:r>
      <w:r w:rsidR="00FF2FA1">
        <w:rPr>
          <w:rFonts w:ascii="Times New Roman" w:hAnsi="Times New Roman" w:cs="Times New Roman"/>
          <w:sz w:val="24"/>
          <w:szCs w:val="32"/>
          <w:lang w:val="en-US"/>
        </w:rPr>
        <w:t>Formalin-fixed paraffin-embedded tumor sections underwent immunohistochemical analysis for expression of different proteins using standard protocols.</w:t>
      </w:r>
    </w:p>
    <w:p w:rsidR="00FF2FA1" w:rsidRPr="00296084" w:rsidRDefault="00FF2FA1" w:rsidP="00FF2FA1">
      <w:pPr>
        <w:spacing w:after="0" w:line="360" w:lineRule="auto"/>
        <w:jc w:val="both"/>
        <w:rPr>
          <w:rFonts w:ascii="Times New Roman" w:hAnsi="Times New Roman" w:cs="Times New Roman"/>
          <w:sz w:val="24"/>
          <w:szCs w:val="32"/>
          <w:lang w:val="en-US"/>
        </w:rPr>
      </w:pPr>
      <w:r w:rsidRPr="00296084">
        <w:rPr>
          <w:rFonts w:ascii="Times New Roman" w:hAnsi="Times New Roman" w:cs="Times New Roman"/>
          <w:sz w:val="24"/>
          <w:szCs w:val="32"/>
          <w:lang w:val="en-US"/>
        </w:rPr>
        <w:t>For xenograft experiments in extreme limiting dilution assay (ELDA), 3,000 to 300 FACS-sorted cells were subcutaneously injected with Matrigel into the right (for ALDH1</w:t>
      </w:r>
      <w:r w:rsidRPr="00296084">
        <w:rPr>
          <w:rFonts w:ascii="Times New Roman" w:hAnsi="Times New Roman" w:cs="Times New Roman"/>
          <w:sz w:val="24"/>
          <w:szCs w:val="32"/>
          <w:vertAlign w:val="superscript"/>
          <w:lang w:val="en-US"/>
        </w:rPr>
        <w:t>high</w:t>
      </w:r>
      <w:r w:rsidRPr="00296084">
        <w:rPr>
          <w:rFonts w:ascii="Times New Roman" w:hAnsi="Times New Roman" w:cs="Times New Roman"/>
          <w:sz w:val="24"/>
          <w:szCs w:val="32"/>
          <w:lang w:val="en-US"/>
        </w:rPr>
        <w:t xml:space="preserve"> cells) and the left (for ALDH1</w:t>
      </w:r>
      <w:r w:rsidRPr="00296084">
        <w:rPr>
          <w:rFonts w:ascii="Times New Roman" w:hAnsi="Times New Roman" w:cs="Times New Roman"/>
          <w:sz w:val="24"/>
          <w:szCs w:val="32"/>
          <w:vertAlign w:val="superscript"/>
          <w:lang w:val="en-US"/>
        </w:rPr>
        <w:t>low</w:t>
      </w:r>
      <w:r w:rsidRPr="00296084">
        <w:rPr>
          <w:rFonts w:ascii="Times New Roman" w:hAnsi="Times New Roman" w:cs="Times New Roman"/>
          <w:sz w:val="24"/>
          <w:szCs w:val="32"/>
          <w:lang w:val="en-US"/>
        </w:rPr>
        <w:t xml:space="preserve"> cells) flank </w:t>
      </w:r>
      <w:r w:rsidRPr="00296084">
        <w:rPr>
          <w:rFonts w:ascii="Times New Roman" w:hAnsi="Times New Roman" w:cs="Times New Roman"/>
          <w:sz w:val="24"/>
          <w:szCs w:val="24"/>
          <w:lang w:val="en-US"/>
        </w:rPr>
        <w:t xml:space="preserve">of </w:t>
      </w:r>
      <w:r w:rsidRPr="00296084">
        <w:rPr>
          <w:rFonts w:ascii="Times New Roman" w:hAnsi="Times New Roman" w:cs="Times New Roman"/>
          <w:color w:val="000000"/>
          <w:sz w:val="24"/>
          <w:szCs w:val="24"/>
          <w:shd w:val="clear" w:color="auto" w:fill="FFFFFF"/>
          <w:lang w:val="en-US"/>
        </w:rPr>
        <w:t>NSG mice (NOD-scid IL2RG</w:t>
      </w:r>
      <w:r w:rsidRPr="00296084">
        <w:rPr>
          <w:rFonts w:ascii="Times New Roman" w:hAnsi="Times New Roman" w:cs="Times New Roman"/>
          <w:color w:val="000000"/>
          <w:sz w:val="24"/>
          <w:szCs w:val="24"/>
          <w:shd w:val="clear" w:color="auto" w:fill="FFFFFF"/>
          <w:vertAlign w:val="superscript"/>
          <w:lang w:val="en-US"/>
        </w:rPr>
        <w:t>-/-</w:t>
      </w:r>
      <w:r w:rsidRPr="00296084">
        <w:rPr>
          <w:rFonts w:ascii="Times New Roman" w:hAnsi="Times New Roman" w:cs="Times New Roman"/>
          <w:sz w:val="24"/>
          <w:szCs w:val="24"/>
          <w:lang w:val="en-US"/>
        </w:rPr>
        <w:t>)</w:t>
      </w:r>
      <w:r w:rsidRPr="00296084">
        <w:rPr>
          <w:rFonts w:ascii="Times New Roman" w:hAnsi="Times New Roman" w:cs="Times New Roman"/>
          <w:sz w:val="24"/>
          <w:szCs w:val="32"/>
          <w:lang w:val="en-US"/>
        </w:rPr>
        <w:t>; tumor size was recorded once a week.</w:t>
      </w:r>
    </w:p>
    <w:p w:rsidR="007A7A68" w:rsidRPr="00296084" w:rsidRDefault="007A7A68" w:rsidP="007A7A68">
      <w:pPr>
        <w:spacing w:after="0" w:line="360" w:lineRule="auto"/>
        <w:jc w:val="both"/>
        <w:rPr>
          <w:rFonts w:ascii="Times New Roman" w:hAnsi="Times New Roman" w:cs="Times New Roman"/>
          <w:sz w:val="24"/>
          <w:szCs w:val="32"/>
          <w:lang w:val="en-US"/>
        </w:rPr>
      </w:pPr>
    </w:p>
    <w:p w:rsidR="007A7A68" w:rsidRPr="00296084" w:rsidRDefault="007A7A68" w:rsidP="007A7A68">
      <w:pPr>
        <w:spacing w:after="0" w:line="360" w:lineRule="auto"/>
        <w:jc w:val="both"/>
        <w:rPr>
          <w:rFonts w:ascii="Times New Roman" w:hAnsi="Times New Roman" w:cs="Times New Roman"/>
          <w:sz w:val="24"/>
          <w:lang w:val="en-US"/>
        </w:rPr>
      </w:pPr>
      <w:r w:rsidRPr="00296084">
        <w:rPr>
          <w:rFonts w:ascii="Times New Roman" w:hAnsi="Times New Roman" w:cs="Times New Roman"/>
          <w:b/>
          <w:sz w:val="24"/>
          <w:lang w:val="en-US"/>
        </w:rPr>
        <w:t>Immunohistochemistry</w:t>
      </w:r>
      <w:r w:rsidRPr="00296084">
        <w:rPr>
          <w:rFonts w:ascii="Times New Roman" w:hAnsi="Times New Roman" w:cs="Times New Roman"/>
          <w:sz w:val="24"/>
          <w:lang w:val="en-US"/>
        </w:rPr>
        <w:t xml:space="preserve"> </w:t>
      </w:r>
    </w:p>
    <w:p w:rsidR="007A7A68" w:rsidRPr="00875662" w:rsidRDefault="007A7A68" w:rsidP="007A7A68">
      <w:pPr>
        <w:spacing w:after="0" w:line="360" w:lineRule="auto"/>
        <w:ind w:firstLine="708"/>
        <w:jc w:val="both"/>
        <w:rPr>
          <w:rFonts w:ascii="Times New Roman" w:hAnsi="Times New Roman" w:cs="Times New Roman"/>
          <w:sz w:val="24"/>
          <w:lang w:val="en-US"/>
        </w:rPr>
      </w:pPr>
      <w:r w:rsidRPr="00296084">
        <w:rPr>
          <w:rFonts w:ascii="Times New Roman" w:hAnsi="Times New Roman" w:cs="Times New Roman"/>
          <w:sz w:val="24"/>
          <w:lang w:val="en-US"/>
        </w:rPr>
        <w:t xml:space="preserve">Immunohistochemical methods were described previously </w:t>
      </w:r>
      <w:r w:rsidRPr="00296084">
        <w:rPr>
          <w:rFonts w:ascii="Times New Roman" w:hAnsi="Times New Roman" w:cs="Times New Roman"/>
          <w:sz w:val="24"/>
          <w:lang w:val="en-US"/>
        </w:rPr>
        <w:fldChar w:fldCharType="begin"/>
      </w:r>
      <w:r w:rsidR="00C36173">
        <w:rPr>
          <w:rFonts w:ascii="Times New Roman" w:hAnsi="Times New Roman" w:cs="Times New Roman"/>
          <w:sz w:val="24"/>
          <w:lang w:val="en-US"/>
        </w:rPr>
        <w:instrText xml:space="preserve"> ADDIN ZOTERO_ITEM CSL_CITATION {"citationID":"al8opkq7g5","properties":{"formattedCitation":"[15]","plainCitation":"[15]","noteIndex":0},"citationItems":[{"id":2,"uris":["http://zotero.org/users/2942631/items/58E6RUAV"],"uri":["http://zotero.org/users/2942631/items/58E6RUAV"],"itemData":{"id":2,"type":"article-journal","title":"Dual inhibition of the PI3K/AKT/mTOR pathway suppresses the growth of leiomyosarcomas but leads to ERK activation through mTORC2: biological and clinical implications","container-title":"Oncotarget","page":"7878-7890","volume":"8","issue":"5","source":"PubMed","abstract":"The PI3K/AKT/mTOR pathway plays a crucial role in the development of leiomyosarcomas (LMSs). In this study, we tested the efficacy of dual PI3K/mTOR (BEZ235), PI3K (BKM120) and mTOR (everolimus) inhibitors in three human LMS cell lines. In vitro and in vivo studies using LMS cell lines showed that BEZ235 has a significantly higher anti-tumor effect than either BKM120 or everolimus, resulting in a greater reduction in tumor growth and more pronounced inhibitory effects on mitotic activity and PI3K/AKT/mTOR signaling. Strikingly, BEZ235 but neither BKM120 nor everolimus markedly enhanced the ERK pathway. This effect was reproduced by the combination of BKM120 and everolimus, suggesting the involvement of mTORC2 via a PI3K-independent mechanism. Silencing of RICTOR in LMS cells confirmed the role of mTORC2 in the regulation of ERK activity. Combined treatment with BEZ235 and GSK1120212, a potent MEK inhibitor, resulted in synergistic growth inhibition and apoptosis induction in vitro and in vivo. These findings document for the first time that dual PI3K/mTOR inhibition in leiomyosarcomas suppress a negative feedback loop mediated by mTORC2, leading to enhanced ERK pathway activity. Thus, combining a dual PI3K/mTOR inhibitor with MEK inhibitors may be a relevant approach to increase anti-tumor activity and prevent drug resistance in patients with LMS.","DOI":"10.18632/oncotarget.13987","ISSN":"1949-2553","note":"PMID: 28002802","shortTitle":"Dual inhibition of the PI3K/AKT/mTOR pathway suppresses the growth of leiomyosarcomas but leads to ERK activation through mTORC2","journalAbbreviation":"Oncotarget","language":"eng","author":[{"family":"Fourneaux","given":"Benjamin"},{"family":"Chaire","given":"Vanessa"},{"family":"Lucchesi","given":"Carlo"},{"family":"Karanian","given":"Marie"},{"family":"Pineau","given":"Raphael"},{"family":"Laroche-Clary","given":"Audrey"},{"family":"Italiano","given":"Antoine"}],"issued":{"date-parts":[["2017",1,31]]}}}],"schema":"https://github.com/citation-style-language/schema/raw/master/csl-citation.json"} </w:instrText>
      </w:r>
      <w:r w:rsidRPr="00296084">
        <w:rPr>
          <w:rFonts w:ascii="Times New Roman" w:hAnsi="Times New Roman" w:cs="Times New Roman"/>
          <w:sz w:val="24"/>
          <w:lang w:val="en-US"/>
        </w:rPr>
        <w:fldChar w:fldCharType="separate"/>
      </w:r>
      <w:r w:rsidR="00C36173" w:rsidRPr="00E33E46">
        <w:rPr>
          <w:rFonts w:ascii="Times New Roman" w:hAnsi="Times New Roman" w:cs="Times New Roman"/>
          <w:sz w:val="24"/>
          <w:lang w:val="en-US"/>
          <w:rPrChange w:id="8" w:author="antoine italiano" w:date="2018-12-07T20:30:00Z">
            <w:rPr>
              <w:rFonts w:ascii="Times New Roman" w:hAnsi="Times New Roman" w:cs="Times New Roman"/>
              <w:sz w:val="24"/>
            </w:rPr>
          </w:rPrChange>
        </w:rPr>
        <w:t>[15]</w:t>
      </w:r>
      <w:r w:rsidRPr="00296084">
        <w:rPr>
          <w:rFonts w:ascii="Times New Roman" w:hAnsi="Times New Roman" w:cs="Times New Roman"/>
          <w:sz w:val="24"/>
          <w:lang w:val="en-US"/>
        </w:rPr>
        <w:fldChar w:fldCharType="end"/>
      </w:r>
      <w:r w:rsidRPr="00296084">
        <w:rPr>
          <w:rFonts w:ascii="Times New Roman" w:hAnsi="Times New Roman" w:cs="Times New Roman"/>
          <w:sz w:val="24"/>
          <w:lang w:val="en-US"/>
        </w:rPr>
        <w:t>. Sections of tumor samples and</w:t>
      </w:r>
      <w:r w:rsidRPr="00296084">
        <w:rPr>
          <w:rFonts w:ascii="Times New Roman" w:hAnsi="Times New Roman" w:cs="Times New Roman"/>
          <w:b/>
          <w:sz w:val="24"/>
          <w:lang w:val="en-US"/>
        </w:rPr>
        <w:t xml:space="preserve"> </w:t>
      </w:r>
      <w:r w:rsidRPr="00296084">
        <w:rPr>
          <w:rFonts w:ascii="Times New Roman" w:hAnsi="Times New Roman" w:cs="Times New Roman"/>
          <w:sz w:val="24"/>
          <w:lang w:val="en-US"/>
        </w:rPr>
        <w:t>LMS cell line pellets were incubated with either anti-Ki-67 (Ventana 790-4286; 1:100), anti-</w:t>
      </w:r>
      <w:r w:rsidRPr="00296084">
        <w:rPr>
          <w:rFonts w:ascii="Times New Roman" w:hAnsi="Times New Roman" w:cs="Times New Roman"/>
          <w:sz w:val="24"/>
          <w:szCs w:val="24"/>
          <w:lang w:val="en-US"/>
        </w:rPr>
        <w:t>p-S6RP</w:t>
      </w:r>
      <w:r w:rsidRPr="00296084">
        <w:rPr>
          <w:rFonts w:ascii="Times New Roman" w:hAnsi="Times New Roman" w:cs="Times New Roman"/>
          <w:sz w:val="24"/>
          <w:szCs w:val="24"/>
          <w:vertAlign w:val="superscript"/>
          <w:lang w:val="en-US"/>
        </w:rPr>
        <w:t>ser240/244</w:t>
      </w:r>
      <w:r w:rsidRPr="00296084">
        <w:rPr>
          <w:rFonts w:ascii="Times New Roman" w:hAnsi="Times New Roman" w:cs="Times New Roman"/>
          <w:sz w:val="24"/>
          <w:szCs w:val="24"/>
          <w:lang w:val="en-US"/>
        </w:rPr>
        <w:t xml:space="preserve"> (CST 5364; 1:100), anti-H3K27Me3 (CST 9733S; 1:100)</w:t>
      </w:r>
      <w:r>
        <w:rPr>
          <w:rFonts w:ascii="Times New Roman" w:hAnsi="Times New Roman" w:cs="Times New Roman"/>
          <w:sz w:val="24"/>
          <w:szCs w:val="24"/>
          <w:lang w:val="en-US"/>
        </w:rPr>
        <w:t xml:space="preserve">, anti-ALDH1 (Sigma-Aldrich SAB1403542; 1:100) </w:t>
      </w:r>
      <w:r w:rsidRPr="00296084">
        <w:rPr>
          <w:rFonts w:ascii="Times New Roman" w:hAnsi="Times New Roman" w:cs="Times New Roman"/>
          <w:sz w:val="24"/>
          <w:szCs w:val="24"/>
          <w:lang w:val="en-US"/>
        </w:rPr>
        <w:t>or anti-SOX2 (Ventana 760-4621; 1:100).</w:t>
      </w:r>
      <w:r w:rsidRPr="00296084">
        <w:rPr>
          <w:rFonts w:ascii="Times New Roman" w:hAnsi="Times New Roman" w:cs="Times New Roman"/>
          <w:sz w:val="24"/>
          <w:lang w:val="en-US"/>
        </w:rPr>
        <w:t xml:space="preserve"> To confirm a negative labeling in tissues, we used endothelial cells as a positive control. Tissue imaging was conducted with an Olympus CKX41 (x100) using image capture cellSens Entry software version 1.14 for Windows (Olympus, Rungis, France). A pathologist estimated the </w:t>
      </w:r>
      <w:r w:rsidRPr="00875662">
        <w:rPr>
          <w:rFonts w:ascii="Times New Roman" w:hAnsi="Times New Roman" w:cs="Times New Roman"/>
          <w:sz w:val="24"/>
          <w:lang w:val="en-US"/>
        </w:rPr>
        <w:t>immunoreactivity signal corresponding to the target expression level based on the percentage of positively stained cells. I</w:t>
      </w:r>
      <w:r w:rsidRPr="00425BAB">
        <w:rPr>
          <w:rFonts w:ascii="Times New Roman" w:hAnsi="Times New Roman" w:cs="Times New Roman"/>
          <w:sz w:val="24"/>
          <w:lang w:val="en-US"/>
        </w:rPr>
        <w:t>HC score was determined by adding the results of multiplication of the percentage of cells with staining intensity ordinal value (scored from 0 for “no signal” to 3 for “strong signal”).</w:t>
      </w:r>
    </w:p>
    <w:p w:rsidR="007A7A68" w:rsidRDefault="007A7A68" w:rsidP="0074617C">
      <w:pPr>
        <w:spacing w:after="0" w:line="360" w:lineRule="auto"/>
        <w:ind w:firstLine="708"/>
        <w:jc w:val="both"/>
        <w:rPr>
          <w:rFonts w:ascii="Times New Roman" w:hAnsi="Times New Roman" w:cs="Times New Roman"/>
          <w:sz w:val="24"/>
          <w:lang w:val="en-US"/>
        </w:rPr>
      </w:pPr>
    </w:p>
    <w:p w:rsidR="007A7A68" w:rsidRPr="00296084" w:rsidRDefault="007A7A68" w:rsidP="007A7A68">
      <w:pPr>
        <w:spacing w:after="0" w:line="360" w:lineRule="auto"/>
        <w:jc w:val="both"/>
        <w:rPr>
          <w:rFonts w:ascii="Times New Roman" w:hAnsi="Times New Roman" w:cs="Times New Roman"/>
          <w:b/>
          <w:sz w:val="24"/>
          <w:lang w:val="en-US"/>
        </w:rPr>
      </w:pPr>
      <w:r w:rsidRPr="00296084">
        <w:rPr>
          <w:rFonts w:ascii="Times New Roman" w:hAnsi="Times New Roman" w:cs="Times New Roman"/>
          <w:b/>
          <w:sz w:val="24"/>
          <w:lang w:val="en-US"/>
        </w:rPr>
        <w:t>Statistics</w:t>
      </w:r>
    </w:p>
    <w:p w:rsidR="007A7A68" w:rsidRDefault="007A7A68" w:rsidP="007A7A68">
      <w:pPr>
        <w:spacing w:after="0" w:line="360" w:lineRule="auto"/>
        <w:ind w:firstLine="708"/>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For analysis of </w:t>
      </w:r>
      <w:r w:rsidRPr="00602BF7">
        <w:rPr>
          <w:rFonts w:ascii="Times New Roman" w:hAnsi="Times New Roman" w:cs="Times New Roman"/>
          <w:sz w:val="24"/>
          <w:lang w:val="en-US"/>
        </w:rPr>
        <w:t>overall survival according to expression levels of ALDH1</w:t>
      </w:r>
      <w:r>
        <w:rPr>
          <w:rFonts w:ascii="Times New Roman" w:hAnsi="Times New Roman" w:cs="Times New Roman"/>
          <w:sz w:val="24"/>
          <w:lang w:val="en-US"/>
        </w:rPr>
        <w:t>, t</w:t>
      </w:r>
      <w:r w:rsidRPr="00080AA3">
        <w:rPr>
          <w:rFonts w:ascii="Times New Roman" w:hAnsi="Times New Roman" w:cs="Times New Roman"/>
          <w:sz w:val="24"/>
          <w:szCs w:val="24"/>
          <w:shd w:val="clear" w:color="auto" w:fill="FFFFFF"/>
          <w:lang w:val="en-US"/>
        </w:rPr>
        <w:t xml:space="preserve">he cut-off date for statistical analysis of baseline demographic data and clinical outcome was the 03/31/2018. Survival rates were estimated using the Kaplan–Meier method. Descriptive </w:t>
      </w:r>
      <w:r w:rsidRPr="00080AA3">
        <w:rPr>
          <w:rFonts w:ascii="Times New Roman" w:hAnsi="Times New Roman" w:cs="Times New Roman"/>
          <w:sz w:val="24"/>
          <w:szCs w:val="24"/>
          <w:shd w:val="clear" w:color="auto" w:fill="FFFFFF"/>
          <w:lang w:val="en-US"/>
        </w:rPr>
        <w:lastRenderedPageBreak/>
        <w:t>statistics were used to show the distribution of variables in the population. Differences between groups were evaluated by Chi square test or Fisher’s exact test for categorical variables and Student’s test for continuous variables. Prognostic factors were planned to be identified by univariate and multivariate analyses using a Cox regression model. Variables tested in univariate analysis included: age, gender, primary tumor location, tumor dep</w:t>
      </w:r>
      <w:r>
        <w:rPr>
          <w:rFonts w:ascii="Times New Roman" w:hAnsi="Times New Roman" w:cs="Times New Roman"/>
          <w:sz w:val="24"/>
          <w:szCs w:val="24"/>
          <w:shd w:val="clear" w:color="auto" w:fill="FFFFFF"/>
          <w:lang w:val="en-US"/>
        </w:rPr>
        <w:t>th, tumor size, grade, and ALDH</w:t>
      </w:r>
      <w:r w:rsidRPr="00080AA3">
        <w:rPr>
          <w:rFonts w:ascii="Times New Roman" w:hAnsi="Times New Roman" w:cs="Times New Roman"/>
          <w:sz w:val="24"/>
          <w:szCs w:val="24"/>
          <w:shd w:val="clear" w:color="auto" w:fill="FFFFFF"/>
          <w:lang w:val="en-US"/>
        </w:rPr>
        <w:t>1 IHC score.</w:t>
      </w:r>
      <w:r>
        <w:rPr>
          <w:rFonts w:ascii="Times New Roman" w:hAnsi="Times New Roman" w:cs="Times New Roman"/>
          <w:sz w:val="24"/>
          <w:szCs w:val="24"/>
          <w:shd w:val="clear" w:color="auto" w:fill="FFFFFF"/>
          <w:lang w:val="en-US"/>
        </w:rPr>
        <w:t xml:space="preserve"> </w:t>
      </w:r>
      <w:r w:rsidRPr="00080AA3">
        <w:rPr>
          <w:rFonts w:ascii="Times New Roman" w:hAnsi="Times New Roman" w:cs="Times New Roman"/>
          <w:sz w:val="24"/>
          <w:szCs w:val="24"/>
          <w:shd w:val="clear" w:color="auto" w:fill="FFFFFF"/>
          <w:lang w:val="en-US"/>
        </w:rPr>
        <w:t>Variables associated with a p-value</w:t>
      </w:r>
      <w:r>
        <w:rPr>
          <w:rFonts w:ascii="Times New Roman" w:hAnsi="Times New Roman" w:cs="Times New Roman"/>
          <w:sz w:val="24"/>
          <w:szCs w:val="24"/>
          <w:shd w:val="clear" w:color="auto" w:fill="FFFFFF"/>
          <w:lang w:val="en-US"/>
        </w:rPr>
        <w:t xml:space="preserve"> </w:t>
      </w:r>
      <w:r w:rsidRPr="00080AA3">
        <w:rPr>
          <w:rFonts w:ascii="Times New Roman" w:hAnsi="Times New Roman" w:cs="Times New Roman"/>
          <w:sz w:val="24"/>
          <w:szCs w:val="24"/>
          <w:shd w:val="clear" w:color="auto" w:fill="FFFFFF"/>
          <w:lang w:val="en-US"/>
        </w:rPr>
        <w:t>&lt;</w:t>
      </w:r>
      <w:r>
        <w:rPr>
          <w:rFonts w:ascii="Times New Roman" w:hAnsi="Times New Roman" w:cs="Times New Roman"/>
          <w:sz w:val="24"/>
          <w:szCs w:val="24"/>
          <w:shd w:val="clear" w:color="auto" w:fill="FFFFFF"/>
          <w:lang w:val="en-US"/>
        </w:rPr>
        <w:t xml:space="preserve"> </w:t>
      </w:r>
      <w:r w:rsidRPr="00080AA3">
        <w:rPr>
          <w:rFonts w:ascii="Times New Roman" w:hAnsi="Times New Roman" w:cs="Times New Roman"/>
          <w:sz w:val="24"/>
          <w:szCs w:val="24"/>
          <w:shd w:val="clear" w:color="auto" w:fill="FFFFFF"/>
          <w:lang w:val="en-US"/>
        </w:rPr>
        <w:t>0.05 in the univariate analysis were planned to be included in the multivariate analysis. Analyses were performed using SPSS 18.0 statistical software (IPSS Inc., Chicago, USA). All statistical tests were two-sided, and p</w:t>
      </w:r>
      <w:r>
        <w:rPr>
          <w:rFonts w:ascii="Times New Roman" w:hAnsi="Times New Roman" w:cs="Times New Roman"/>
          <w:sz w:val="24"/>
          <w:szCs w:val="24"/>
          <w:shd w:val="clear" w:color="auto" w:fill="FFFFFF"/>
          <w:lang w:val="en-US"/>
        </w:rPr>
        <w:t xml:space="preserve"> </w:t>
      </w:r>
      <w:r w:rsidRPr="00080AA3">
        <w:rPr>
          <w:rFonts w:ascii="Times New Roman" w:hAnsi="Times New Roman" w:cs="Times New Roman"/>
          <w:sz w:val="24"/>
          <w:szCs w:val="24"/>
          <w:shd w:val="clear" w:color="auto" w:fill="FFFFFF"/>
          <w:lang w:val="en-US"/>
        </w:rPr>
        <w:t>&lt;</w:t>
      </w:r>
      <w:r>
        <w:rPr>
          <w:rFonts w:ascii="Times New Roman" w:hAnsi="Times New Roman" w:cs="Times New Roman"/>
          <w:sz w:val="24"/>
          <w:szCs w:val="24"/>
          <w:shd w:val="clear" w:color="auto" w:fill="FFFFFF"/>
          <w:lang w:val="en-US"/>
        </w:rPr>
        <w:t xml:space="preserve"> </w:t>
      </w:r>
      <w:r w:rsidRPr="00080AA3">
        <w:rPr>
          <w:rFonts w:ascii="Times New Roman" w:hAnsi="Times New Roman" w:cs="Times New Roman"/>
          <w:sz w:val="24"/>
          <w:szCs w:val="24"/>
          <w:shd w:val="clear" w:color="auto" w:fill="FFFFFF"/>
          <w:lang w:val="en-US"/>
        </w:rPr>
        <w:t>0.05 indicated statistical significance.</w:t>
      </w:r>
    </w:p>
    <w:p w:rsidR="007A7A68" w:rsidRPr="00296084" w:rsidRDefault="007A7A68" w:rsidP="007A7A68">
      <w:pPr>
        <w:spacing w:after="0"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For experiments, q</w:t>
      </w:r>
      <w:r w:rsidRPr="00296084">
        <w:rPr>
          <w:rFonts w:ascii="Times New Roman" w:hAnsi="Times New Roman" w:cs="Times New Roman"/>
          <w:sz w:val="24"/>
          <w:lang w:val="en-US"/>
        </w:rPr>
        <w:t xml:space="preserve">uantification values represent the means of three or more experiments ± SEM. Differences in mean values between two groups were analyzed by two-tailed Student’s t-tests. Differences in three or more than three groups were analyzed by one-way or two-way ANOVA, followed by the post hoc Tukey’s honest significant difference test. </w:t>
      </w:r>
      <w:r w:rsidRPr="00296084">
        <w:rPr>
          <w:rFonts w:ascii="Times New Roman" w:hAnsi="Times New Roman" w:cs="Times New Roman"/>
          <w:sz w:val="24"/>
          <w:szCs w:val="32"/>
          <w:lang w:val="en-US"/>
        </w:rPr>
        <w:t>Log-rank (Mantel-Cox) tests were used to compare Kaplan-Meier curves using GraphPad Prism. Furthermore, ELDA analyses were performed using the “limdil” function of the R-package “StatMod”</w:t>
      </w:r>
      <w:r>
        <w:rPr>
          <w:rFonts w:ascii="Times New Roman" w:hAnsi="Times New Roman" w:cs="Times New Roman"/>
          <w:sz w:val="24"/>
          <w:szCs w:val="32"/>
          <w:lang w:val="en-US"/>
        </w:rPr>
        <w:t xml:space="preserve"> </w:t>
      </w:r>
      <w:r w:rsidRPr="00296084">
        <w:rPr>
          <w:rFonts w:ascii="Times New Roman" w:hAnsi="Times New Roman" w:cs="Times New Roman"/>
          <w:sz w:val="24"/>
          <w:szCs w:val="32"/>
          <w:lang w:val="en-US"/>
        </w:rPr>
        <w:fldChar w:fldCharType="begin"/>
      </w:r>
      <w:r w:rsidR="00C36173">
        <w:rPr>
          <w:rFonts w:ascii="Times New Roman" w:hAnsi="Times New Roman" w:cs="Times New Roman"/>
          <w:sz w:val="24"/>
          <w:szCs w:val="32"/>
          <w:lang w:val="en-US"/>
        </w:rPr>
        <w:instrText xml:space="preserve"> ADDIN ZOTERO_ITEM CSL_CITATION {"citationID":"Ejgg2Rnl","properties":{"formattedCitation":"[16, 17]","plainCitation":"[16, 17]","noteIndex":0},"citationItems":[{"id":1246,"uris":["http://zotero.org/users/2942631/items/XTSVAJFZ"],"uri":["http://zotero.org/users/2942631/items/XTSVAJFZ"],"itemData":{"id":1246,"type":"article-journal","title":"Graphical representation of a generalized linear model-based statistical test estimating the fit of the single-hit Poisson model to limiting dilution assays","container-title":"Journal of Immunology (Baltimore, Md.: 1950)","page":"5725-5730","volume":"167","issue":"10","source":"PubMed","abstract":"Standardized statistical and graphical methods for analysis of limiting dilution assays are highly desirable to enable investigators to compare and interpret results and conclusions with greater accuracy and precision. According to these requirements, we present in this work a powerful statistical slope test that estimates the fit of the single-hit Poisson model to limiting dilution experiments. This method is readily amenable to a graphical representation. This slope test is obtained by modeling limiting dilution data according to a linear log-log regression model, which is a generalized linear model specially designed for modeling binary data. The result of the statistical slope test can then be graphed to visualize whether the data are compatible or not with the single-hit Poisson model. We demonstrate this statistical test and its graphical representation by using two examples: a real limiting dilution experiment evaluating the growth frequency of IL-2-responsive tumor-infiltrating T cells in a malignant lymph node involved by a B cell non-Hodgkin's lymphoma, and a simulation of a limiting dilution assay corresponding to a theoretical non-single-hit Poisson model, suppressor two-target Poisson model.","ISSN":"0022-1767","note":"PMID: 11698445","journalAbbreviation":"J. Immunol.","language":"eng","author":[{"family":"Bonnefoix","given":"T."},{"family":"Bonnefoix","given":"P."},{"family":"Callanan","given":"M."},{"family":"Verdiel","given":"P."},{"family":"Sotto","given":"J. J."}],"issued":{"date-parts":[["2001",11,15]]}}},{"id":1244,"uris":["http://zotero.org/users/2942631/items/LKFRNK67"],"uri":["http://zotero.org/users/2942631/items/LKFRNK67"],"itemData":{"id":1244,"type":"article-journal","title":"ELDA: Extreme limiting dilution analysis for comparing depleted and enriched populations in stem cell and other assays","container-title":"Journal of Immunological Methods","page":"70-78","volume":"347","issue":"1","source":"ScienceDirect","abstract":"ELDA is a software application for limiting dilution analysis (LDA), with particular attention to the needs of stem cell assays. It is the first limiting dilution analysis software to provide meaningful confidence intervals for all LDA data sets, including those with 0% or 100% responses. Other features include a test of the adequacy of the single-hit hypothesis, tests for frequency differences between multiple data sets, and the ability to take advantage of cases where the number of cells in the sample is counted exactly. A webtool at http://bioinf.wehi.edu.au/software/elda/ provides an easy user interface.","DOI":"10.1016/j.jim.2009.06.008","ISSN":"0022-1759","shortTitle":"ELDA","journalAbbreviation":"Journal of Immunological Methods","author":[{"family":"Hu","given":"Yifang"},{"family":"Smyth","given":"Gordon K."}],"issued":{"date-parts":[["2009",8,15]]}}}],"schema":"https://github.com/citation-style-language/schema/raw/master/csl-citation.json"} </w:instrText>
      </w:r>
      <w:r w:rsidRPr="00296084">
        <w:rPr>
          <w:rFonts w:ascii="Times New Roman" w:hAnsi="Times New Roman" w:cs="Times New Roman"/>
          <w:sz w:val="24"/>
          <w:szCs w:val="32"/>
          <w:lang w:val="en-US"/>
        </w:rPr>
        <w:fldChar w:fldCharType="separate"/>
      </w:r>
      <w:r w:rsidR="00C36173" w:rsidRPr="00E33E46">
        <w:rPr>
          <w:rFonts w:ascii="Times New Roman" w:hAnsi="Times New Roman" w:cs="Times New Roman"/>
          <w:sz w:val="24"/>
          <w:lang w:val="en-US"/>
          <w:rPrChange w:id="9" w:author="antoine italiano" w:date="2018-12-07T20:30:00Z">
            <w:rPr>
              <w:rFonts w:ascii="Times New Roman" w:hAnsi="Times New Roman" w:cs="Times New Roman"/>
              <w:sz w:val="24"/>
            </w:rPr>
          </w:rPrChange>
        </w:rPr>
        <w:t>[16, 17]</w:t>
      </w:r>
      <w:r w:rsidRPr="00296084">
        <w:rPr>
          <w:rFonts w:ascii="Times New Roman" w:hAnsi="Times New Roman" w:cs="Times New Roman"/>
          <w:sz w:val="24"/>
          <w:szCs w:val="32"/>
          <w:lang w:val="en-US"/>
        </w:rPr>
        <w:fldChar w:fldCharType="end"/>
      </w:r>
      <w:r w:rsidRPr="00296084">
        <w:rPr>
          <w:rFonts w:ascii="Times New Roman" w:hAnsi="Times New Roman" w:cs="Times New Roman"/>
          <w:sz w:val="24"/>
          <w:szCs w:val="32"/>
          <w:lang w:val="en-US"/>
        </w:rPr>
        <w:t>. Cancer-initiating cell frequencies with 95% confidence intervals were estimated and are expressed in 1/stem cell frequency. CSC frequencies were compared between groups (e.g. presence or absence of ALDH1 activity) using likelihood ratio tests.</w:t>
      </w:r>
      <w:r w:rsidRPr="00296084">
        <w:rPr>
          <w:rFonts w:ascii="Times New Roman" w:hAnsi="Times New Roman" w:cs="Times New Roman"/>
          <w:sz w:val="24"/>
          <w:lang w:val="en-US"/>
        </w:rPr>
        <w:t xml:space="preserve"> A </w:t>
      </w:r>
      <w:r w:rsidRPr="00296084">
        <w:rPr>
          <w:rFonts w:ascii="Times New Roman" w:hAnsi="Times New Roman" w:cs="Times New Roman"/>
          <w:i/>
          <w:sz w:val="24"/>
          <w:lang w:val="en-US"/>
        </w:rPr>
        <w:t>p &lt; 0.05</w:t>
      </w:r>
      <w:r w:rsidRPr="00296084">
        <w:rPr>
          <w:rFonts w:ascii="Times New Roman" w:hAnsi="Times New Roman" w:cs="Times New Roman"/>
          <w:sz w:val="24"/>
          <w:lang w:val="en-US"/>
        </w:rPr>
        <w:t xml:space="preserve"> was required for results to be considered statistically significant.</w:t>
      </w:r>
    </w:p>
    <w:p w:rsidR="007A7A68" w:rsidRDefault="007A7A68" w:rsidP="0074617C">
      <w:pPr>
        <w:spacing w:after="0" w:line="360" w:lineRule="auto"/>
        <w:ind w:firstLine="708"/>
        <w:jc w:val="both"/>
        <w:rPr>
          <w:rFonts w:ascii="Times New Roman" w:hAnsi="Times New Roman" w:cs="Times New Roman"/>
          <w:sz w:val="24"/>
          <w:lang w:val="en-US"/>
        </w:rPr>
      </w:pPr>
    </w:p>
    <w:p w:rsidR="0077354B" w:rsidRDefault="0077354B" w:rsidP="0077354B">
      <w:pPr>
        <w:spacing w:after="0" w:line="360" w:lineRule="auto"/>
        <w:rPr>
          <w:rFonts w:ascii="Times New Roman" w:eastAsia="Times New Roman" w:hAnsi="Times New Roman" w:cs="Times New Roman"/>
          <w:b/>
          <w:sz w:val="24"/>
          <w:szCs w:val="24"/>
          <w:lang w:val="en-US" w:eastAsia="fr-FR"/>
        </w:rPr>
      </w:pPr>
    </w:p>
    <w:p w:rsidR="0077354B" w:rsidRPr="0077354B" w:rsidRDefault="0077354B" w:rsidP="0077354B">
      <w:pPr>
        <w:pStyle w:val="Heading1"/>
        <w:rPr>
          <w:rFonts w:ascii="Times New Roman" w:eastAsia="Times New Roman" w:hAnsi="Times New Roman" w:cs="Times New Roman"/>
          <w:b/>
          <w:color w:val="000000" w:themeColor="text1"/>
          <w:sz w:val="28"/>
          <w:lang w:val="en-US" w:eastAsia="fr-FR"/>
        </w:rPr>
      </w:pPr>
      <w:bookmarkStart w:id="10" w:name="_Toc523247787"/>
      <w:r w:rsidRPr="0077354B">
        <w:rPr>
          <w:rFonts w:ascii="Times New Roman" w:eastAsia="Times New Roman" w:hAnsi="Times New Roman" w:cs="Times New Roman"/>
          <w:b/>
          <w:color w:val="000000" w:themeColor="text1"/>
          <w:sz w:val="28"/>
          <w:lang w:val="en-US" w:eastAsia="fr-FR"/>
        </w:rPr>
        <w:t>Supplementary Figures</w:t>
      </w:r>
      <w:bookmarkEnd w:id="10"/>
    </w:p>
    <w:p w:rsidR="00A877BE" w:rsidRDefault="0074617C" w:rsidP="0077354B">
      <w:pPr>
        <w:spacing w:after="0" w:line="360" w:lineRule="auto"/>
        <w:rPr>
          <w:rFonts w:ascii="Times New Roman" w:hAnsi="Times New Roman" w:cs="Times New Roman"/>
          <w:sz w:val="24"/>
          <w:lang w:val="en-US"/>
        </w:rPr>
      </w:pPr>
      <w:r>
        <w:rPr>
          <w:rFonts w:ascii="Times New Roman" w:hAnsi="Times New Roman" w:cs="Times New Roman"/>
          <w:b/>
          <w:noProof/>
          <w:lang w:val="en-US"/>
        </w:rPr>
        <w:lastRenderedPageBreak/>
        <w:drawing>
          <wp:anchor distT="0" distB="0" distL="114300" distR="114300" simplePos="0" relativeHeight="251659264" behindDoc="1" locked="0" layoutInCell="1" allowOverlap="1" wp14:anchorId="5A01D0A2" wp14:editId="12ADCAFE">
            <wp:simplePos x="0" y="0"/>
            <wp:positionH relativeFrom="margin">
              <wp:align>center</wp:align>
            </wp:positionH>
            <wp:positionV relativeFrom="paragraph">
              <wp:posOffset>209550</wp:posOffset>
            </wp:positionV>
            <wp:extent cx="5346700" cy="5759450"/>
            <wp:effectExtent l="0" t="0" r="6350" b="0"/>
            <wp:wrapTight wrapText="bothSides">
              <wp:wrapPolygon edited="0">
                <wp:start x="693" y="286"/>
                <wp:lineTo x="462" y="1143"/>
                <wp:lineTo x="847" y="1357"/>
                <wp:lineTo x="2694" y="1572"/>
                <wp:lineTo x="2771" y="4215"/>
                <wp:lineTo x="3386" y="5001"/>
                <wp:lineTo x="3309" y="5144"/>
                <wp:lineTo x="3309" y="5501"/>
                <wp:lineTo x="3848" y="6144"/>
                <wp:lineTo x="3848" y="7073"/>
                <wp:lineTo x="10774" y="7287"/>
                <wp:lineTo x="6465" y="7787"/>
                <wp:lineTo x="3232" y="8288"/>
                <wp:lineTo x="2771" y="8788"/>
                <wp:lineTo x="2771" y="11431"/>
                <wp:lineTo x="3078" y="11860"/>
                <wp:lineTo x="3540" y="11860"/>
                <wp:lineTo x="3232" y="12574"/>
                <wp:lineTo x="3309" y="12717"/>
                <wp:lineTo x="4002" y="13003"/>
                <wp:lineTo x="3925" y="13074"/>
                <wp:lineTo x="3848" y="14217"/>
                <wp:lineTo x="6003" y="15289"/>
                <wp:lineTo x="3540" y="15575"/>
                <wp:lineTo x="2694" y="15861"/>
                <wp:lineTo x="2848" y="18718"/>
                <wp:lineTo x="3232" y="19862"/>
                <wp:lineTo x="3848" y="21005"/>
                <wp:lineTo x="3848" y="21505"/>
                <wp:lineTo x="20779" y="21505"/>
                <wp:lineTo x="20856" y="21005"/>
                <wp:lineTo x="21549" y="19862"/>
                <wp:lineTo x="21087" y="19361"/>
                <wp:lineTo x="20625" y="18504"/>
                <wp:lineTo x="19548" y="17790"/>
                <wp:lineTo x="18932" y="17575"/>
                <wp:lineTo x="18009" y="16432"/>
                <wp:lineTo x="18624" y="15289"/>
                <wp:lineTo x="20779" y="14217"/>
                <wp:lineTo x="20702" y="13003"/>
                <wp:lineTo x="21395" y="12860"/>
                <wp:lineTo x="21395" y="12503"/>
                <wp:lineTo x="20779" y="11860"/>
                <wp:lineTo x="20471" y="10717"/>
                <wp:lineTo x="20548" y="10359"/>
                <wp:lineTo x="19625" y="9645"/>
                <wp:lineTo x="19009" y="9502"/>
                <wp:lineTo x="18624" y="9145"/>
                <wp:lineTo x="17393" y="8430"/>
                <wp:lineTo x="18624" y="8145"/>
                <wp:lineTo x="18393" y="7787"/>
                <wp:lineTo x="10774" y="7287"/>
                <wp:lineTo x="18547" y="7287"/>
                <wp:lineTo x="20933" y="7002"/>
                <wp:lineTo x="20779" y="6144"/>
                <wp:lineTo x="21472" y="5430"/>
                <wp:lineTo x="21395" y="5144"/>
                <wp:lineTo x="20625" y="5001"/>
                <wp:lineTo x="20702" y="4430"/>
                <wp:lineTo x="20548" y="3501"/>
                <wp:lineTo x="19702" y="2715"/>
                <wp:lineTo x="19240" y="2715"/>
                <wp:lineTo x="19471" y="2286"/>
                <wp:lineTo x="19163" y="2072"/>
                <wp:lineTo x="17470" y="1572"/>
                <wp:lineTo x="18624" y="857"/>
                <wp:lineTo x="18393" y="572"/>
                <wp:lineTo x="12237" y="286"/>
                <wp:lineTo x="693" y="286"/>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5759450"/>
                    </a:xfrm>
                    <a:prstGeom prst="rect">
                      <a:avLst/>
                    </a:prstGeom>
                    <a:noFill/>
                  </pic:spPr>
                </pic:pic>
              </a:graphicData>
            </a:graphic>
            <wp14:sizeRelH relativeFrom="page">
              <wp14:pctWidth>0</wp14:pctWidth>
            </wp14:sizeRelH>
            <wp14:sizeRelV relativeFrom="page">
              <wp14:pctHeight>0</wp14:pctHeight>
            </wp14:sizeRelV>
          </wp:anchor>
        </w:drawing>
      </w:r>
    </w:p>
    <w:p w:rsidR="00A877BE" w:rsidRDefault="00A877BE" w:rsidP="0077354B">
      <w:pPr>
        <w:spacing w:after="0" w:line="360" w:lineRule="auto"/>
        <w:rPr>
          <w:rFonts w:ascii="Times New Roman" w:hAnsi="Times New Roman" w:cs="Times New Roman"/>
          <w:sz w:val="24"/>
          <w:lang w:val="en-US"/>
        </w:rPr>
      </w:pPr>
    </w:p>
    <w:p w:rsidR="00A877BE" w:rsidRDefault="00A877BE" w:rsidP="0077354B">
      <w:pPr>
        <w:spacing w:after="0" w:line="360" w:lineRule="auto"/>
        <w:rPr>
          <w:rFonts w:ascii="Times New Roman" w:hAnsi="Times New Roman" w:cs="Times New Roman"/>
          <w:sz w:val="24"/>
          <w:lang w:val="en-US"/>
        </w:rPr>
      </w:pPr>
    </w:p>
    <w:p w:rsidR="00A877BE" w:rsidRDefault="00A877BE" w:rsidP="0077354B">
      <w:pPr>
        <w:spacing w:after="0" w:line="360" w:lineRule="auto"/>
        <w:rPr>
          <w:rFonts w:ascii="Times New Roman" w:hAnsi="Times New Roman" w:cs="Times New Roman"/>
          <w:sz w:val="24"/>
          <w:lang w:val="en-US"/>
        </w:rPr>
      </w:pPr>
    </w:p>
    <w:p w:rsidR="00A877BE" w:rsidRDefault="00A877BE" w:rsidP="0077354B">
      <w:pPr>
        <w:spacing w:after="0" w:line="360" w:lineRule="auto"/>
        <w:rPr>
          <w:rFonts w:ascii="Times New Roman" w:hAnsi="Times New Roman" w:cs="Times New Roman"/>
          <w:sz w:val="24"/>
          <w:lang w:val="en-US"/>
        </w:rPr>
      </w:pPr>
    </w:p>
    <w:p w:rsidR="00A877BE" w:rsidRDefault="00A877BE"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4617C">
      <w:pPr>
        <w:spacing w:after="0" w:line="360" w:lineRule="auto"/>
        <w:jc w:val="both"/>
        <w:rPr>
          <w:rFonts w:ascii="Times New Roman" w:hAnsi="Times New Roman" w:cs="Times New Roman"/>
          <w:sz w:val="24"/>
          <w:lang w:val="en-US"/>
        </w:rPr>
      </w:pPr>
      <w:r w:rsidRPr="00085F09">
        <w:rPr>
          <w:rFonts w:ascii="Times New Roman" w:hAnsi="Times New Roman" w:cs="Times New Roman"/>
          <w:b/>
          <w:sz w:val="24"/>
          <w:lang w:val="en-US"/>
        </w:rPr>
        <w:t xml:space="preserve">Figure S1. </w:t>
      </w:r>
      <w:r w:rsidRPr="00085F09">
        <w:rPr>
          <w:rFonts w:ascii="Times New Roman" w:hAnsi="Times New Roman" w:cs="Times New Roman"/>
          <w:sz w:val="24"/>
          <w:lang w:val="en-US"/>
        </w:rPr>
        <w:t xml:space="preserve">Effect of doxorubicin and gemcitabine on cell growth in parental and resistant leiomyosarcoma (LMS) cell lines. </w:t>
      </w:r>
      <w:r w:rsidRPr="00085F09">
        <w:rPr>
          <w:rFonts w:ascii="Times New Roman" w:hAnsi="Times New Roman" w:cs="Times New Roman"/>
          <w:b/>
          <w:sz w:val="24"/>
          <w:lang w:val="en-US"/>
        </w:rPr>
        <w:t>A,</w:t>
      </w:r>
      <w:r w:rsidRPr="00085F09">
        <w:rPr>
          <w:rFonts w:ascii="Times New Roman" w:hAnsi="Times New Roman" w:cs="Times New Roman"/>
          <w:sz w:val="24"/>
          <w:lang w:val="en-US"/>
        </w:rPr>
        <w:t xml:space="preserve"> Growth curves indicating growth inhibition of the three parental (IB112, IB134 and IB136) and resistant (resIB112, resIB134 and resIB136) LMS cell lines after doxorubicin treatment for 72 hours. </w:t>
      </w:r>
      <w:r w:rsidRPr="00085F09">
        <w:rPr>
          <w:rFonts w:ascii="Times New Roman" w:hAnsi="Times New Roman" w:cs="Times New Roman"/>
          <w:b/>
          <w:sz w:val="24"/>
          <w:lang w:val="en-US"/>
        </w:rPr>
        <w:t xml:space="preserve">B, </w:t>
      </w:r>
      <w:r w:rsidRPr="00085F09">
        <w:rPr>
          <w:rFonts w:ascii="Times New Roman" w:hAnsi="Times New Roman" w:cs="Times New Roman"/>
          <w:sz w:val="24"/>
          <w:lang w:val="en-US"/>
        </w:rPr>
        <w:t>Growth curves indicating growth inhibition of LMS cell lines after gemcitabine treatment for 72 hours. IC</w:t>
      </w:r>
      <w:r w:rsidRPr="00085F09">
        <w:rPr>
          <w:rFonts w:ascii="Times New Roman" w:hAnsi="Times New Roman" w:cs="Times New Roman"/>
          <w:sz w:val="24"/>
          <w:vertAlign w:val="subscript"/>
          <w:lang w:val="en-US"/>
        </w:rPr>
        <w:t>50</w:t>
      </w:r>
      <w:r w:rsidRPr="00085F09">
        <w:rPr>
          <w:rFonts w:ascii="Times New Roman" w:hAnsi="Times New Roman" w:cs="Times New Roman"/>
          <w:sz w:val="24"/>
          <w:lang w:val="en-US"/>
        </w:rPr>
        <w:t xml:space="preserve"> is indicated in µM. Data are presented as the mean ± SEM of three independent experiments.</w:t>
      </w: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r>
        <w:rPr>
          <w:rFonts w:ascii="Times New Roman" w:hAnsi="Times New Roman" w:cs="Times New Roman"/>
          <w:b/>
          <w:noProof/>
          <w:lang w:val="en-US"/>
        </w:rPr>
        <w:lastRenderedPageBreak/>
        <w:drawing>
          <wp:anchor distT="0" distB="0" distL="114300" distR="114300" simplePos="0" relativeHeight="251661312" behindDoc="1" locked="0" layoutInCell="1" allowOverlap="1" wp14:anchorId="1417CFAB" wp14:editId="70868E29">
            <wp:simplePos x="0" y="0"/>
            <wp:positionH relativeFrom="margin">
              <wp:align>center</wp:align>
            </wp:positionH>
            <wp:positionV relativeFrom="paragraph">
              <wp:posOffset>259080</wp:posOffset>
            </wp:positionV>
            <wp:extent cx="5759450" cy="4363720"/>
            <wp:effectExtent l="0" t="0" r="0" b="0"/>
            <wp:wrapTight wrapText="bothSides">
              <wp:wrapPolygon edited="0">
                <wp:start x="1215" y="283"/>
                <wp:lineTo x="1072" y="1226"/>
                <wp:lineTo x="2215" y="1697"/>
                <wp:lineTo x="4930" y="1980"/>
                <wp:lineTo x="4287" y="2357"/>
                <wp:lineTo x="4144" y="2640"/>
                <wp:lineTo x="4144" y="3489"/>
                <wp:lineTo x="1786" y="4243"/>
                <wp:lineTo x="1786" y="4903"/>
                <wp:lineTo x="4144" y="4998"/>
                <wp:lineTo x="4144" y="8015"/>
                <wp:lineTo x="1715" y="8487"/>
                <wp:lineTo x="1715" y="9147"/>
                <wp:lineTo x="4144" y="9524"/>
                <wp:lineTo x="4144" y="10844"/>
                <wp:lineTo x="10788" y="11033"/>
                <wp:lineTo x="1072" y="12353"/>
                <wp:lineTo x="1072" y="13201"/>
                <wp:lineTo x="6787" y="14050"/>
                <wp:lineTo x="4787" y="14333"/>
                <wp:lineTo x="1286" y="14899"/>
                <wp:lineTo x="1286" y="15559"/>
                <wp:lineTo x="929" y="16030"/>
                <wp:lineTo x="786" y="18576"/>
                <wp:lineTo x="71" y="20085"/>
                <wp:lineTo x="357" y="21311"/>
                <wp:lineTo x="21148" y="21311"/>
                <wp:lineTo x="21219" y="20085"/>
                <wp:lineTo x="21505" y="19519"/>
                <wp:lineTo x="21148" y="19331"/>
                <wp:lineTo x="17075" y="18576"/>
                <wp:lineTo x="17504" y="18388"/>
                <wp:lineTo x="18790" y="17256"/>
                <wp:lineTo x="19004" y="16879"/>
                <wp:lineTo x="18718" y="15936"/>
                <wp:lineTo x="16647" y="15559"/>
                <wp:lineTo x="19862" y="15087"/>
                <wp:lineTo x="19647" y="14239"/>
                <wp:lineTo x="10717" y="14050"/>
                <wp:lineTo x="1715" y="12541"/>
                <wp:lineTo x="10788" y="11033"/>
                <wp:lineTo x="16504" y="11033"/>
                <wp:lineTo x="17504" y="10844"/>
                <wp:lineTo x="17361" y="1509"/>
                <wp:lineTo x="1572" y="283"/>
                <wp:lineTo x="1215" y="28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363720"/>
                    </a:xfrm>
                    <a:prstGeom prst="rect">
                      <a:avLst/>
                    </a:prstGeom>
                    <a:noFill/>
                  </pic:spPr>
                </pic:pic>
              </a:graphicData>
            </a:graphic>
            <wp14:sizeRelH relativeFrom="page">
              <wp14:pctWidth>0</wp14:pctWidth>
            </wp14:sizeRelH>
            <wp14:sizeRelV relativeFrom="page">
              <wp14:pctHeight>0</wp14:pctHeight>
            </wp14:sizeRelV>
          </wp:anchor>
        </w:drawing>
      </w: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7354B">
      <w:pPr>
        <w:spacing w:after="0" w:line="360" w:lineRule="auto"/>
        <w:rPr>
          <w:rFonts w:ascii="Times New Roman" w:hAnsi="Times New Roman" w:cs="Times New Roman"/>
          <w:sz w:val="24"/>
          <w:lang w:val="en-US"/>
        </w:rPr>
      </w:pPr>
    </w:p>
    <w:p w:rsidR="0074617C" w:rsidRDefault="0074617C" w:rsidP="0074617C">
      <w:pPr>
        <w:spacing w:after="0" w:line="360" w:lineRule="auto"/>
        <w:jc w:val="both"/>
        <w:rPr>
          <w:rFonts w:ascii="Times New Roman" w:hAnsi="Times New Roman" w:cs="Times New Roman"/>
          <w:color w:val="231F20"/>
          <w:spacing w:val="-5"/>
          <w:sz w:val="24"/>
          <w:lang w:val="en-US"/>
        </w:rPr>
      </w:pPr>
      <w:r>
        <w:rPr>
          <w:rFonts w:ascii="Times New Roman" w:hAnsi="Times New Roman" w:cs="Times New Roman"/>
          <w:b/>
          <w:sz w:val="24"/>
          <w:lang w:val="en-US"/>
        </w:rPr>
        <w:t>Figure S2</w:t>
      </w:r>
      <w:r w:rsidRPr="00085F09">
        <w:rPr>
          <w:rFonts w:ascii="Times New Roman" w:hAnsi="Times New Roman" w:cs="Times New Roman"/>
          <w:b/>
          <w:sz w:val="24"/>
          <w:lang w:val="en-US"/>
        </w:rPr>
        <w:t xml:space="preserve">. </w:t>
      </w:r>
      <w:r w:rsidRPr="00085F09">
        <w:rPr>
          <w:rFonts w:ascii="Times New Roman" w:hAnsi="Times New Roman" w:cs="Times New Roman"/>
          <w:sz w:val="24"/>
          <w:lang w:val="en-US"/>
        </w:rPr>
        <w:t xml:space="preserve">Effect of BEZ235 and EPZ011989 treatment on tumorsphere formation. </w:t>
      </w:r>
      <w:r w:rsidRPr="00085F09">
        <w:rPr>
          <w:rFonts w:ascii="Times New Roman" w:hAnsi="Times New Roman" w:cs="Times New Roman"/>
          <w:b/>
          <w:color w:val="231F20"/>
          <w:sz w:val="24"/>
          <w:lang w:val="en-US"/>
        </w:rPr>
        <w:t>A,</w:t>
      </w:r>
      <w:r w:rsidRPr="00085F09">
        <w:rPr>
          <w:rFonts w:ascii="Times New Roman" w:hAnsi="Times New Roman" w:cs="Times New Roman"/>
          <w:color w:val="231F20"/>
          <w:sz w:val="24"/>
          <w:lang w:val="en-US"/>
        </w:rPr>
        <w:t xml:space="preserve"> Resistant LMS cells were sorted by FACS based on ALDH1 activity and the positive and negative subpopulations of sorted cells were submitted to </w:t>
      </w:r>
      <w:r w:rsidRPr="00085F09">
        <w:rPr>
          <w:rFonts w:ascii="Times New Roman" w:hAnsi="Times New Roman" w:cs="Times New Roman"/>
          <w:i/>
          <w:color w:val="231F20"/>
          <w:sz w:val="24"/>
          <w:lang w:val="en-US"/>
        </w:rPr>
        <w:t xml:space="preserve">in vitro </w:t>
      </w:r>
      <w:r w:rsidRPr="00085F09">
        <w:rPr>
          <w:rFonts w:ascii="Times New Roman" w:hAnsi="Times New Roman" w:cs="Times New Roman"/>
          <w:color w:val="231F20"/>
          <w:sz w:val="24"/>
          <w:lang w:val="en-US"/>
        </w:rPr>
        <w:t>tumorsphere assays.</w:t>
      </w:r>
      <w:r w:rsidRPr="00085F09">
        <w:rPr>
          <w:rFonts w:ascii="Times New Roman" w:hAnsi="Times New Roman" w:cs="Times New Roman"/>
          <w:b/>
          <w:color w:val="231F20"/>
          <w:sz w:val="24"/>
          <w:lang w:val="en-US"/>
        </w:rPr>
        <w:t xml:space="preserve"> </w:t>
      </w:r>
      <w:r w:rsidRPr="00085F09">
        <w:rPr>
          <w:rFonts w:ascii="Times New Roman" w:hAnsi="Times New Roman" w:cs="Times New Roman"/>
          <w:color w:val="231F20"/>
          <w:sz w:val="24"/>
          <w:lang w:val="en-US"/>
        </w:rPr>
        <w:t xml:space="preserve">Representative images of phase contrast microscopy of tumorspheres formed by resIB136 cells treated with  BEZ235 treatment (0.3 µM) or EPZ011989 treatment (0.01 µM), alone or in combination, after 15 days of culture in nonadherent conditions </w:t>
      </w:r>
      <w:r w:rsidRPr="00085F09">
        <w:rPr>
          <w:rFonts w:ascii="Times New Roman" w:hAnsi="Times New Roman" w:cs="Times New Roman"/>
          <w:i/>
          <w:color w:val="231F20"/>
          <w:sz w:val="24"/>
          <w:lang w:val="en-US"/>
        </w:rPr>
        <w:t>in vitro</w:t>
      </w:r>
      <w:r w:rsidRPr="00085F09">
        <w:rPr>
          <w:rFonts w:ascii="Times New Roman" w:hAnsi="Times New Roman" w:cs="Times New Roman"/>
          <w:color w:val="231F20"/>
          <w:sz w:val="24"/>
          <w:lang w:val="en-US"/>
        </w:rPr>
        <w:t>. Scale bars, 150µm.</w:t>
      </w:r>
      <w:r w:rsidRPr="00085F09">
        <w:rPr>
          <w:rFonts w:ascii="Times New Roman" w:hAnsi="Times New Roman" w:cs="Times New Roman"/>
          <w:sz w:val="24"/>
          <w:lang w:val="en-US"/>
        </w:rPr>
        <w:t xml:space="preserve"> </w:t>
      </w:r>
      <w:r w:rsidRPr="00085F09">
        <w:rPr>
          <w:rFonts w:ascii="Times New Roman" w:hAnsi="Times New Roman" w:cs="Times New Roman"/>
          <w:b/>
          <w:color w:val="231F20"/>
          <w:spacing w:val="-5"/>
          <w:sz w:val="24"/>
          <w:lang w:val="en-US"/>
        </w:rPr>
        <w:t xml:space="preserve">B, </w:t>
      </w:r>
      <w:r w:rsidRPr="00085F09">
        <w:rPr>
          <w:rFonts w:ascii="Times New Roman" w:hAnsi="Times New Roman" w:cs="Times New Roman"/>
          <w:color w:val="231F20"/>
          <w:spacing w:val="-5"/>
          <w:sz w:val="24"/>
          <w:lang w:val="en-US"/>
        </w:rPr>
        <w:t>Plots (min and max) represent the n</w:t>
      </w:r>
      <w:r w:rsidRPr="00085F09">
        <w:rPr>
          <w:rFonts w:ascii="Times New Roman" w:hAnsi="Times New Roman" w:cs="Times New Roman"/>
          <w:color w:val="231F20"/>
          <w:sz w:val="24"/>
          <w:lang w:val="en-US"/>
        </w:rPr>
        <w:t xml:space="preserve">umber of tumorspheres formed after 15 days of BEZ235 and EPZ011989 treatment, alone or in combination, in </w:t>
      </w:r>
      <w:r w:rsidRPr="00085F09">
        <w:rPr>
          <w:rFonts w:ascii="Times New Roman" w:hAnsi="Times New Roman" w:cs="Times New Roman"/>
          <w:sz w:val="24"/>
          <w:lang w:val="en-US"/>
        </w:rPr>
        <w:t>ALDH1</w:t>
      </w:r>
      <w:r w:rsidRPr="00085F09">
        <w:rPr>
          <w:rFonts w:ascii="Times New Roman" w:hAnsi="Times New Roman" w:cs="Times New Roman"/>
          <w:sz w:val="24"/>
          <w:vertAlign w:val="superscript"/>
          <w:lang w:val="en-US"/>
        </w:rPr>
        <w:t>high</w:t>
      </w:r>
      <w:r w:rsidRPr="00085F09">
        <w:rPr>
          <w:rFonts w:ascii="Times New Roman" w:hAnsi="Times New Roman" w:cs="Times New Roman"/>
          <w:sz w:val="24"/>
          <w:lang w:val="en-US"/>
        </w:rPr>
        <w:t xml:space="preserve"> and ALDH1</w:t>
      </w:r>
      <w:r w:rsidRPr="00085F09">
        <w:rPr>
          <w:rFonts w:ascii="Times New Roman" w:hAnsi="Times New Roman" w:cs="Times New Roman"/>
          <w:sz w:val="24"/>
          <w:vertAlign w:val="superscript"/>
          <w:lang w:val="en-US"/>
        </w:rPr>
        <w:t>low</w:t>
      </w:r>
      <w:r w:rsidRPr="00085F09">
        <w:rPr>
          <w:rFonts w:ascii="Times New Roman" w:hAnsi="Times New Roman" w:cs="Times New Roman"/>
          <w:sz w:val="24"/>
          <w:lang w:val="en-US"/>
        </w:rPr>
        <w:t xml:space="preserve"> subpopulation.</w:t>
      </w:r>
      <w:r w:rsidRPr="00085F09">
        <w:rPr>
          <w:rFonts w:ascii="Times New Roman" w:hAnsi="Times New Roman" w:cs="Times New Roman"/>
          <w:color w:val="231F20"/>
          <w:sz w:val="24"/>
          <w:lang w:val="en-US"/>
        </w:rPr>
        <w:t xml:space="preserve"> ***</w:t>
      </w:r>
      <w:r w:rsidRPr="00085F09">
        <w:rPr>
          <w:rFonts w:ascii="Times New Roman" w:hAnsi="Times New Roman" w:cs="Times New Roman"/>
          <w:i/>
          <w:color w:val="231F20"/>
          <w:sz w:val="24"/>
          <w:lang w:val="en-US"/>
        </w:rPr>
        <w:t xml:space="preserve">p </w:t>
      </w:r>
      <w:r w:rsidRPr="00085F09">
        <w:rPr>
          <w:rFonts w:ascii="Times New Roman" w:hAnsi="Times New Roman" w:cs="Times New Roman"/>
          <w:color w:val="231F20"/>
          <w:sz w:val="24"/>
          <w:lang w:val="en-US"/>
        </w:rPr>
        <w:t>&lt; 0.001, one-way</w:t>
      </w:r>
      <w:r w:rsidRPr="00085F09">
        <w:rPr>
          <w:rFonts w:ascii="Times New Roman" w:hAnsi="Times New Roman" w:cs="Times New Roman"/>
          <w:color w:val="231F20"/>
          <w:spacing w:val="-19"/>
          <w:sz w:val="24"/>
          <w:lang w:val="en-US"/>
        </w:rPr>
        <w:t xml:space="preserve"> </w:t>
      </w:r>
      <w:r w:rsidRPr="00085F09">
        <w:rPr>
          <w:rFonts w:ascii="Times New Roman" w:hAnsi="Times New Roman" w:cs="Times New Roman"/>
          <w:color w:val="231F20"/>
          <w:spacing w:val="-5"/>
          <w:sz w:val="24"/>
          <w:lang w:val="en-US"/>
        </w:rPr>
        <w:t>ANOVA.</w:t>
      </w:r>
    </w:p>
    <w:p w:rsidR="0074617C" w:rsidRDefault="0074617C">
      <w:pPr>
        <w:spacing w:after="160" w:line="259" w:lineRule="auto"/>
        <w:rPr>
          <w:rFonts w:ascii="Times New Roman" w:hAnsi="Times New Roman" w:cs="Times New Roman"/>
          <w:color w:val="231F20"/>
          <w:spacing w:val="-5"/>
          <w:sz w:val="24"/>
          <w:lang w:val="en-US"/>
        </w:rPr>
      </w:pPr>
      <w:r>
        <w:rPr>
          <w:rFonts w:ascii="Times New Roman" w:hAnsi="Times New Roman" w:cs="Times New Roman"/>
          <w:color w:val="231F20"/>
          <w:spacing w:val="-5"/>
          <w:sz w:val="24"/>
          <w:lang w:val="en-US"/>
        </w:rPr>
        <w:br w:type="page"/>
      </w:r>
    </w:p>
    <w:p w:rsidR="00A877BE" w:rsidRDefault="0074617C" w:rsidP="0074617C">
      <w:pPr>
        <w:pStyle w:val="Heading1"/>
        <w:spacing w:line="360" w:lineRule="auto"/>
        <w:rPr>
          <w:rFonts w:ascii="Times New Roman" w:hAnsi="Times New Roman" w:cs="Times New Roman"/>
          <w:b/>
          <w:color w:val="000000" w:themeColor="text1"/>
          <w:sz w:val="28"/>
          <w:lang w:val="en-US"/>
        </w:rPr>
      </w:pPr>
      <w:bookmarkStart w:id="11" w:name="_Toc523247788"/>
      <w:r>
        <w:rPr>
          <w:rFonts w:ascii="Times New Roman" w:hAnsi="Times New Roman" w:cs="Times New Roman"/>
          <w:b/>
          <w:color w:val="000000" w:themeColor="text1"/>
          <w:sz w:val="28"/>
          <w:lang w:val="en-US"/>
        </w:rPr>
        <w:lastRenderedPageBreak/>
        <w:t>Supplementary tables</w:t>
      </w:r>
      <w:bookmarkEnd w:id="11"/>
    </w:p>
    <w:p w:rsidR="006312B5" w:rsidRDefault="006312B5" w:rsidP="006312B5">
      <w:pPr>
        <w:spacing w:after="160" w:line="259" w:lineRule="auto"/>
        <w:rPr>
          <w:rFonts w:ascii="Times New Roman" w:hAnsi="Times New Roman" w:cs="Times New Roman"/>
          <w:b/>
          <w:sz w:val="24"/>
          <w:lang w:val="en-US"/>
        </w:rPr>
      </w:pPr>
    </w:p>
    <w:p w:rsidR="006312B5" w:rsidRPr="0074617C" w:rsidRDefault="006312B5" w:rsidP="006312B5">
      <w:pPr>
        <w:spacing w:after="160" w:line="259" w:lineRule="auto"/>
        <w:rPr>
          <w:rFonts w:ascii="Times New Roman" w:hAnsi="Times New Roman" w:cs="Times New Roman"/>
          <w:lang w:val="en-US"/>
        </w:rPr>
      </w:pPr>
      <w:r>
        <w:rPr>
          <w:rFonts w:ascii="Times New Roman" w:hAnsi="Times New Roman" w:cs="Times New Roman"/>
          <w:b/>
          <w:sz w:val="24"/>
          <w:lang w:val="en-US"/>
        </w:rPr>
        <w:t>Table S1</w:t>
      </w:r>
      <w:r w:rsidRPr="001876D1">
        <w:rPr>
          <w:rFonts w:ascii="Times New Roman" w:hAnsi="Times New Roman" w:cs="Times New Roman"/>
          <w:b/>
          <w:sz w:val="24"/>
          <w:lang w:val="en-US"/>
        </w:rPr>
        <w:t xml:space="preserve">. </w:t>
      </w:r>
      <w:r w:rsidR="00B75F3D">
        <w:rPr>
          <w:rFonts w:ascii="Times New Roman" w:hAnsi="Times New Roman" w:cs="Times New Roman"/>
          <w:sz w:val="24"/>
          <w:lang w:val="en-US"/>
        </w:rPr>
        <w:t>C</w:t>
      </w:r>
      <w:r w:rsidRPr="001876D1">
        <w:rPr>
          <w:rFonts w:ascii="Times New Roman" w:hAnsi="Times New Roman" w:cs="Times New Roman"/>
          <w:sz w:val="24"/>
          <w:lang w:val="en-US"/>
        </w:rPr>
        <w:t xml:space="preserve">linical parameters </w:t>
      </w:r>
      <w:r w:rsidR="00B75F3D">
        <w:rPr>
          <w:rFonts w:ascii="Times New Roman" w:hAnsi="Times New Roman" w:cs="Times New Roman"/>
          <w:sz w:val="24"/>
          <w:lang w:val="en-US"/>
        </w:rPr>
        <w:t>of</w:t>
      </w:r>
      <w:r w:rsidRPr="001876D1">
        <w:rPr>
          <w:rFonts w:ascii="Times New Roman" w:hAnsi="Times New Roman" w:cs="Times New Roman"/>
          <w:sz w:val="24"/>
          <w:lang w:val="en-US"/>
        </w:rPr>
        <w:t xml:space="preserve"> the two independent cohorts of patients with LMS.</w:t>
      </w:r>
    </w:p>
    <w:p w:rsidR="006312B5" w:rsidRPr="00914AC8" w:rsidRDefault="006312B5" w:rsidP="006312B5">
      <w:pPr>
        <w:rPr>
          <w:rFonts w:ascii="Times New Roman" w:hAnsi="Times New Roman" w:cs="Times New Roman"/>
          <w:lang w:val="en-US"/>
        </w:rPr>
      </w:pPr>
      <w:r>
        <w:rPr>
          <w:rFonts w:ascii="Times New Roman" w:hAnsi="Times New Roman" w:cs="Times New Roman"/>
          <w:b/>
          <w:noProof/>
          <w:lang w:val="en-US"/>
        </w:rPr>
        <w:drawing>
          <wp:anchor distT="0" distB="0" distL="114300" distR="114300" simplePos="0" relativeHeight="251671552" behindDoc="1" locked="0" layoutInCell="1" allowOverlap="1" wp14:anchorId="0AAE19D6" wp14:editId="5421DC8A">
            <wp:simplePos x="0" y="0"/>
            <wp:positionH relativeFrom="margin">
              <wp:align>center</wp:align>
            </wp:positionH>
            <wp:positionV relativeFrom="paragraph">
              <wp:posOffset>62230</wp:posOffset>
            </wp:positionV>
            <wp:extent cx="2750820" cy="4775200"/>
            <wp:effectExtent l="0" t="0" r="0" b="0"/>
            <wp:wrapTight wrapText="bothSides">
              <wp:wrapPolygon edited="0">
                <wp:start x="15557" y="172"/>
                <wp:lineTo x="0" y="1293"/>
                <wp:lineTo x="0" y="3016"/>
                <wp:lineTo x="1795" y="3102"/>
                <wp:lineTo x="1645" y="4136"/>
                <wp:lineTo x="0" y="5773"/>
                <wp:lineTo x="0" y="8617"/>
                <wp:lineTo x="1496" y="9996"/>
                <wp:lineTo x="1645" y="11116"/>
                <wp:lineTo x="0" y="11461"/>
                <wp:lineTo x="0" y="11978"/>
                <wp:lineTo x="1645" y="12753"/>
                <wp:lineTo x="1645" y="15338"/>
                <wp:lineTo x="0" y="15597"/>
                <wp:lineTo x="0" y="16114"/>
                <wp:lineTo x="1945" y="16889"/>
                <wp:lineTo x="1645" y="18268"/>
                <wp:lineTo x="0" y="19044"/>
                <wp:lineTo x="0" y="19561"/>
                <wp:lineTo x="1645" y="19905"/>
                <wp:lineTo x="1645" y="21112"/>
                <wp:lineTo x="3141" y="21456"/>
                <wp:lineTo x="4039" y="21456"/>
                <wp:lineTo x="20044" y="21198"/>
                <wp:lineTo x="20044" y="19905"/>
                <wp:lineTo x="19147" y="19819"/>
                <wp:lineTo x="12864" y="19647"/>
                <wp:lineTo x="19895" y="18613"/>
                <wp:lineTo x="20194" y="16631"/>
                <wp:lineTo x="18997" y="16372"/>
                <wp:lineTo x="10770" y="15511"/>
                <wp:lineTo x="18848" y="15511"/>
                <wp:lineTo x="20194" y="15338"/>
                <wp:lineTo x="20194" y="12495"/>
                <wp:lineTo x="18997" y="12236"/>
                <wp:lineTo x="10770" y="11374"/>
                <wp:lineTo x="18249" y="11374"/>
                <wp:lineTo x="20194" y="11116"/>
                <wp:lineTo x="20194" y="9048"/>
                <wp:lineTo x="18698" y="8962"/>
                <wp:lineTo x="2693" y="8617"/>
                <wp:lineTo x="19596" y="7928"/>
                <wp:lineTo x="19895" y="7324"/>
                <wp:lineTo x="19895" y="7066"/>
                <wp:lineTo x="19596" y="6463"/>
                <wp:lineTo x="3141" y="5860"/>
                <wp:lineTo x="13313" y="5860"/>
                <wp:lineTo x="20044" y="5343"/>
                <wp:lineTo x="20194" y="3274"/>
                <wp:lineTo x="18848" y="3102"/>
                <wp:lineTo x="10770" y="3102"/>
                <wp:lineTo x="21391" y="2327"/>
                <wp:lineTo x="21391" y="948"/>
                <wp:lineTo x="16903" y="172"/>
                <wp:lineTo x="15557" y="172"/>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820" cy="4775200"/>
                    </a:xfrm>
                    <a:prstGeom prst="rect">
                      <a:avLst/>
                    </a:prstGeom>
                    <a:noFill/>
                  </pic:spPr>
                </pic:pic>
              </a:graphicData>
            </a:graphic>
            <wp14:sizeRelH relativeFrom="page">
              <wp14:pctWidth>0</wp14:pctWidth>
            </wp14:sizeRelH>
            <wp14:sizeRelV relativeFrom="page">
              <wp14:pctHeight>0</wp14:pctHeight>
            </wp14:sizeRelV>
          </wp:anchor>
        </w:drawing>
      </w:r>
    </w:p>
    <w:p w:rsidR="006312B5" w:rsidRDefault="006312B5" w:rsidP="006312B5">
      <w:pPr>
        <w:rPr>
          <w:rFonts w:ascii="Times New Roman" w:hAnsi="Times New Roman" w:cs="Times New Roman"/>
          <w:b/>
          <w:lang w:val="en-US"/>
        </w:rPr>
      </w:pPr>
    </w:p>
    <w:p w:rsidR="006312B5" w:rsidRDefault="006312B5" w:rsidP="006312B5">
      <w:pPr>
        <w:rPr>
          <w:rFonts w:ascii="Times New Roman" w:hAnsi="Times New Roman" w:cs="Times New Roman"/>
          <w:b/>
          <w:lang w:val="en-US"/>
        </w:rPr>
      </w:pPr>
    </w:p>
    <w:p w:rsidR="006312B5" w:rsidRDefault="006312B5" w:rsidP="006312B5">
      <w:pPr>
        <w:rPr>
          <w:rFonts w:ascii="Times New Roman" w:hAnsi="Times New Roman" w:cs="Times New Roman"/>
          <w:b/>
          <w:lang w:val="en-US"/>
        </w:rPr>
      </w:pPr>
    </w:p>
    <w:p w:rsidR="006312B5" w:rsidRDefault="006312B5" w:rsidP="006312B5">
      <w:pPr>
        <w:spacing w:after="160" w:line="259" w:lineRule="auto"/>
        <w:rPr>
          <w:rFonts w:ascii="Times New Roman" w:hAnsi="Times New Roman" w:cs="Times New Roman"/>
          <w:sz w:val="24"/>
          <w:lang w:val="en-US"/>
        </w:rPr>
      </w:pPr>
      <w:r>
        <w:rPr>
          <w:rFonts w:ascii="Times New Roman" w:hAnsi="Times New Roman" w:cs="Times New Roman"/>
          <w:sz w:val="24"/>
          <w:lang w:val="en-US"/>
        </w:rPr>
        <w:br w:type="page"/>
      </w:r>
    </w:p>
    <w:p w:rsidR="0074617C" w:rsidRDefault="006312B5" w:rsidP="0074617C">
      <w:pPr>
        <w:spacing w:after="160" w:line="259" w:lineRule="auto"/>
        <w:rPr>
          <w:rFonts w:ascii="Times New Roman" w:hAnsi="Times New Roman" w:cs="Times New Roman"/>
          <w:sz w:val="24"/>
          <w:szCs w:val="24"/>
          <w:lang w:val="en-US"/>
        </w:rPr>
      </w:pPr>
      <w:r>
        <w:rPr>
          <w:rFonts w:ascii="Times New Roman" w:hAnsi="Times New Roman" w:cs="Times New Roman"/>
          <w:b/>
          <w:sz w:val="24"/>
          <w:lang w:val="en-US"/>
        </w:rPr>
        <w:lastRenderedPageBreak/>
        <w:t>Table S2.</w:t>
      </w:r>
      <w:r w:rsidR="0074617C" w:rsidRPr="000E53ED">
        <w:rPr>
          <w:rFonts w:ascii="Times New Roman" w:hAnsi="Times New Roman" w:cs="Times New Roman"/>
          <w:sz w:val="24"/>
          <w:lang w:val="en-US"/>
        </w:rPr>
        <w:t xml:space="preserve"> List of up-regulated genes in resIB136 xenografts (with fold-change and </w:t>
      </w:r>
      <w:r w:rsidR="0074617C" w:rsidRPr="000E53ED">
        <w:rPr>
          <w:rFonts w:ascii="Times New Roman" w:hAnsi="Times New Roman" w:cs="Times New Roman"/>
          <w:i/>
          <w:sz w:val="24"/>
          <w:lang w:val="en-US"/>
        </w:rPr>
        <w:t>p-values</w:t>
      </w:r>
      <w:r w:rsidR="0074617C" w:rsidRPr="000E53ED">
        <w:rPr>
          <w:rFonts w:ascii="Times New Roman" w:hAnsi="Times New Roman" w:cs="Times New Roman"/>
          <w:sz w:val="24"/>
          <w:lang w:val="en-US"/>
        </w:rPr>
        <w:t>).</w:t>
      </w:r>
    </w:p>
    <w:p w:rsidR="0074617C" w:rsidRDefault="0074617C" w:rsidP="0074617C">
      <w:pPr>
        <w:rPr>
          <w:rFonts w:ascii="Times New Roman" w:hAnsi="Times New Roman" w:cs="Times New Roman"/>
          <w:b/>
          <w:lang w:val="en-US"/>
        </w:rPr>
      </w:pPr>
      <w:r>
        <w:rPr>
          <w:rFonts w:ascii="Times New Roman" w:hAnsi="Times New Roman" w:cs="Times New Roman"/>
          <w:b/>
          <w:noProof/>
          <w:lang w:val="en-US"/>
        </w:rPr>
        <w:drawing>
          <wp:anchor distT="0" distB="0" distL="114300" distR="114300" simplePos="0" relativeHeight="251666432" behindDoc="1" locked="0" layoutInCell="1" allowOverlap="1" wp14:anchorId="6CCF00D2" wp14:editId="5C5F6CBA">
            <wp:simplePos x="0" y="0"/>
            <wp:positionH relativeFrom="margin">
              <wp:align>center</wp:align>
            </wp:positionH>
            <wp:positionV relativeFrom="paragraph">
              <wp:posOffset>74930</wp:posOffset>
            </wp:positionV>
            <wp:extent cx="5399405" cy="7354570"/>
            <wp:effectExtent l="0" t="0" r="0" b="0"/>
            <wp:wrapTight wrapText="bothSides">
              <wp:wrapPolygon edited="0">
                <wp:start x="0" y="0"/>
                <wp:lineTo x="0" y="21540"/>
                <wp:lineTo x="21491" y="21540"/>
                <wp:lineTo x="2149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9405" cy="7354570"/>
                    </a:xfrm>
                    <a:prstGeom prst="rect">
                      <a:avLst/>
                    </a:prstGeom>
                    <a:noFill/>
                  </pic:spPr>
                </pic:pic>
              </a:graphicData>
            </a:graphic>
            <wp14:sizeRelH relativeFrom="page">
              <wp14:pctWidth>0</wp14:pctWidth>
            </wp14:sizeRelH>
            <wp14:sizeRelV relativeFrom="page">
              <wp14:pctHeight>0</wp14:pctHeight>
            </wp14:sizeRelV>
          </wp:anchor>
        </w:drawing>
      </w:r>
    </w:p>
    <w:p w:rsidR="0074617C" w:rsidRPr="000E53ED" w:rsidRDefault="0074617C" w:rsidP="0074617C">
      <w:pPr>
        <w:rPr>
          <w:rFonts w:ascii="Times New Roman" w:hAnsi="Times New Roman" w:cs="Times New Roman"/>
          <w:sz w:val="24"/>
          <w:lang w:val="en-US"/>
        </w:rPr>
      </w:pPr>
      <w:r>
        <w:rPr>
          <w:rFonts w:ascii="Times New Roman" w:hAnsi="Times New Roman" w:cs="Times New Roman"/>
          <w:b/>
          <w:noProof/>
          <w:lang w:val="en-US"/>
        </w:rPr>
        <w:lastRenderedPageBreak/>
        <w:drawing>
          <wp:anchor distT="0" distB="0" distL="114300" distR="114300" simplePos="0" relativeHeight="251667456" behindDoc="1" locked="0" layoutInCell="1" allowOverlap="1" wp14:anchorId="53DAFFE6" wp14:editId="1397FCB7">
            <wp:simplePos x="0" y="0"/>
            <wp:positionH relativeFrom="margin">
              <wp:align>center</wp:align>
            </wp:positionH>
            <wp:positionV relativeFrom="paragraph">
              <wp:posOffset>540385</wp:posOffset>
            </wp:positionV>
            <wp:extent cx="5532120" cy="7539990"/>
            <wp:effectExtent l="0" t="0" r="0" b="3810"/>
            <wp:wrapTight wrapText="bothSides">
              <wp:wrapPolygon edited="0">
                <wp:start x="0" y="0"/>
                <wp:lineTo x="0" y="21556"/>
                <wp:lineTo x="21496" y="21556"/>
                <wp:lineTo x="2149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2120" cy="7539990"/>
                    </a:xfrm>
                    <a:prstGeom prst="rect">
                      <a:avLst/>
                    </a:prstGeom>
                    <a:noFill/>
                  </pic:spPr>
                </pic:pic>
              </a:graphicData>
            </a:graphic>
            <wp14:sizeRelH relativeFrom="page">
              <wp14:pctWidth>0</wp14:pctWidth>
            </wp14:sizeRelH>
            <wp14:sizeRelV relativeFrom="page">
              <wp14:pctHeight>0</wp14:pctHeight>
            </wp14:sizeRelV>
          </wp:anchor>
        </w:drawing>
      </w:r>
      <w:r w:rsidR="006312B5">
        <w:rPr>
          <w:rFonts w:ascii="Times New Roman" w:hAnsi="Times New Roman" w:cs="Times New Roman"/>
          <w:b/>
          <w:sz w:val="24"/>
          <w:lang w:val="en-US"/>
        </w:rPr>
        <w:t>Table S3</w:t>
      </w:r>
      <w:r w:rsidRPr="000E53ED">
        <w:rPr>
          <w:rFonts w:ascii="Times New Roman" w:hAnsi="Times New Roman" w:cs="Times New Roman"/>
          <w:b/>
          <w:sz w:val="24"/>
          <w:lang w:val="en-US"/>
        </w:rPr>
        <w:t xml:space="preserve">. </w:t>
      </w:r>
      <w:r w:rsidRPr="000E53ED">
        <w:rPr>
          <w:rFonts w:ascii="Times New Roman" w:hAnsi="Times New Roman" w:cs="Times New Roman"/>
          <w:sz w:val="24"/>
          <w:lang w:val="en-US"/>
        </w:rPr>
        <w:t xml:space="preserve">List of down-regulated genes in </w:t>
      </w:r>
      <w:bookmarkStart w:id="12" w:name="_Hlk493687961"/>
      <w:r w:rsidRPr="000E53ED">
        <w:rPr>
          <w:rFonts w:ascii="Times New Roman" w:hAnsi="Times New Roman" w:cs="Times New Roman"/>
          <w:sz w:val="24"/>
          <w:lang w:val="en-US"/>
        </w:rPr>
        <w:t xml:space="preserve">resIB136 xenografts (with fold-change and </w:t>
      </w:r>
      <w:r w:rsidRPr="000E53ED">
        <w:rPr>
          <w:rFonts w:ascii="Times New Roman" w:hAnsi="Times New Roman" w:cs="Times New Roman"/>
          <w:i/>
          <w:sz w:val="24"/>
          <w:lang w:val="en-US"/>
        </w:rPr>
        <w:t>p-values</w:t>
      </w:r>
      <w:r w:rsidRPr="000E53ED">
        <w:rPr>
          <w:rFonts w:ascii="Times New Roman" w:hAnsi="Times New Roman" w:cs="Times New Roman"/>
          <w:sz w:val="24"/>
          <w:lang w:val="en-US"/>
        </w:rPr>
        <w:t>)</w:t>
      </w:r>
      <w:bookmarkEnd w:id="12"/>
      <w:r w:rsidRPr="000E53ED">
        <w:rPr>
          <w:rFonts w:ascii="Times New Roman" w:hAnsi="Times New Roman" w:cs="Times New Roman"/>
          <w:sz w:val="24"/>
          <w:lang w:val="en-US"/>
        </w:rPr>
        <w:t>.</w:t>
      </w:r>
    </w:p>
    <w:p w:rsidR="0074617C" w:rsidRDefault="0074617C" w:rsidP="0074617C">
      <w:pPr>
        <w:rPr>
          <w:rFonts w:ascii="Times New Roman" w:hAnsi="Times New Roman" w:cs="Times New Roman"/>
          <w:sz w:val="24"/>
          <w:lang w:val="en-US"/>
        </w:rPr>
      </w:pPr>
    </w:p>
    <w:p w:rsidR="0074617C" w:rsidRDefault="0074617C" w:rsidP="0074617C">
      <w:pPr>
        <w:spacing w:after="160" w:line="259" w:lineRule="auto"/>
        <w:rPr>
          <w:rFonts w:ascii="Times New Roman" w:hAnsi="Times New Roman" w:cs="Times New Roman"/>
          <w:b/>
          <w:sz w:val="24"/>
          <w:szCs w:val="24"/>
          <w:lang w:val="en-US"/>
        </w:rPr>
      </w:pPr>
    </w:p>
    <w:p w:rsidR="00C36173" w:rsidRDefault="00C36173" w:rsidP="00C36173">
      <w:pPr>
        <w:spacing w:after="160" w:line="259" w:lineRule="auto"/>
        <w:rPr>
          <w:rFonts w:ascii="Times New Roman" w:hAnsi="Times New Roman" w:cs="Times New Roman"/>
          <w:b/>
          <w:sz w:val="24"/>
          <w:szCs w:val="24"/>
          <w:lang w:val="en-US"/>
        </w:rPr>
      </w:pPr>
      <w:r w:rsidRPr="00F15B80">
        <w:rPr>
          <w:noProof/>
          <w:lang w:val="en-US"/>
        </w:rPr>
        <w:lastRenderedPageBreak/>
        <w:drawing>
          <wp:anchor distT="0" distB="0" distL="114300" distR="114300" simplePos="0" relativeHeight="251677696" behindDoc="1" locked="0" layoutInCell="1" allowOverlap="1" wp14:anchorId="39CACB05" wp14:editId="33DB494C">
            <wp:simplePos x="0" y="0"/>
            <wp:positionH relativeFrom="margin">
              <wp:align>center</wp:align>
            </wp:positionH>
            <wp:positionV relativeFrom="paragraph">
              <wp:posOffset>295910</wp:posOffset>
            </wp:positionV>
            <wp:extent cx="5059680" cy="8129905"/>
            <wp:effectExtent l="0" t="0" r="7620" b="4445"/>
            <wp:wrapTight wrapText="bothSides">
              <wp:wrapPolygon edited="0">
                <wp:start x="0" y="0"/>
                <wp:lineTo x="0" y="21561"/>
                <wp:lineTo x="17648" y="21561"/>
                <wp:lineTo x="21551" y="21460"/>
                <wp:lineTo x="21551"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680" cy="8129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lang w:val="en-US"/>
        </w:rPr>
        <w:t>Table S4</w:t>
      </w:r>
      <w:r w:rsidRPr="000E53ED">
        <w:rPr>
          <w:rFonts w:ascii="Times New Roman" w:hAnsi="Times New Roman" w:cs="Times New Roman"/>
          <w:b/>
          <w:sz w:val="24"/>
          <w:lang w:val="en-US"/>
        </w:rPr>
        <w:t xml:space="preserve">. </w:t>
      </w:r>
      <w:r w:rsidRPr="000E53ED">
        <w:rPr>
          <w:rFonts w:ascii="Times New Roman" w:hAnsi="Times New Roman" w:cs="Times New Roman"/>
          <w:sz w:val="24"/>
          <w:lang w:val="en-US"/>
        </w:rPr>
        <w:t xml:space="preserve">List of </w:t>
      </w:r>
      <w:r>
        <w:rPr>
          <w:rFonts w:ascii="Times New Roman" w:hAnsi="Times New Roman" w:cs="Times New Roman"/>
          <w:sz w:val="24"/>
          <w:lang w:val="en-US"/>
        </w:rPr>
        <w:t>enriched pathways</w:t>
      </w:r>
      <w:r w:rsidRPr="000E53ED">
        <w:rPr>
          <w:rFonts w:ascii="Times New Roman" w:hAnsi="Times New Roman" w:cs="Times New Roman"/>
          <w:sz w:val="24"/>
          <w:lang w:val="en-US"/>
        </w:rPr>
        <w:t xml:space="preserve"> in resIB136 xenografts (with </w:t>
      </w:r>
      <w:r w:rsidRPr="000E53ED">
        <w:rPr>
          <w:rFonts w:ascii="Times New Roman" w:hAnsi="Times New Roman" w:cs="Times New Roman"/>
          <w:i/>
          <w:sz w:val="24"/>
          <w:lang w:val="en-US"/>
        </w:rPr>
        <w:t>p-values</w:t>
      </w:r>
      <w:r w:rsidRPr="000E53ED">
        <w:rPr>
          <w:rFonts w:ascii="Times New Roman" w:hAnsi="Times New Roman" w:cs="Times New Roman"/>
          <w:sz w:val="24"/>
          <w:lang w:val="en-US"/>
        </w:rPr>
        <w:t>).</w:t>
      </w:r>
    </w:p>
    <w:p w:rsidR="00C36173" w:rsidRDefault="00C36173" w:rsidP="00C36173">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C36173" w:rsidRDefault="00C36173" w:rsidP="00C36173">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Table S5</w:t>
      </w:r>
      <w:r w:rsidRPr="000E53ED">
        <w:rPr>
          <w:rFonts w:ascii="Times New Roman" w:hAnsi="Times New Roman" w:cs="Times New Roman"/>
          <w:b/>
          <w:sz w:val="24"/>
          <w:szCs w:val="24"/>
          <w:lang w:val="en-US"/>
        </w:rPr>
        <w:t xml:space="preserve">. </w:t>
      </w:r>
      <w:r w:rsidRPr="000E53ED">
        <w:rPr>
          <w:rFonts w:ascii="Times New Roman" w:hAnsi="Times New Roman" w:cs="Times New Roman"/>
          <w:sz w:val="24"/>
          <w:szCs w:val="24"/>
          <w:lang w:val="en-US"/>
        </w:rPr>
        <w:t xml:space="preserve">Enrichment of cancer stem cell-like genes in resIB136 xenografts (with fold-changes and </w:t>
      </w:r>
      <w:r w:rsidRPr="000E53ED">
        <w:rPr>
          <w:rFonts w:ascii="Times New Roman" w:hAnsi="Times New Roman" w:cs="Times New Roman"/>
          <w:i/>
          <w:sz w:val="24"/>
          <w:szCs w:val="24"/>
          <w:lang w:val="en-US"/>
        </w:rPr>
        <w:t>p-values</w:t>
      </w:r>
      <w:r w:rsidRPr="000E53ED">
        <w:rPr>
          <w:rFonts w:ascii="Times New Roman" w:hAnsi="Times New Roman" w:cs="Times New Roman"/>
          <w:sz w:val="24"/>
          <w:szCs w:val="24"/>
          <w:lang w:val="en-US"/>
        </w:rPr>
        <w:t>).</w:t>
      </w:r>
      <w:r w:rsidRPr="000E53ED">
        <w:rPr>
          <w:rFonts w:ascii="Times New Roman" w:hAnsi="Times New Roman" w:cs="Times New Roman"/>
          <w:b/>
          <w:sz w:val="24"/>
          <w:szCs w:val="24"/>
          <w:lang w:val="en-US"/>
        </w:rPr>
        <w:t xml:space="preserve"> </w:t>
      </w:r>
    </w:p>
    <w:p w:rsidR="00C36173" w:rsidRDefault="00C36173" w:rsidP="00C36173">
      <w:pPr>
        <w:spacing w:after="160" w:line="259" w:lineRule="auto"/>
        <w:rPr>
          <w:rFonts w:ascii="Times New Roman" w:hAnsi="Times New Roman" w:cs="Times New Roman"/>
          <w:b/>
          <w:sz w:val="24"/>
          <w:szCs w:val="24"/>
          <w:lang w:val="en-US"/>
        </w:rPr>
      </w:pPr>
      <w:r>
        <w:rPr>
          <w:rFonts w:ascii="Times New Roman" w:hAnsi="Times New Roman" w:cs="Times New Roman"/>
          <w:noProof/>
          <w:sz w:val="24"/>
          <w:szCs w:val="24"/>
          <w:lang w:val="en-US"/>
        </w:rPr>
        <w:drawing>
          <wp:anchor distT="0" distB="0" distL="114300" distR="114300" simplePos="0" relativeHeight="251675648" behindDoc="1" locked="0" layoutInCell="1" allowOverlap="1" wp14:anchorId="7E97B136" wp14:editId="1C766532">
            <wp:simplePos x="0" y="0"/>
            <wp:positionH relativeFrom="margin">
              <wp:align>center</wp:align>
            </wp:positionH>
            <wp:positionV relativeFrom="paragraph">
              <wp:posOffset>114300</wp:posOffset>
            </wp:positionV>
            <wp:extent cx="5442585" cy="4321810"/>
            <wp:effectExtent l="0" t="0" r="5715" b="2540"/>
            <wp:wrapTight wrapText="bothSides">
              <wp:wrapPolygon edited="0">
                <wp:start x="0" y="476"/>
                <wp:lineTo x="0" y="21517"/>
                <wp:lineTo x="21547" y="21517"/>
                <wp:lineTo x="20640" y="20470"/>
                <wp:lineTo x="20640" y="2190"/>
                <wp:lineTo x="21547" y="1333"/>
                <wp:lineTo x="21547" y="762"/>
                <wp:lineTo x="20262" y="476"/>
                <wp:lineTo x="0" y="476"/>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2585" cy="4321810"/>
                    </a:xfrm>
                    <a:prstGeom prst="rect">
                      <a:avLst/>
                    </a:prstGeom>
                    <a:noFill/>
                  </pic:spPr>
                </pic:pic>
              </a:graphicData>
            </a:graphic>
            <wp14:sizeRelH relativeFrom="page">
              <wp14:pctWidth>0</wp14:pctWidth>
            </wp14:sizeRelH>
            <wp14:sizeRelV relativeFrom="page">
              <wp14:pctHeight>0</wp14:pctHeight>
            </wp14:sizeRelV>
          </wp:anchor>
        </w:drawing>
      </w: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sz w:val="24"/>
          <w:szCs w:val="24"/>
          <w:lang w:val="en-US"/>
        </w:rPr>
      </w:pPr>
    </w:p>
    <w:p w:rsidR="00C36173" w:rsidRDefault="00C36173" w:rsidP="00C36173">
      <w:pPr>
        <w:spacing w:after="160" w:line="259" w:lineRule="auto"/>
        <w:rPr>
          <w:rFonts w:ascii="Times New Roman" w:hAnsi="Times New Roman" w:cs="Times New Roman"/>
          <w:b/>
          <w:sz w:val="24"/>
          <w:lang w:val="en-US"/>
        </w:rPr>
      </w:pPr>
      <w:r>
        <w:rPr>
          <w:rFonts w:ascii="Times New Roman" w:hAnsi="Times New Roman" w:cs="Times New Roman"/>
          <w:b/>
          <w:sz w:val="24"/>
          <w:lang w:val="en-US"/>
        </w:rPr>
        <w:br w:type="page"/>
      </w:r>
    </w:p>
    <w:p w:rsidR="00C36173" w:rsidRDefault="00C36173" w:rsidP="00C36173">
      <w:pPr>
        <w:spacing w:after="160" w:line="259" w:lineRule="auto"/>
        <w:rPr>
          <w:rFonts w:ascii="Times New Roman" w:hAnsi="Times New Roman" w:cs="Times New Roman"/>
          <w:bCs/>
          <w:sz w:val="24"/>
          <w:lang w:val="en-US"/>
        </w:rPr>
      </w:pPr>
      <w:r>
        <w:rPr>
          <w:rFonts w:ascii="Times New Roman" w:hAnsi="Times New Roman" w:cs="Times New Roman"/>
          <w:b/>
          <w:sz w:val="24"/>
          <w:lang w:val="en-US"/>
        </w:rPr>
        <w:lastRenderedPageBreak/>
        <w:t>Table S6</w:t>
      </w:r>
      <w:r w:rsidRPr="000E53ED">
        <w:rPr>
          <w:rFonts w:ascii="Times New Roman" w:hAnsi="Times New Roman" w:cs="Times New Roman"/>
          <w:b/>
          <w:sz w:val="24"/>
          <w:lang w:val="en-US"/>
        </w:rPr>
        <w:t xml:space="preserve">. </w:t>
      </w:r>
      <w:r w:rsidRPr="00B75F3D">
        <w:rPr>
          <w:rFonts w:ascii="Times New Roman" w:hAnsi="Times New Roman" w:cs="Times New Roman"/>
          <w:bCs/>
          <w:sz w:val="24"/>
          <w:lang w:val="en-US"/>
        </w:rPr>
        <w:t>Cancer-initiating cell frequencies determined on FACS-sorted cells according to ALDH1 activity after tumor xenografts in limiting dilution in NSG mice.</w:t>
      </w:r>
    </w:p>
    <w:p w:rsidR="00C36173" w:rsidRDefault="00C36173" w:rsidP="00C36173">
      <w:pPr>
        <w:spacing w:after="160" w:line="259" w:lineRule="auto"/>
        <w:rPr>
          <w:rFonts w:ascii="Times New Roman" w:hAnsi="Times New Roman" w:cs="Times New Roman"/>
          <w:bCs/>
          <w:sz w:val="24"/>
          <w:lang w:val="en-US"/>
        </w:rPr>
      </w:pPr>
    </w:p>
    <w:p w:rsidR="00C36173" w:rsidRPr="000E53ED" w:rsidRDefault="00C36173" w:rsidP="00C36173">
      <w:pPr>
        <w:spacing w:after="160" w:line="259"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514FD51" wp14:editId="1146D137">
            <wp:extent cx="5760000" cy="156834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1568343"/>
                    </a:xfrm>
                    <a:prstGeom prst="rect">
                      <a:avLst/>
                    </a:prstGeom>
                    <a:noFill/>
                  </pic:spPr>
                </pic:pic>
              </a:graphicData>
            </a:graphic>
          </wp:inline>
        </w:drawing>
      </w:r>
      <w:r w:rsidRPr="000E53ED">
        <w:rPr>
          <w:rFonts w:ascii="Times New Roman" w:hAnsi="Times New Roman" w:cs="Times New Roman"/>
          <w:sz w:val="24"/>
          <w:szCs w:val="24"/>
          <w:lang w:val="en-US"/>
        </w:rPr>
        <w:br w:type="page"/>
      </w:r>
    </w:p>
    <w:p w:rsidR="00C36173" w:rsidRPr="000E53ED" w:rsidRDefault="00C36173" w:rsidP="00C36173">
      <w:pPr>
        <w:rPr>
          <w:rFonts w:ascii="Times New Roman" w:hAnsi="Times New Roman" w:cs="Times New Roman"/>
          <w:sz w:val="24"/>
          <w:lang w:val="en-US"/>
        </w:rPr>
      </w:pPr>
      <w:r>
        <w:rPr>
          <w:rFonts w:ascii="Times New Roman" w:hAnsi="Times New Roman" w:cs="Times New Roman"/>
          <w:b/>
          <w:noProof/>
          <w:lang w:val="en-US"/>
        </w:rPr>
        <w:lastRenderedPageBreak/>
        <w:drawing>
          <wp:anchor distT="0" distB="0" distL="114300" distR="114300" simplePos="0" relativeHeight="251673600" behindDoc="1" locked="0" layoutInCell="1" allowOverlap="1" wp14:anchorId="64D4D4B7" wp14:editId="53F150FD">
            <wp:simplePos x="0" y="0"/>
            <wp:positionH relativeFrom="margin">
              <wp:posOffset>235585</wp:posOffset>
            </wp:positionH>
            <wp:positionV relativeFrom="paragraph">
              <wp:posOffset>614680</wp:posOffset>
            </wp:positionV>
            <wp:extent cx="5285105" cy="7725410"/>
            <wp:effectExtent l="0" t="0" r="0" b="8890"/>
            <wp:wrapTight wrapText="bothSides">
              <wp:wrapPolygon edited="0">
                <wp:start x="0" y="0"/>
                <wp:lineTo x="0" y="21572"/>
                <wp:lineTo x="21488" y="21572"/>
                <wp:lineTo x="2148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5105" cy="772541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lang w:val="en-US"/>
        </w:rPr>
        <w:t>Table S7</w:t>
      </w:r>
      <w:r w:rsidRPr="000E53ED">
        <w:rPr>
          <w:rFonts w:ascii="Times New Roman" w:hAnsi="Times New Roman" w:cs="Times New Roman"/>
          <w:b/>
          <w:sz w:val="24"/>
          <w:lang w:val="en-US"/>
        </w:rPr>
        <w:t xml:space="preserve">. </w:t>
      </w:r>
      <w:r w:rsidRPr="000E53ED">
        <w:rPr>
          <w:rFonts w:ascii="Times New Roman" w:hAnsi="Times New Roman" w:cs="Times New Roman"/>
          <w:sz w:val="24"/>
          <w:lang w:val="en-US"/>
        </w:rPr>
        <w:t xml:space="preserve">List of up-regulated genes in clinical sample (with fold-change and </w:t>
      </w:r>
      <w:r w:rsidRPr="000E53ED">
        <w:rPr>
          <w:rFonts w:ascii="Times New Roman" w:hAnsi="Times New Roman" w:cs="Times New Roman"/>
          <w:i/>
          <w:sz w:val="24"/>
          <w:lang w:val="en-US"/>
        </w:rPr>
        <w:t>p-values</w:t>
      </w:r>
      <w:r w:rsidRPr="000E53ED">
        <w:rPr>
          <w:rFonts w:ascii="Times New Roman" w:hAnsi="Times New Roman" w:cs="Times New Roman"/>
          <w:sz w:val="24"/>
          <w:lang w:val="en-US"/>
        </w:rPr>
        <w:t>).</w:t>
      </w: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sz w:val="24"/>
          <w:lang w:val="en-US"/>
        </w:rPr>
      </w:pPr>
    </w:p>
    <w:p w:rsidR="00C36173" w:rsidRDefault="00C36173" w:rsidP="00C36173">
      <w:pPr>
        <w:rPr>
          <w:rFonts w:ascii="Times New Roman" w:hAnsi="Times New Roman" w:cs="Times New Roman"/>
          <w:b/>
          <w:sz w:val="24"/>
          <w:lang w:val="en-US"/>
        </w:rPr>
      </w:pPr>
    </w:p>
    <w:p w:rsidR="00C36173" w:rsidRPr="000E53ED" w:rsidRDefault="00C36173" w:rsidP="00C36173">
      <w:pPr>
        <w:rPr>
          <w:rFonts w:ascii="Times New Roman" w:hAnsi="Times New Roman" w:cs="Times New Roman"/>
          <w:b/>
          <w:sz w:val="24"/>
          <w:lang w:val="en-US"/>
        </w:rPr>
      </w:pPr>
      <w:r w:rsidRPr="000E53ED">
        <w:rPr>
          <w:rFonts w:ascii="Times New Roman" w:hAnsi="Times New Roman" w:cs="Times New Roman"/>
          <w:b/>
          <w:sz w:val="24"/>
          <w:lang w:val="en-US"/>
        </w:rPr>
        <w:t>Table S</w:t>
      </w:r>
      <w:r>
        <w:rPr>
          <w:rFonts w:ascii="Times New Roman" w:hAnsi="Times New Roman" w:cs="Times New Roman"/>
          <w:b/>
          <w:sz w:val="24"/>
          <w:lang w:val="en-US"/>
        </w:rPr>
        <w:t>8</w:t>
      </w:r>
      <w:r w:rsidRPr="000E53ED">
        <w:rPr>
          <w:rFonts w:ascii="Times New Roman" w:hAnsi="Times New Roman" w:cs="Times New Roman"/>
          <w:b/>
          <w:sz w:val="24"/>
          <w:lang w:val="en-US"/>
        </w:rPr>
        <w:t xml:space="preserve">. </w:t>
      </w:r>
      <w:r w:rsidRPr="000E53ED">
        <w:rPr>
          <w:rFonts w:ascii="Times New Roman" w:hAnsi="Times New Roman" w:cs="Times New Roman"/>
          <w:sz w:val="24"/>
          <w:lang w:val="en-US"/>
        </w:rPr>
        <w:t xml:space="preserve">List of down-regulated genes in clinical sample (with fold-change and </w:t>
      </w:r>
      <w:r w:rsidRPr="000E53ED">
        <w:rPr>
          <w:rFonts w:ascii="Times New Roman" w:hAnsi="Times New Roman" w:cs="Times New Roman"/>
          <w:i/>
          <w:sz w:val="24"/>
          <w:lang w:val="en-US"/>
        </w:rPr>
        <w:t>p-values</w:t>
      </w:r>
      <w:r w:rsidRPr="000E53ED">
        <w:rPr>
          <w:rFonts w:ascii="Times New Roman" w:hAnsi="Times New Roman" w:cs="Times New Roman"/>
          <w:sz w:val="24"/>
          <w:lang w:val="en-US"/>
        </w:rPr>
        <w:t>).</w:t>
      </w:r>
    </w:p>
    <w:p w:rsidR="00C36173" w:rsidRDefault="00C36173" w:rsidP="00C36173">
      <w:pPr>
        <w:rPr>
          <w:rFonts w:ascii="Times New Roman" w:hAnsi="Times New Roman" w:cs="Times New Roman"/>
          <w:b/>
          <w:lang w:val="en-US"/>
        </w:rPr>
      </w:pPr>
      <w:r>
        <w:rPr>
          <w:rFonts w:ascii="Times New Roman" w:hAnsi="Times New Roman" w:cs="Times New Roman"/>
          <w:b/>
          <w:noProof/>
          <w:lang w:val="en-US"/>
        </w:rPr>
        <w:lastRenderedPageBreak/>
        <w:drawing>
          <wp:anchor distT="0" distB="0" distL="114300" distR="114300" simplePos="0" relativeHeight="251674624" behindDoc="1" locked="0" layoutInCell="1" allowOverlap="1" wp14:anchorId="6BBCD1F3" wp14:editId="45CF4187">
            <wp:simplePos x="0" y="0"/>
            <wp:positionH relativeFrom="margin">
              <wp:posOffset>205105</wp:posOffset>
            </wp:positionH>
            <wp:positionV relativeFrom="margin">
              <wp:posOffset>419100</wp:posOffset>
            </wp:positionV>
            <wp:extent cx="5150485" cy="7520940"/>
            <wp:effectExtent l="0" t="0" r="0" b="3810"/>
            <wp:wrapTight wrapText="bothSides">
              <wp:wrapPolygon edited="0">
                <wp:start x="0" y="0"/>
                <wp:lineTo x="0" y="21556"/>
                <wp:lineTo x="21491" y="21556"/>
                <wp:lineTo x="2149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0485" cy="7520940"/>
                    </a:xfrm>
                    <a:prstGeom prst="rect">
                      <a:avLst/>
                    </a:prstGeom>
                    <a:noFill/>
                  </pic:spPr>
                </pic:pic>
              </a:graphicData>
            </a:graphic>
            <wp14:sizeRelH relativeFrom="margin">
              <wp14:pctWidth>0</wp14:pctWidth>
            </wp14:sizeRelH>
            <wp14:sizeRelV relativeFrom="margin">
              <wp14:pctHeight>0</wp14:pctHeight>
            </wp14:sizeRelV>
          </wp:anchor>
        </w:drawing>
      </w: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lang w:val="en-US"/>
        </w:rPr>
      </w:pPr>
    </w:p>
    <w:p w:rsidR="00C36173" w:rsidRDefault="00C36173" w:rsidP="00C36173">
      <w:pPr>
        <w:rPr>
          <w:rFonts w:ascii="Times New Roman" w:hAnsi="Times New Roman" w:cs="Times New Roman"/>
          <w:b/>
          <w:sz w:val="24"/>
          <w:lang w:val="en-US"/>
        </w:rPr>
      </w:pPr>
    </w:p>
    <w:p w:rsidR="00C36173" w:rsidRPr="001876D1" w:rsidRDefault="00C36173" w:rsidP="00C36173">
      <w:pPr>
        <w:rPr>
          <w:rFonts w:ascii="Times New Roman" w:hAnsi="Times New Roman" w:cs="Times New Roman"/>
          <w:sz w:val="24"/>
          <w:lang w:val="en-US"/>
        </w:rPr>
      </w:pPr>
      <w:r w:rsidRPr="00F15B80">
        <w:rPr>
          <w:noProof/>
          <w:lang w:val="en-US"/>
        </w:rPr>
        <w:drawing>
          <wp:anchor distT="0" distB="0" distL="114300" distR="114300" simplePos="0" relativeHeight="251676672" behindDoc="1" locked="0" layoutInCell="1" allowOverlap="1" wp14:anchorId="3B11A166" wp14:editId="2E69993A">
            <wp:simplePos x="0" y="0"/>
            <wp:positionH relativeFrom="margin">
              <wp:align>center</wp:align>
            </wp:positionH>
            <wp:positionV relativeFrom="paragraph">
              <wp:posOffset>330835</wp:posOffset>
            </wp:positionV>
            <wp:extent cx="2891790" cy="8217535"/>
            <wp:effectExtent l="0" t="0" r="3810" b="0"/>
            <wp:wrapTight wrapText="bothSides">
              <wp:wrapPolygon edited="0">
                <wp:start x="0" y="0"/>
                <wp:lineTo x="0" y="21532"/>
                <wp:lineTo x="18498" y="21532"/>
                <wp:lineTo x="21059" y="21481"/>
                <wp:lineTo x="21486" y="21381"/>
                <wp:lineTo x="2148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1790" cy="821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lang w:val="en-US"/>
        </w:rPr>
        <w:t>Table S9</w:t>
      </w:r>
      <w:r w:rsidRPr="001876D1">
        <w:rPr>
          <w:rFonts w:ascii="Times New Roman" w:hAnsi="Times New Roman" w:cs="Times New Roman"/>
          <w:b/>
          <w:sz w:val="24"/>
          <w:lang w:val="en-US"/>
        </w:rPr>
        <w:t xml:space="preserve">. </w:t>
      </w:r>
      <w:r w:rsidRPr="000E53ED">
        <w:rPr>
          <w:rFonts w:ascii="Times New Roman" w:hAnsi="Times New Roman" w:cs="Times New Roman"/>
          <w:sz w:val="24"/>
          <w:lang w:val="en-US"/>
        </w:rPr>
        <w:t xml:space="preserve">List of </w:t>
      </w:r>
      <w:r>
        <w:rPr>
          <w:rFonts w:ascii="Times New Roman" w:hAnsi="Times New Roman" w:cs="Times New Roman"/>
          <w:sz w:val="24"/>
          <w:lang w:val="en-US"/>
        </w:rPr>
        <w:t xml:space="preserve">enriched pathways </w:t>
      </w:r>
      <w:r w:rsidRPr="001876D1">
        <w:rPr>
          <w:rFonts w:ascii="Times New Roman" w:hAnsi="Times New Roman" w:cs="Times New Roman"/>
          <w:sz w:val="24"/>
          <w:lang w:val="en-US"/>
        </w:rPr>
        <w:t xml:space="preserve">in </w:t>
      </w:r>
      <w:r w:rsidRPr="001876D1">
        <w:rPr>
          <w:rFonts w:ascii="Times New Roman" w:hAnsi="Times New Roman" w:cs="Times New Roman"/>
          <w:sz w:val="24"/>
          <w:lang w:val="en-US"/>
        </w:rPr>
        <w:lastRenderedPageBreak/>
        <w:t xml:space="preserve">clinical sample (with </w:t>
      </w:r>
      <w:r w:rsidRPr="001876D1">
        <w:rPr>
          <w:rFonts w:ascii="Times New Roman" w:hAnsi="Times New Roman" w:cs="Times New Roman"/>
          <w:i/>
          <w:sz w:val="24"/>
          <w:lang w:val="en-US"/>
        </w:rPr>
        <w:t>p-values</w:t>
      </w:r>
      <w:r w:rsidRPr="001876D1">
        <w:rPr>
          <w:rFonts w:ascii="Times New Roman" w:hAnsi="Times New Roman" w:cs="Times New Roman"/>
          <w:sz w:val="24"/>
          <w:lang w:val="en-US"/>
        </w:rPr>
        <w:t>).</w:t>
      </w:r>
    </w:p>
    <w:p w:rsidR="00C36173" w:rsidRPr="00FE4FDC" w:rsidRDefault="00C36173" w:rsidP="00C36173">
      <w:pPr>
        <w:spacing w:after="160" w:line="259" w:lineRule="auto"/>
        <w:rPr>
          <w:rFonts w:ascii="Times New Roman" w:hAnsi="Times New Roman" w:cs="Times New Roman"/>
          <w:lang w:val="en-US"/>
        </w:rPr>
      </w:pPr>
    </w:p>
    <w:p w:rsidR="00C36173" w:rsidRDefault="00C36173" w:rsidP="00C36173">
      <w:pPr>
        <w:spacing w:after="160" w:line="259" w:lineRule="auto"/>
        <w:rPr>
          <w:rFonts w:ascii="Times New Roman" w:hAnsi="Times New Roman" w:cs="Times New Roman"/>
          <w:lang w:val="en-US"/>
        </w:rPr>
      </w:pPr>
    </w:p>
    <w:p w:rsidR="00C36173" w:rsidRDefault="00C36173" w:rsidP="00C36173">
      <w:pPr>
        <w:spacing w:after="160" w:line="259" w:lineRule="auto"/>
        <w:rPr>
          <w:rFonts w:ascii="Times New Roman" w:hAnsi="Times New Roman" w:cs="Times New Roman"/>
          <w:b/>
          <w:sz w:val="24"/>
          <w:lang w:val="en-US"/>
        </w:rPr>
      </w:pPr>
      <w:r>
        <w:rPr>
          <w:rFonts w:ascii="Times New Roman" w:hAnsi="Times New Roman" w:cs="Times New Roman"/>
          <w:b/>
          <w:sz w:val="24"/>
          <w:lang w:val="en-US"/>
        </w:rPr>
        <w:br w:type="page"/>
      </w:r>
    </w:p>
    <w:p w:rsidR="00C36173" w:rsidRPr="001876D1" w:rsidRDefault="00C36173" w:rsidP="00C36173">
      <w:pPr>
        <w:rPr>
          <w:rFonts w:ascii="Times New Roman" w:hAnsi="Times New Roman" w:cs="Times New Roman"/>
          <w:sz w:val="24"/>
          <w:lang w:val="en-US"/>
        </w:rPr>
      </w:pPr>
      <w:r>
        <w:rPr>
          <w:rFonts w:ascii="Times New Roman" w:hAnsi="Times New Roman" w:cs="Times New Roman"/>
          <w:b/>
          <w:sz w:val="24"/>
          <w:lang w:val="en-US"/>
        </w:rPr>
        <w:lastRenderedPageBreak/>
        <w:t>Table S10</w:t>
      </w:r>
      <w:r w:rsidRPr="001876D1">
        <w:rPr>
          <w:rFonts w:ascii="Times New Roman" w:hAnsi="Times New Roman" w:cs="Times New Roman"/>
          <w:b/>
          <w:sz w:val="24"/>
          <w:lang w:val="en-US"/>
        </w:rPr>
        <w:t xml:space="preserve">. </w:t>
      </w:r>
      <w:r w:rsidRPr="001876D1">
        <w:rPr>
          <w:rFonts w:ascii="Times New Roman" w:hAnsi="Times New Roman" w:cs="Times New Roman"/>
          <w:sz w:val="24"/>
          <w:lang w:val="en-US"/>
        </w:rPr>
        <w:t xml:space="preserve">Enrichment of cancer stem cell-like genes in clinical sample (with fold-change and </w:t>
      </w:r>
      <w:r w:rsidRPr="001876D1">
        <w:rPr>
          <w:rFonts w:ascii="Times New Roman" w:hAnsi="Times New Roman" w:cs="Times New Roman"/>
          <w:i/>
          <w:sz w:val="24"/>
          <w:lang w:val="en-US"/>
        </w:rPr>
        <w:t>p-values</w:t>
      </w:r>
      <w:r w:rsidRPr="001876D1">
        <w:rPr>
          <w:rFonts w:ascii="Times New Roman" w:hAnsi="Times New Roman" w:cs="Times New Roman"/>
          <w:sz w:val="24"/>
          <w:lang w:val="en-US"/>
        </w:rPr>
        <w:t>).</w:t>
      </w:r>
    </w:p>
    <w:p w:rsidR="00C36173" w:rsidRDefault="00C36173" w:rsidP="00C36173">
      <w:pPr>
        <w:spacing w:after="160" w:line="259" w:lineRule="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78720" behindDoc="1" locked="0" layoutInCell="1" allowOverlap="1" wp14:anchorId="24281160" wp14:editId="302F5868">
            <wp:simplePos x="0" y="0"/>
            <wp:positionH relativeFrom="margin">
              <wp:align>center</wp:align>
            </wp:positionH>
            <wp:positionV relativeFrom="paragraph">
              <wp:posOffset>0</wp:posOffset>
            </wp:positionV>
            <wp:extent cx="4832350" cy="5655945"/>
            <wp:effectExtent l="0" t="0" r="6350" b="1905"/>
            <wp:wrapTight wrapText="bothSides">
              <wp:wrapPolygon edited="0">
                <wp:start x="0" y="218"/>
                <wp:lineTo x="0" y="21535"/>
                <wp:lineTo x="21543" y="21535"/>
                <wp:lineTo x="21543" y="20298"/>
                <wp:lineTo x="20692" y="20007"/>
                <wp:lineTo x="20692" y="11277"/>
                <wp:lineTo x="20351" y="10840"/>
                <wp:lineTo x="20607" y="10549"/>
                <wp:lineTo x="20521" y="1528"/>
                <wp:lineTo x="21543" y="873"/>
                <wp:lineTo x="21543" y="509"/>
                <wp:lineTo x="20266" y="218"/>
                <wp:lineTo x="0" y="218"/>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350" cy="5655945"/>
                    </a:xfrm>
                    <a:prstGeom prst="rect">
                      <a:avLst/>
                    </a:prstGeom>
                    <a:noFill/>
                  </pic:spPr>
                </pic:pic>
              </a:graphicData>
            </a:graphic>
            <wp14:sizeRelH relativeFrom="page">
              <wp14:pctWidth>0</wp14:pctWidth>
            </wp14:sizeRelH>
            <wp14:sizeRelV relativeFrom="page">
              <wp14:pctHeight>0</wp14:pctHeight>
            </wp14:sizeRelV>
          </wp:anchor>
        </w:drawing>
      </w:r>
    </w:p>
    <w:p w:rsidR="00C36173" w:rsidRDefault="00C36173" w:rsidP="00C36173">
      <w:pPr>
        <w:spacing w:after="160" w:line="259" w:lineRule="auto"/>
        <w:rPr>
          <w:rFonts w:ascii="Times New Roman" w:hAnsi="Times New Roman" w:cs="Times New Roman"/>
          <w:lang w:val="en-US"/>
        </w:rPr>
      </w:pPr>
    </w:p>
    <w:p w:rsidR="00C36173" w:rsidRDefault="00C36173" w:rsidP="00C36173">
      <w:pPr>
        <w:spacing w:after="160" w:line="259" w:lineRule="auto"/>
        <w:rPr>
          <w:rFonts w:ascii="Times New Roman" w:eastAsiaTheme="majorEastAsia" w:hAnsi="Times New Roman" w:cs="Times New Roman"/>
          <w:b/>
          <w:color w:val="000000" w:themeColor="text1"/>
          <w:sz w:val="28"/>
          <w:szCs w:val="32"/>
          <w:lang w:val="en-US"/>
        </w:rPr>
      </w:pPr>
      <w:r>
        <w:rPr>
          <w:rFonts w:ascii="Times New Roman" w:hAnsi="Times New Roman" w:cs="Times New Roman"/>
          <w:b/>
          <w:color w:val="000000" w:themeColor="text1"/>
          <w:sz w:val="28"/>
          <w:lang w:val="en-US"/>
        </w:rPr>
        <w:br w:type="page"/>
      </w:r>
    </w:p>
    <w:p w:rsidR="0074617C" w:rsidRDefault="0074617C" w:rsidP="00E33E46">
      <w:pPr>
        <w:spacing w:after="160" w:line="259" w:lineRule="auto"/>
        <w:rPr>
          <w:rFonts w:ascii="Times New Roman" w:hAnsi="Times New Roman" w:cs="Times New Roman"/>
          <w:b/>
          <w:color w:val="000000" w:themeColor="text1"/>
          <w:sz w:val="28"/>
          <w:lang w:val="en-US"/>
        </w:rPr>
      </w:pPr>
      <w:bookmarkStart w:id="13" w:name="_Toc523247789"/>
      <w:r>
        <w:rPr>
          <w:rFonts w:ascii="Times New Roman" w:hAnsi="Times New Roman" w:cs="Times New Roman"/>
          <w:b/>
          <w:color w:val="000000" w:themeColor="text1"/>
          <w:sz w:val="28"/>
          <w:lang w:val="en-US"/>
        </w:rPr>
        <w:lastRenderedPageBreak/>
        <w:t>References</w:t>
      </w:r>
      <w:bookmarkEnd w:id="13"/>
    </w:p>
    <w:p w:rsidR="0074617C" w:rsidRDefault="0074617C" w:rsidP="0074617C">
      <w:pPr>
        <w:jc w:val="both"/>
        <w:rPr>
          <w:rFonts w:ascii="Times New Roman" w:hAnsi="Times New Roman" w:cs="Times New Roman"/>
          <w:sz w:val="24"/>
          <w:lang w:val="en-US"/>
        </w:rPr>
      </w:pPr>
    </w:p>
    <w:p w:rsidR="00C36173" w:rsidRPr="00E33E46" w:rsidRDefault="00A877BE" w:rsidP="00E33E46">
      <w:pPr>
        <w:pStyle w:val="Bibliography"/>
        <w:rPr>
          <w:rFonts w:ascii="Times New Roman" w:hAnsi="Times New Roman" w:cs="Times New Roman"/>
          <w:sz w:val="24"/>
          <w:lang w:val="en-US"/>
        </w:rPr>
      </w:pPr>
      <w:r w:rsidRPr="001C47F2">
        <w:rPr>
          <w:lang w:val="en-US"/>
        </w:rPr>
        <w:fldChar w:fldCharType="begin"/>
      </w:r>
      <w:r w:rsidR="00C36173">
        <w:rPr>
          <w:lang w:val="en-US"/>
        </w:rPr>
        <w:instrText xml:space="preserve"> ADDIN ZOTERO_BIBL {"uncited":[],"omitted":[],"custom":[]} CSL_BIBLIOGRAPHY </w:instrText>
      </w:r>
      <w:r w:rsidRPr="001C47F2">
        <w:rPr>
          <w:lang w:val="en-US"/>
        </w:rPr>
        <w:fldChar w:fldCharType="separate"/>
      </w:r>
      <w:r w:rsidR="00C36173" w:rsidRPr="00E33E46">
        <w:rPr>
          <w:rFonts w:ascii="Times New Roman" w:hAnsi="Times New Roman" w:cs="Times New Roman"/>
          <w:sz w:val="24"/>
          <w:lang w:val="en-US"/>
        </w:rPr>
        <w:t xml:space="preserve">1. </w:t>
      </w:r>
      <w:r w:rsidR="00C36173" w:rsidRPr="00E33E46">
        <w:rPr>
          <w:rFonts w:ascii="Times New Roman" w:hAnsi="Times New Roman" w:cs="Times New Roman"/>
          <w:sz w:val="24"/>
          <w:lang w:val="en-US"/>
        </w:rPr>
        <w:tab/>
        <w:t>Harlow E, Lane D. Lysing tissue-culture cells for immunoprecipitation. CSH Protoc. 2006. doi:10.1101/pdb.prot4531.</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2. </w:t>
      </w:r>
      <w:r w:rsidRPr="00E33E46">
        <w:rPr>
          <w:rFonts w:ascii="Times New Roman" w:hAnsi="Times New Roman" w:cs="Times New Roman"/>
          <w:sz w:val="24"/>
          <w:lang w:val="en-US"/>
        </w:rPr>
        <w:tab/>
        <w:t>Wilhelm BT, Landry J-R. RNA-Seq-quantitative measurement of expression through massively parallel RNA-sequencing. Methods San Diego Calif 2009; 48(3):249–257.</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3. </w:t>
      </w:r>
      <w:r w:rsidRPr="00E33E46">
        <w:rPr>
          <w:rFonts w:ascii="Times New Roman" w:hAnsi="Times New Roman" w:cs="Times New Roman"/>
          <w:sz w:val="24"/>
          <w:lang w:val="en-US"/>
        </w:rPr>
        <w:tab/>
        <w:t>najoshi. sickle: Windowed Adaptive Trimming for fastq files using quality, 2017.</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4. </w:t>
      </w:r>
      <w:r w:rsidRPr="00E33E46">
        <w:rPr>
          <w:rFonts w:ascii="Times New Roman" w:hAnsi="Times New Roman" w:cs="Times New Roman"/>
          <w:sz w:val="24"/>
          <w:lang w:val="en-US"/>
        </w:rPr>
        <w:tab/>
        <w:t>John JS. SeqPrep: Tool for stripping adaptors and/or merging paired reads with overlap into single reads, 2017.</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5. </w:t>
      </w:r>
      <w:r w:rsidRPr="00E33E46">
        <w:rPr>
          <w:rFonts w:ascii="Times New Roman" w:hAnsi="Times New Roman" w:cs="Times New Roman"/>
          <w:sz w:val="24"/>
          <w:lang w:val="en-US"/>
        </w:rPr>
        <w:tab/>
        <w:t>Langmead B, Salzberg SL. Fast gapped-read alignment with Bowtie 2. Nat. Methods 2012; 9(4):357–359.</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6. </w:t>
      </w:r>
      <w:r w:rsidRPr="00E33E46">
        <w:rPr>
          <w:rFonts w:ascii="Times New Roman" w:hAnsi="Times New Roman" w:cs="Times New Roman"/>
          <w:sz w:val="24"/>
          <w:lang w:val="en-US"/>
        </w:rPr>
        <w:tab/>
        <w:t>Li H, Handsaker B, Wysoker A et al. The Sequence Alignment/Map format and SAMtools. Bioinforma. Oxf. Engl. 2009; 25(16):2078–2079.</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7. </w:t>
      </w:r>
      <w:r w:rsidRPr="00E33E46">
        <w:rPr>
          <w:rFonts w:ascii="Times New Roman" w:hAnsi="Times New Roman" w:cs="Times New Roman"/>
          <w:sz w:val="24"/>
          <w:lang w:val="en-US"/>
        </w:rPr>
        <w:tab/>
        <w:t>Anders S, Pyl PT, Huber W. HTSeq--a Python framework to work with high-throughput sequencing data. Bioinforma. Oxf. Engl. 2015; 31(2):166–169.</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8. </w:t>
      </w:r>
      <w:r w:rsidRPr="00E33E46">
        <w:rPr>
          <w:rFonts w:ascii="Times New Roman" w:hAnsi="Times New Roman" w:cs="Times New Roman"/>
          <w:sz w:val="24"/>
          <w:lang w:val="en-US"/>
        </w:rPr>
        <w:tab/>
        <w:t>Law CW, Chen Y, Shi W, Smyth GK. voom: Precision weights unlock linear model analysis tools for RNA-seq read counts. Genome Biol. 2014; 15(2):R29.</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9. </w:t>
      </w:r>
      <w:r w:rsidRPr="00E33E46">
        <w:rPr>
          <w:rFonts w:ascii="Times New Roman" w:hAnsi="Times New Roman" w:cs="Times New Roman"/>
          <w:sz w:val="24"/>
          <w:lang w:val="en-US"/>
        </w:rPr>
        <w:tab/>
        <w:t>Ritchie ME, Phipson B, Wu D et al. limma powers differential expression analyses for RNA-sequencing and microarray studies. Nucleic Acids Res. 2015; 43(7):e47.</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10. </w:t>
      </w:r>
      <w:r w:rsidRPr="00E33E46">
        <w:rPr>
          <w:rFonts w:ascii="Times New Roman" w:hAnsi="Times New Roman" w:cs="Times New Roman"/>
          <w:sz w:val="24"/>
          <w:lang w:val="en-US"/>
        </w:rPr>
        <w:tab/>
        <w:t>Benjamini Y, Hochberg Y. Controlling the False Discovery Rate: A Practical and Powerful Approach to Multiple Testing. J. R. Stat. Soc. Ser. B Methodol. 1995; 57(1):289–300.</w:t>
      </w:r>
    </w:p>
    <w:p w:rsidR="00C36173" w:rsidRPr="00E33E46" w:rsidRDefault="00C36173" w:rsidP="00E33E46">
      <w:pPr>
        <w:pStyle w:val="Bibliography"/>
        <w:rPr>
          <w:rFonts w:ascii="Times New Roman" w:hAnsi="Times New Roman" w:cs="Times New Roman"/>
          <w:sz w:val="24"/>
        </w:rPr>
      </w:pPr>
      <w:r w:rsidRPr="00E33E46">
        <w:rPr>
          <w:rFonts w:ascii="Times New Roman" w:hAnsi="Times New Roman" w:cs="Times New Roman"/>
          <w:sz w:val="24"/>
          <w:lang w:val="en-US"/>
        </w:rPr>
        <w:t xml:space="preserve">11. </w:t>
      </w:r>
      <w:r w:rsidRPr="00E33E46">
        <w:rPr>
          <w:rFonts w:ascii="Times New Roman" w:hAnsi="Times New Roman" w:cs="Times New Roman"/>
          <w:sz w:val="24"/>
          <w:lang w:val="en-US"/>
        </w:rPr>
        <w:tab/>
        <w:t xml:space="preserve">Subramanian A, Tamayo P, Mootha VK et al. Gene set enrichment analysis: a knowledge-based approach for interpreting genome-wide expression profiles. </w:t>
      </w:r>
      <w:r w:rsidRPr="00E33E46">
        <w:rPr>
          <w:rFonts w:ascii="Times New Roman" w:hAnsi="Times New Roman" w:cs="Times New Roman"/>
          <w:sz w:val="24"/>
        </w:rPr>
        <w:t>Proc. Natl. Acad. Sci. U. S. A. 2005; 102(43):15545–15550.</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rPr>
        <w:t xml:space="preserve">12. </w:t>
      </w:r>
      <w:r w:rsidRPr="00E33E46">
        <w:rPr>
          <w:rFonts w:ascii="Times New Roman" w:hAnsi="Times New Roman" w:cs="Times New Roman"/>
          <w:sz w:val="24"/>
        </w:rPr>
        <w:tab/>
        <w:t xml:space="preserve">Vogelstein B, Papadopoulos N, Velculescu VE et al. </w:t>
      </w:r>
      <w:r w:rsidRPr="00E33E46">
        <w:rPr>
          <w:rFonts w:ascii="Times New Roman" w:hAnsi="Times New Roman" w:cs="Times New Roman"/>
          <w:sz w:val="24"/>
          <w:lang w:val="en-US"/>
        </w:rPr>
        <w:t>Cancer genome landscapes. Science 2013; 339(6127):1546–1558.</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t xml:space="preserve">13. </w:t>
      </w:r>
      <w:r w:rsidRPr="00E33E46">
        <w:rPr>
          <w:rFonts w:ascii="Times New Roman" w:hAnsi="Times New Roman" w:cs="Times New Roman"/>
          <w:sz w:val="24"/>
          <w:lang w:val="en-US"/>
        </w:rPr>
        <w:tab/>
        <w:t>Singh RR, Patel KP, Routbort MJ et al. Clinical massively parallel next-generation sequencing analysis of 409 cancer-related genes for mutations and copy number variations in solid tumours. Br. J. Cancer 2014; 111(10):2014–2023.</w:t>
      </w:r>
    </w:p>
    <w:p w:rsidR="00C36173" w:rsidRPr="00E33E46" w:rsidRDefault="00C36173" w:rsidP="00E33E46">
      <w:pPr>
        <w:pStyle w:val="Bibliography"/>
        <w:rPr>
          <w:rFonts w:ascii="Times New Roman" w:hAnsi="Times New Roman" w:cs="Times New Roman"/>
          <w:sz w:val="24"/>
        </w:rPr>
      </w:pPr>
      <w:r w:rsidRPr="00E33E46">
        <w:rPr>
          <w:rFonts w:ascii="Times New Roman" w:hAnsi="Times New Roman" w:cs="Times New Roman"/>
          <w:sz w:val="24"/>
          <w:lang w:val="en-US"/>
        </w:rPr>
        <w:t xml:space="preserve">14. </w:t>
      </w:r>
      <w:r w:rsidRPr="00E33E46">
        <w:rPr>
          <w:rFonts w:ascii="Times New Roman" w:hAnsi="Times New Roman" w:cs="Times New Roman"/>
          <w:sz w:val="24"/>
          <w:lang w:val="en-US"/>
        </w:rPr>
        <w:tab/>
        <w:t xml:space="preserve">Huang DW, Sherman BT, Lempicki RA. Bioinformatics enrichment tools: paths toward the comprehensive functional analysis of large gene lists. </w:t>
      </w:r>
      <w:r w:rsidRPr="00E33E46">
        <w:rPr>
          <w:rFonts w:ascii="Times New Roman" w:hAnsi="Times New Roman" w:cs="Times New Roman"/>
          <w:sz w:val="24"/>
        </w:rPr>
        <w:t>Nucleic Acids Res. 2009; 37(1):1–13.</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rPr>
        <w:t xml:space="preserve">15. </w:t>
      </w:r>
      <w:r w:rsidRPr="00E33E46">
        <w:rPr>
          <w:rFonts w:ascii="Times New Roman" w:hAnsi="Times New Roman" w:cs="Times New Roman"/>
          <w:sz w:val="24"/>
        </w:rPr>
        <w:tab/>
        <w:t xml:space="preserve">Fourneaux B, Chaire V, Lucchesi C et al. </w:t>
      </w:r>
      <w:r w:rsidRPr="00E33E46">
        <w:rPr>
          <w:rFonts w:ascii="Times New Roman" w:hAnsi="Times New Roman" w:cs="Times New Roman"/>
          <w:sz w:val="24"/>
          <w:lang w:val="en-US"/>
        </w:rPr>
        <w:t>Dual inhibition of the PI3K/AKT/mTOR pathway suppresses the growth of leiomyosarcomas but leads to ERK activation through mTORC2: biological and clinical implications. Oncotarget 2017; 8(5):7878–7890.</w:t>
      </w:r>
    </w:p>
    <w:p w:rsidR="00C36173" w:rsidRPr="00E33E46" w:rsidRDefault="00C36173" w:rsidP="00E33E46">
      <w:pPr>
        <w:pStyle w:val="Bibliography"/>
        <w:rPr>
          <w:rFonts w:ascii="Times New Roman" w:hAnsi="Times New Roman" w:cs="Times New Roman"/>
          <w:sz w:val="24"/>
          <w:lang w:val="en-US"/>
        </w:rPr>
      </w:pPr>
      <w:r w:rsidRPr="00E33E46">
        <w:rPr>
          <w:rFonts w:ascii="Times New Roman" w:hAnsi="Times New Roman" w:cs="Times New Roman"/>
          <w:sz w:val="24"/>
          <w:lang w:val="en-US"/>
        </w:rPr>
        <w:lastRenderedPageBreak/>
        <w:t xml:space="preserve">16. </w:t>
      </w:r>
      <w:r w:rsidRPr="00E33E46">
        <w:rPr>
          <w:rFonts w:ascii="Times New Roman" w:hAnsi="Times New Roman" w:cs="Times New Roman"/>
          <w:sz w:val="24"/>
          <w:lang w:val="en-US"/>
        </w:rPr>
        <w:tab/>
        <w:t>Bonnefoix T, Bonnefoix P, Callanan M et al. Graphical representation of a generalized linear model-based statistical test estimating the fit of the single-hit Poisson model to limiting dilution assays. J. Immunol. Baltim. Md 1950 2001; 167(10):5725–5730.</w:t>
      </w:r>
    </w:p>
    <w:p w:rsidR="00C36173" w:rsidRPr="00E33E46" w:rsidRDefault="00C36173" w:rsidP="00E33E46">
      <w:pPr>
        <w:pStyle w:val="Bibliography"/>
        <w:rPr>
          <w:rFonts w:ascii="Times New Roman" w:hAnsi="Times New Roman" w:cs="Times New Roman"/>
          <w:sz w:val="24"/>
        </w:rPr>
      </w:pPr>
      <w:r w:rsidRPr="00E33E46">
        <w:rPr>
          <w:rFonts w:ascii="Times New Roman" w:hAnsi="Times New Roman" w:cs="Times New Roman"/>
          <w:sz w:val="24"/>
          <w:lang w:val="en-US"/>
        </w:rPr>
        <w:t xml:space="preserve">17. </w:t>
      </w:r>
      <w:r w:rsidRPr="00E33E46">
        <w:rPr>
          <w:rFonts w:ascii="Times New Roman" w:hAnsi="Times New Roman" w:cs="Times New Roman"/>
          <w:sz w:val="24"/>
          <w:lang w:val="en-US"/>
        </w:rPr>
        <w:tab/>
        <w:t xml:space="preserve">Hu Y, Smyth GK. ELDA: Extreme limiting dilution analysis for comparing depleted and enriched populations in stem cell and other assays. </w:t>
      </w:r>
      <w:r w:rsidRPr="00E33E46">
        <w:rPr>
          <w:rFonts w:ascii="Times New Roman" w:hAnsi="Times New Roman" w:cs="Times New Roman"/>
          <w:sz w:val="24"/>
        </w:rPr>
        <w:t>J. Immunol. Methods 2009; 347(1):70–78.</w:t>
      </w:r>
    </w:p>
    <w:p w:rsidR="00A877BE" w:rsidRPr="0074617C" w:rsidRDefault="00A877BE" w:rsidP="001C47F2">
      <w:pPr>
        <w:spacing w:after="0" w:line="360" w:lineRule="auto"/>
        <w:jc w:val="both"/>
        <w:rPr>
          <w:rFonts w:ascii="Times New Roman" w:hAnsi="Times New Roman" w:cs="Times New Roman"/>
          <w:sz w:val="24"/>
          <w:szCs w:val="24"/>
          <w:lang w:val="en-US"/>
        </w:rPr>
      </w:pPr>
      <w:r w:rsidRPr="001C47F2">
        <w:rPr>
          <w:rFonts w:ascii="Times New Roman" w:hAnsi="Times New Roman" w:cs="Times New Roman"/>
          <w:sz w:val="24"/>
          <w:szCs w:val="24"/>
          <w:lang w:val="en-US"/>
        </w:rPr>
        <w:fldChar w:fldCharType="end"/>
      </w:r>
    </w:p>
    <w:sectPr w:rsidR="00A877BE" w:rsidRPr="0074617C">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064" w:rsidRDefault="003A3064" w:rsidP="0077354B">
      <w:pPr>
        <w:spacing w:after="0" w:line="240" w:lineRule="auto"/>
      </w:pPr>
      <w:r>
        <w:separator/>
      </w:r>
    </w:p>
  </w:endnote>
  <w:endnote w:type="continuationSeparator" w:id="0">
    <w:p w:rsidR="003A3064" w:rsidRDefault="003A3064" w:rsidP="00773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379115"/>
      <w:docPartObj>
        <w:docPartGallery w:val="Page Numbers (Bottom of Page)"/>
        <w:docPartUnique/>
      </w:docPartObj>
    </w:sdtPr>
    <w:sdtEndPr>
      <w:rPr>
        <w:noProof/>
      </w:rPr>
    </w:sdtEndPr>
    <w:sdtContent>
      <w:p w:rsidR="0077354B" w:rsidRDefault="0077354B">
        <w:pPr>
          <w:pStyle w:val="Footer"/>
          <w:jc w:val="right"/>
        </w:pPr>
        <w:r>
          <w:fldChar w:fldCharType="begin"/>
        </w:r>
        <w:r>
          <w:instrText xml:space="preserve"> PAGE   \* MERGEFORMAT </w:instrText>
        </w:r>
        <w:r>
          <w:fldChar w:fldCharType="separate"/>
        </w:r>
        <w:r w:rsidR="004A42DF">
          <w:rPr>
            <w:noProof/>
          </w:rPr>
          <w:t>1</w:t>
        </w:r>
        <w:r>
          <w:rPr>
            <w:noProof/>
          </w:rPr>
          <w:fldChar w:fldCharType="end"/>
        </w:r>
      </w:p>
    </w:sdtContent>
  </w:sdt>
  <w:p w:rsidR="0077354B" w:rsidRDefault="007735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064" w:rsidRDefault="003A3064" w:rsidP="0077354B">
      <w:pPr>
        <w:spacing w:after="0" w:line="240" w:lineRule="auto"/>
      </w:pPr>
      <w:r>
        <w:separator/>
      </w:r>
    </w:p>
  </w:footnote>
  <w:footnote w:type="continuationSeparator" w:id="0">
    <w:p w:rsidR="003A3064" w:rsidRDefault="003A3064" w:rsidP="007735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15C32"/>
    <w:multiLevelType w:val="multilevel"/>
    <w:tmpl w:val="040C001D"/>
    <w:styleLink w:val="Style1"/>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53407E77"/>
    <w:multiLevelType w:val="multilevel"/>
    <w:tmpl w:val="040C001D"/>
    <w:numStyleLink w:val="Style1"/>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oine italiano">
    <w15:presenceInfo w15:providerId="Windows Live" w15:userId="fb7c5fc6f1e325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0"/>
  </w:docVars>
  <w:rsids>
    <w:rsidRoot w:val="0077354B"/>
    <w:rsid w:val="000D33F6"/>
    <w:rsid w:val="0019394D"/>
    <w:rsid w:val="001C47F2"/>
    <w:rsid w:val="002E1E68"/>
    <w:rsid w:val="002E2745"/>
    <w:rsid w:val="002E483F"/>
    <w:rsid w:val="00331620"/>
    <w:rsid w:val="00370D2E"/>
    <w:rsid w:val="003A3064"/>
    <w:rsid w:val="004479DA"/>
    <w:rsid w:val="004A42DF"/>
    <w:rsid w:val="006223D2"/>
    <w:rsid w:val="006312B5"/>
    <w:rsid w:val="006446BC"/>
    <w:rsid w:val="00696E6D"/>
    <w:rsid w:val="0074617C"/>
    <w:rsid w:val="0076560B"/>
    <w:rsid w:val="0077354B"/>
    <w:rsid w:val="007A7A68"/>
    <w:rsid w:val="008822CD"/>
    <w:rsid w:val="008B5835"/>
    <w:rsid w:val="009C4FB3"/>
    <w:rsid w:val="009D7F14"/>
    <w:rsid w:val="00A708AA"/>
    <w:rsid w:val="00A84382"/>
    <w:rsid w:val="00A877BE"/>
    <w:rsid w:val="00A949CF"/>
    <w:rsid w:val="00AD2F6F"/>
    <w:rsid w:val="00B75F3D"/>
    <w:rsid w:val="00B80EE4"/>
    <w:rsid w:val="00C23830"/>
    <w:rsid w:val="00C36173"/>
    <w:rsid w:val="00D04F7D"/>
    <w:rsid w:val="00E33E46"/>
    <w:rsid w:val="00F24447"/>
    <w:rsid w:val="00FF2F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54B"/>
    <w:pPr>
      <w:spacing w:after="200" w:line="276" w:lineRule="auto"/>
    </w:pPr>
  </w:style>
  <w:style w:type="paragraph" w:styleId="Heading1">
    <w:name w:val="heading 1"/>
    <w:basedOn w:val="Normal"/>
    <w:next w:val="Normal"/>
    <w:link w:val="Heading1Char"/>
    <w:uiPriority w:val="9"/>
    <w:qFormat/>
    <w:rsid w:val="007735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54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354B"/>
  </w:style>
  <w:style w:type="paragraph" w:styleId="Footer">
    <w:name w:val="footer"/>
    <w:basedOn w:val="Normal"/>
    <w:link w:val="FooterChar"/>
    <w:uiPriority w:val="99"/>
    <w:unhideWhenUsed/>
    <w:rsid w:val="007735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354B"/>
  </w:style>
  <w:style w:type="character" w:customStyle="1" w:styleId="Heading1Char">
    <w:name w:val="Heading 1 Char"/>
    <w:basedOn w:val="DefaultParagraphFont"/>
    <w:link w:val="Heading1"/>
    <w:uiPriority w:val="9"/>
    <w:rsid w:val="0077354B"/>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77354B"/>
  </w:style>
  <w:style w:type="character" w:customStyle="1" w:styleId="fmainbody">
    <w:name w:val="f_mainbody"/>
    <w:basedOn w:val="DefaultParagraphFont"/>
    <w:rsid w:val="0077354B"/>
    <w:rPr>
      <w:rFonts w:ascii="Helvetica" w:hAnsi="Helvetica" w:cs="Helvetica" w:hint="default"/>
      <w:b w:val="0"/>
      <w:bCs w:val="0"/>
      <w:color w:val="000000"/>
      <w:sz w:val="22"/>
      <w:szCs w:val="22"/>
    </w:rPr>
  </w:style>
  <w:style w:type="numbering" w:customStyle="1" w:styleId="Style1">
    <w:name w:val="Style1"/>
    <w:uiPriority w:val="99"/>
    <w:rsid w:val="00C23830"/>
    <w:pPr>
      <w:numPr>
        <w:numId w:val="1"/>
      </w:numPr>
    </w:pPr>
  </w:style>
  <w:style w:type="paragraph" w:styleId="ListParagraph">
    <w:name w:val="List Paragraph"/>
    <w:basedOn w:val="Normal"/>
    <w:uiPriority w:val="34"/>
    <w:qFormat/>
    <w:rsid w:val="00C23830"/>
    <w:pPr>
      <w:ind w:left="720"/>
      <w:contextualSpacing/>
    </w:pPr>
  </w:style>
  <w:style w:type="paragraph" w:styleId="TOCHeading">
    <w:name w:val="TOC Heading"/>
    <w:basedOn w:val="Heading1"/>
    <w:next w:val="Normal"/>
    <w:uiPriority w:val="39"/>
    <w:unhideWhenUsed/>
    <w:qFormat/>
    <w:rsid w:val="00C23830"/>
    <w:pPr>
      <w:spacing w:line="259" w:lineRule="auto"/>
      <w:outlineLvl w:val="9"/>
    </w:pPr>
    <w:rPr>
      <w:lang w:val="en-US"/>
    </w:rPr>
  </w:style>
  <w:style w:type="paragraph" w:styleId="TOC1">
    <w:name w:val="toc 1"/>
    <w:basedOn w:val="Normal"/>
    <w:next w:val="Normal"/>
    <w:autoRedefine/>
    <w:uiPriority w:val="39"/>
    <w:unhideWhenUsed/>
    <w:rsid w:val="00C23830"/>
    <w:pPr>
      <w:spacing w:after="100"/>
    </w:pPr>
  </w:style>
  <w:style w:type="character" w:styleId="Hyperlink">
    <w:name w:val="Hyperlink"/>
    <w:basedOn w:val="DefaultParagraphFont"/>
    <w:uiPriority w:val="99"/>
    <w:unhideWhenUsed/>
    <w:rsid w:val="00C23830"/>
    <w:rPr>
      <w:color w:val="0563C1" w:themeColor="hyperlink"/>
      <w:u w:val="single"/>
    </w:rPr>
  </w:style>
  <w:style w:type="paragraph" w:styleId="Bibliography">
    <w:name w:val="Bibliography"/>
    <w:basedOn w:val="Normal"/>
    <w:next w:val="Normal"/>
    <w:uiPriority w:val="37"/>
    <w:unhideWhenUsed/>
    <w:rsid w:val="00A877BE"/>
    <w:pPr>
      <w:tabs>
        <w:tab w:val="left" w:pos="384"/>
      </w:tabs>
      <w:spacing w:after="240" w:line="240" w:lineRule="auto"/>
      <w:ind w:left="384" w:hanging="384"/>
    </w:pPr>
  </w:style>
  <w:style w:type="paragraph" w:styleId="BalloonText">
    <w:name w:val="Balloon Text"/>
    <w:basedOn w:val="Normal"/>
    <w:link w:val="BalloonTextChar"/>
    <w:uiPriority w:val="99"/>
    <w:semiHidden/>
    <w:unhideWhenUsed/>
    <w:rsid w:val="00C36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17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54B"/>
    <w:pPr>
      <w:spacing w:after="200" w:line="276" w:lineRule="auto"/>
    </w:pPr>
  </w:style>
  <w:style w:type="paragraph" w:styleId="Heading1">
    <w:name w:val="heading 1"/>
    <w:basedOn w:val="Normal"/>
    <w:next w:val="Normal"/>
    <w:link w:val="Heading1Char"/>
    <w:uiPriority w:val="9"/>
    <w:qFormat/>
    <w:rsid w:val="007735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54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354B"/>
  </w:style>
  <w:style w:type="paragraph" w:styleId="Footer">
    <w:name w:val="footer"/>
    <w:basedOn w:val="Normal"/>
    <w:link w:val="FooterChar"/>
    <w:uiPriority w:val="99"/>
    <w:unhideWhenUsed/>
    <w:rsid w:val="007735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354B"/>
  </w:style>
  <w:style w:type="character" w:customStyle="1" w:styleId="Heading1Char">
    <w:name w:val="Heading 1 Char"/>
    <w:basedOn w:val="DefaultParagraphFont"/>
    <w:link w:val="Heading1"/>
    <w:uiPriority w:val="9"/>
    <w:rsid w:val="0077354B"/>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77354B"/>
  </w:style>
  <w:style w:type="character" w:customStyle="1" w:styleId="fmainbody">
    <w:name w:val="f_mainbody"/>
    <w:basedOn w:val="DefaultParagraphFont"/>
    <w:rsid w:val="0077354B"/>
    <w:rPr>
      <w:rFonts w:ascii="Helvetica" w:hAnsi="Helvetica" w:cs="Helvetica" w:hint="default"/>
      <w:b w:val="0"/>
      <w:bCs w:val="0"/>
      <w:color w:val="000000"/>
      <w:sz w:val="22"/>
      <w:szCs w:val="22"/>
    </w:rPr>
  </w:style>
  <w:style w:type="numbering" w:customStyle="1" w:styleId="Style1">
    <w:name w:val="Style1"/>
    <w:uiPriority w:val="99"/>
    <w:rsid w:val="00C23830"/>
    <w:pPr>
      <w:numPr>
        <w:numId w:val="1"/>
      </w:numPr>
    </w:pPr>
  </w:style>
  <w:style w:type="paragraph" w:styleId="ListParagraph">
    <w:name w:val="List Paragraph"/>
    <w:basedOn w:val="Normal"/>
    <w:uiPriority w:val="34"/>
    <w:qFormat/>
    <w:rsid w:val="00C23830"/>
    <w:pPr>
      <w:ind w:left="720"/>
      <w:contextualSpacing/>
    </w:pPr>
  </w:style>
  <w:style w:type="paragraph" w:styleId="TOCHeading">
    <w:name w:val="TOC Heading"/>
    <w:basedOn w:val="Heading1"/>
    <w:next w:val="Normal"/>
    <w:uiPriority w:val="39"/>
    <w:unhideWhenUsed/>
    <w:qFormat/>
    <w:rsid w:val="00C23830"/>
    <w:pPr>
      <w:spacing w:line="259" w:lineRule="auto"/>
      <w:outlineLvl w:val="9"/>
    </w:pPr>
    <w:rPr>
      <w:lang w:val="en-US"/>
    </w:rPr>
  </w:style>
  <w:style w:type="paragraph" w:styleId="TOC1">
    <w:name w:val="toc 1"/>
    <w:basedOn w:val="Normal"/>
    <w:next w:val="Normal"/>
    <w:autoRedefine/>
    <w:uiPriority w:val="39"/>
    <w:unhideWhenUsed/>
    <w:rsid w:val="00C23830"/>
    <w:pPr>
      <w:spacing w:after="100"/>
    </w:pPr>
  </w:style>
  <w:style w:type="character" w:styleId="Hyperlink">
    <w:name w:val="Hyperlink"/>
    <w:basedOn w:val="DefaultParagraphFont"/>
    <w:uiPriority w:val="99"/>
    <w:unhideWhenUsed/>
    <w:rsid w:val="00C23830"/>
    <w:rPr>
      <w:color w:val="0563C1" w:themeColor="hyperlink"/>
      <w:u w:val="single"/>
    </w:rPr>
  </w:style>
  <w:style w:type="paragraph" w:styleId="Bibliography">
    <w:name w:val="Bibliography"/>
    <w:basedOn w:val="Normal"/>
    <w:next w:val="Normal"/>
    <w:uiPriority w:val="37"/>
    <w:unhideWhenUsed/>
    <w:rsid w:val="00A877BE"/>
    <w:pPr>
      <w:tabs>
        <w:tab w:val="left" w:pos="384"/>
      </w:tabs>
      <w:spacing w:after="240" w:line="240" w:lineRule="auto"/>
      <w:ind w:left="384" w:hanging="384"/>
    </w:pPr>
  </w:style>
  <w:style w:type="paragraph" w:styleId="BalloonText">
    <w:name w:val="Balloon Text"/>
    <w:basedOn w:val="Normal"/>
    <w:link w:val="BalloonTextChar"/>
    <w:uiPriority w:val="99"/>
    <w:semiHidden/>
    <w:unhideWhenUsed/>
    <w:rsid w:val="00C36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1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broadinstitute.github.io"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BF386-9C06-4E02-B50B-4FE9D26CC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7572</Words>
  <Characters>44147</Characters>
  <Application>Microsoft Office Word</Application>
  <DocSecurity>0</DocSecurity>
  <Lines>1131</Lines>
  <Paragraphs>223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dc:creator>
  <cp:keywords/>
  <dc:description/>
  <cp:lastModifiedBy>AENCILAY</cp:lastModifiedBy>
  <cp:revision>3</cp:revision>
  <dcterms:created xsi:type="dcterms:W3CDTF">2018-12-07T19:30:00Z</dcterms:created>
  <dcterms:modified xsi:type="dcterms:W3CDTF">2018-12-29T03:47:00Z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id="T1NxDX6A"/&gt;&lt;style id="http://www.zotero.org/styles/annals-of-oncology" hasBibliography="1" bibliographyStyleHasBeenSet="1"/&gt;&lt;prefs&gt;&lt;pref name="fieldType" value="Field"/&gt;&lt;pref name="storeReference</vt:lpwstr>
  </property>
  <property fmtid="{D5CDD505-2E9C-101B-9397-08002B2CF9AE}" pid="3" name="ZOTERO_PREF_2">
    <vt:lpwstr>s" value="true"/&gt;&lt;pref name="automaticJournalAbbreviations" value="true"/&gt;&lt;/prefs&gt;&lt;/data&gt;</vt:lpwstr>
  </property>
</Properties>
</file>