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FF" w:rsidRPr="0091434F" w:rsidRDefault="007110AE" w:rsidP="00D33FFF">
      <w:pPr>
        <w:pStyle w:val="Lgende"/>
        <w:keepNext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Additional file </w:t>
      </w:r>
      <w:r w:rsidR="00A92BC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6</w:t>
      </w:r>
      <w:r w:rsidR="00D33FFF" w:rsidRPr="0091434F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- </w:t>
      </w:r>
      <w:r w:rsidR="00A92BC4" w:rsidRPr="004A09B2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Weighted kappa coefficients and CI95 % in Lyon, Le </w:t>
      </w:r>
      <w:proofErr w:type="spellStart"/>
      <w:r w:rsidR="00A92BC4" w:rsidRPr="004A09B2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Bugey</w:t>
      </w:r>
      <w:proofErr w:type="spellEnd"/>
      <w:r w:rsidR="00A92BC4" w:rsidRPr="004A09B2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and Le Havre with and without technical parameter</w:t>
      </w:r>
      <w:r w:rsidR="00A92BC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s</w:t>
      </w:r>
      <w:bookmarkStart w:id="0" w:name="_GoBack"/>
      <w:bookmarkEnd w:id="0"/>
    </w:p>
    <w:p w:rsidR="00D33FFF" w:rsidRDefault="00D33FFF" w:rsidP="00D33FFF">
      <w:pPr>
        <w:pStyle w:val="Default"/>
        <w:spacing w:line="360" w:lineRule="auto"/>
        <w:rPr>
          <w:sz w:val="20"/>
          <w:szCs w:val="20"/>
          <w:lang w:val="en-US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201"/>
        <w:gridCol w:w="784"/>
        <w:gridCol w:w="3707"/>
        <w:gridCol w:w="3806"/>
      </w:tblGrid>
      <w:tr w:rsidR="00D33FFF" w:rsidTr="00AF7982">
        <w:trPr>
          <w:trHeight w:val="1347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Areas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ADEME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GIS metric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g-TEQ.m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  <w:p w:rsidR="00D33FFF" w:rsidRPr="00C67821" w:rsidRDefault="00D33FFF" w:rsidP="00AF7982">
            <w:pPr>
              <w:pStyle w:val="ADEME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J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t×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EI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</w:tc>
        <w:tc>
          <w:tcPr>
            <w:tcW w:w="3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ADEME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GIS metric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g-TEQ.m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  <w:p w:rsidR="00D33FFF" w:rsidRPr="00C67821" w:rsidRDefault="00D33FFF" w:rsidP="00AF7982">
            <w:pPr>
              <w:pStyle w:val="ADEME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J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t×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EI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Cambria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mbria" w:hAnsi="Cambria Math" w:cs="Times New Roman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h</m:t>
                            </m:r>
                          </m:e>
                        </m:rad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0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0"/>
                          </w:rPr>
                          <m:t>v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 </m:t>
                </m:r>
              </m:oMath>
            </m:oMathPara>
          </w:p>
        </w:tc>
      </w:tr>
      <w:tr w:rsidR="00D33FFF" w:rsidTr="00AF7982">
        <w:trPr>
          <w:trHeight w:val="415"/>
        </w:trPr>
        <w:tc>
          <w:tcPr>
            <w:tcW w:w="1201" w:type="dxa"/>
            <w:vMerge w:val="restart"/>
            <w:tcBorders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US"/>
              </w:rPr>
              <w:t>Lyon</w:t>
            </w:r>
          </w:p>
        </w:tc>
        <w:tc>
          <w:tcPr>
            <w:tcW w:w="784" w:type="dxa"/>
            <w:tcBorders>
              <w:left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1996</w:t>
            </w:r>
          </w:p>
        </w:tc>
        <w:tc>
          <w:tcPr>
            <w:tcW w:w="3707" w:type="dxa"/>
            <w:tcBorders>
              <w:top w:val="single" w:sz="4" w:space="0" w:color="auto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0.71 (0.67-0.76)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0,70 (0,66-0,75)</w:t>
            </w:r>
          </w:p>
        </w:tc>
      </w:tr>
      <w:tr w:rsidR="00D33FFF" w:rsidTr="00AF7982">
        <w:trPr>
          <w:trHeight w:val="426"/>
        </w:trPr>
        <w:tc>
          <w:tcPr>
            <w:tcW w:w="1201" w:type="dxa"/>
            <w:vMerge/>
            <w:tcBorders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2002</w:t>
            </w:r>
          </w:p>
        </w:tc>
        <w:tc>
          <w:tcPr>
            <w:tcW w:w="3707" w:type="dxa"/>
            <w:tcBorders>
              <w:top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0.84 (0.79-0.88)</w:t>
            </w:r>
          </w:p>
        </w:tc>
        <w:tc>
          <w:tcPr>
            <w:tcW w:w="3806" w:type="dxa"/>
            <w:tcBorders>
              <w:top w:val="nil"/>
              <w:bottom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0,82 (0,77-0,87)</w:t>
            </w:r>
          </w:p>
        </w:tc>
      </w:tr>
      <w:tr w:rsidR="00D33FFF" w:rsidTr="00AF7982">
        <w:trPr>
          <w:trHeight w:val="415"/>
        </w:trPr>
        <w:tc>
          <w:tcPr>
            <w:tcW w:w="12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2008</w:t>
            </w:r>
          </w:p>
        </w:tc>
        <w:tc>
          <w:tcPr>
            <w:tcW w:w="3707" w:type="dxa"/>
            <w:tcBorders>
              <w:top w:val="nil"/>
              <w:bottom w:val="single" w:sz="4" w:space="0" w:color="auto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0.81 (0.72-0.89)</w:t>
            </w:r>
          </w:p>
        </w:tc>
        <w:tc>
          <w:tcPr>
            <w:tcW w:w="3806" w:type="dxa"/>
            <w:tcBorders>
              <w:top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0,81 (0,73-0,89)</w:t>
            </w:r>
          </w:p>
        </w:tc>
      </w:tr>
      <w:tr w:rsidR="00D33FFF" w:rsidTr="00AF7982">
        <w:trPr>
          <w:trHeight w:val="415"/>
        </w:trPr>
        <w:tc>
          <w:tcPr>
            <w:tcW w:w="1201" w:type="dxa"/>
            <w:vMerge w:val="restart"/>
            <w:tcBorders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US"/>
              </w:rPr>
              <w:t xml:space="preserve">Le </w:t>
            </w:r>
            <w:proofErr w:type="spellStart"/>
            <w:r w:rsidRPr="00C67821">
              <w:rPr>
                <w:sz w:val="22"/>
                <w:szCs w:val="20"/>
                <w:lang w:val="en-US"/>
              </w:rPr>
              <w:t>Bugey</w:t>
            </w:r>
            <w:proofErr w:type="spellEnd"/>
          </w:p>
        </w:tc>
        <w:tc>
          <w:tcPr>
            <w:tcW w:w="784" w:type="dxa"/>
            <w:tcBorders>
              <w:left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GB"/>
              </w:rPr>
            </w:pPr>
            <w:r w:rsidRPr="00C67821">
              <w:rPr>
                <w:sz w:val="22"/>
                <w:szCs w:val="20"/>
                <w:lang w:val="en-GB"/>
              </w:rPr>
              <w:t>1996</w:t>
            </w:r>
          </w:p>
        </w:tc>
        <w:tc>
          <w:tcPr>
            <w:tcW w:w="3707" w:type="dxa"/>
            <w:tcBorders>
              <w:top w:val="single" w:sz="4" w:space="0" w:color="auto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0.79 (0.73-0.85)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0,71 (0,65-0,78)</w:t>
            </w:r>
          </w:p>
        </w:tc>
      </w:tr>
      <w:tr w:rsidR="00D33FFF" w:rsidTr="00AF7982">
        <w:trPr>
          <w:trHeight w:val="415"/>
        </w:trPr>
        <w:tc>
          <w:tcPr>
            <w:tcW w:w="1201" w:type="dxa"/>
            <w:vMerge/>
            <w:tcBorders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GB"/>
              </w:rPr>
            </w:pPr>
            <w:r w:rsidRPr="00C67821">
              <w:rPr>
                <w:sz w:val="22"/>
                <w:szCs w:val="20"/>
                <w:lang w:val="en-GB"/>
              </w:rPr>
              <w:t>2002</w:t>
            </w:r>
          </w:p>
        </w:tc>
        <w:tc>
          <w:tcPr>
            <w:tcW w:w="3707" w:type="dxa"/>
            <w:tcBorders>
              <w:top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0.82 (0.76-0.87)</w:t>
            </w:r>
          </w:p>
        </w:tc>
        <w:tc>
          <w:tcPr>
            <w:tcW w:w="3806" w:type="dxa"/>
            <w:tcBorders>
              <w:top w:val="nil"/>
              <w:bottom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0,76 (0,70-0,82)</w:t>
            </w:r>
          </w:p>
        </w:tc>
      </w:tr>
      <w:tr w:rsidR="00D33FFF" w:rsidTr="00AF7982">
        <w:trPr>
          <w:trHeight w:val="415"/>
        </w:trPr>
        <w:tc>
          <w:tcPr>
            <w:tcW w:w="12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GB"/>
              </w:rPr>
            </w:pPr>
            <w:r w:rsidRPr="00C67821">
              <w:rPr>
                <w:sz w:val="22"/>
                <w:szCs w:val="20"/>
                <w:lang w:val="en-GB"/>
              </w:rPr>
              <w:t>2008</w:t>
            </w:r>
          </w:p>
        </w:tc>
        <w:tc>
          <w:tcPr>
            <w:tcW w:w="3707" w:type="dxa"/>
            <w:tcBorders>
              <w:top w:val="nil"/>
              <w:bottom w:val="single" w:sz="4" w:space="0" w:color="auto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0.73 (0.66-0.79)</w:t>
            </w:r>
          </w:p>
        </w:tc>
        <w:tc>
          <w:tcPr>
            <w:tcW w:w="3806" w:type="dxa"/>
            <w:tcBorders>
              <w:top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0,77 (0,71-0,83)</w:t>
            </w:r>
          </w:p>
        </w:tc>
      </w:tr>
      <w:tr w:rsidR="00D33FFF" w:rsidTr="00AF7982">
        <w:trPr>
          <w:trHeight w:val="415"/>
        </w:trPr>
        <w:tc>
          <w:tcPr>
            <w:tcW w:w="1201" w:type="dxa"/>
            <w:vMerge w:val="restart"/>
            <w:tcBorders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US"/>
              </w:rPr>
              <w:t>Le Havre</w:t>
            </w:r>
          </w:p>
        </w:tc>
        <w:tc>
          <w:tcPr>
            <w:tcW w:w="784" w:type="dxa"/>
            <w:tcBorders>
              <w:left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GB"/>
              </w:rPr>
            </w:pPr>
            <w:r w:rsidRPr="00C67821">
              <w:rPr>
                <w:sz w:val="22"/>
                <w:szCs w:val="20"/>
                <w:lang w:val="en-GB"/>
              </w:rPr>
              <w:t>1996</w:t>
            </w:r>
          </w:p>
        </w:tc>
        <w:tc>
          <w:tcPr>
            <w:tcW w:w="3707" w:type="dxa"/>
            <w:tcBorders>
              <w:top w:val="single" w:sz="4" w:space="0" w:color="auto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0,74 (0,68-0,80)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0,77 (0,71-0,83)</w:t>
            </w:r>
          </w:p>
        </w:tc>
      </w:tr>
      <w:tr w:rsidR="00D33FFF" w:rsidTr="00AF7982">
        <w:trPr>
          <w:trHeight w:val="415"/>
        </w:trPr>
        <w:tc>
          <w:tcPr>
            <w:tcW w:w="1201" w:type="dxa"/>
            <w:vMerge/>
            <w:tcBorders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GB"/>
              </w:rPr>
            </w:pPr>
            <w:r w:rsidRPr="00C67821">
              <w:rPr>
                <w:sz w:val="22"/>
                <w:szCs w:val="20"/>
                <w:lang w:val="en-GB"/>
              </w:rPr>
              <w:t>2002</w:t>
            </w:r>
          </w:p>
        </w:tc>
        <w:tc>
          <w:tcPr>
            <w:tcW w:w="3707" w:type="dxa"/>
            <w:tcBorders>
              <w:top w:val="nil"/>
              <w:bottom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0,77 (0,72-0,83)</w:t>
            </w:r>
          </w:p>
        </w:tc>
        <w:tc>
          <w:tcPr>
            <w:tcW w:w="3806" w:type="dxa"/>
            <w:tcBorders>
              <w:top w:val="nil"/>
              <w:bottom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0,81 (0,75-0,86)</w:t>
            </w:r>
          </w:p>
        </w:tc>
      </w:tr>
      <w:tr w:rsidR="00D33FFF" w:rsidTr="00AF7982">
        <w:trPr>
          <w:trHeight w:val="349"/>
        </w:trPr>
        <w:tc>
          <w:tcPr>
            <w:tcW w:w="1201" w:type="dxa"/>
            <w:vMerge/>
            <w:tcBorders>
              <w:left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2008</w:t>
            </w:r>
          </w:p>
        </w:tc>
        <w:tc>
          <w:tcPr>
            <w:tcW w:w="3707" w:type="dxa"/>
            <w:tcBorders>
              <w:top w:val="nil"/>
              <w:bottom w:val="single" w:sz="4" w:space="0" w:color="auto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0,64 (0,57-0.72)</w:t>
            </w:r>
          </w:p>
        </w:tc>
        <w:tc>
          <w:tcPr>
            <w:tcW w:w="3806" w:type="dxa"/>
            <w:tcBorders>
              <w:top w:val="nil"/>
              <w:right w:val="nil"/>
            </w:tcBorders>
            <w:vAlign w:val="center"/>
          </w:tcPr>
          <w:p w:rsidR="00D33FFF" w:rsidRPr="00C67821" w:rsidRDefault="00D33FFF" w:rsidP="00AF7982">
            <w:pPr>
              <w:pStyle w:val="Default"/>
              <w:spacing w:line="360" w:lineRule="auto"/>
              <w:jc w:val="center"/>
              <w:rPr>
                <w:sz w:val="22"/>
                <w:szCs w:val="20"/>
                <w:lang w:val="en-US"/>
              </w:rPr>
            </w:pPr>
            <w:r w:rsidRPr="00C67821">
              <w:rPr>
                <w:sz w:val="22"/>
                <w:szCs w:val="20"/>
                <w:lang w:val="en-GB"/>
              </w:rPr>
              <w:t>0,73 (0,67-0,80)</w:t>
            </w:r>
          </w:p>
        </w:tc>
      </w:tr>
    </w:tbl>
    <w:p w:rsidR="00D33FFF" w:rsidRDefault="00D33FFF" w:rsidP="00D33FFF">
      <w:pPr>
        <w:pStyle w:val="Default"/>
        <w:spacing w:line="360" w:lineRule="auto"/>
        <w:rPr>
          <w:sz w:val="20"/>
          <w:szCs w:val="20"/>
          <w:lang w:val="en-US"/>
        </w:rPr>
      </w:pPr>
    </w:p>
    <w:p w:rsidR="00D33FFF" w:rsidRDefault="00D33FFF" w:rsidP="00D33FFF">
      <w:pPr>
        <w:pStyle w:val="Default"/>
        <w:spacing w:line="360" w:lineRule="auto"/>
        <w:jc w:val="both"/>
        <w:rPr>
          <w:rFonts w:eastAsia="Calibri"/>
          <w:sz w:val="22"/>
          <w:szCs w:val="20"/>
          <w:lang w:val="en-US"/>
        </w:rPr>
      </w:pPr>
      <w:r w:rsidRPr="00957414">
        <w:rPr>
          <w:rFonts w:eastAsia="Calibri"/>
          <w:sz w:val="22"/>
          <w:szCs w:val="20"/>
          <w:lang w:val="en-US"/>
        </w:rPr>
        <w:t>We observed a clear improvement of the result</w:t>
      </w:r>
      <w:r>
        <w:rPr>
          <w:rFonts w:eastAsia="Calibri"/>
          <w:sz w:val="22"/>
          <w:szCs w:val="20"/>
          <w:lang w:val="en-US"/>
        </w:rPr>
        <w:t>s</w:t>
      </w:r>
      <w:r w:rsidRPr="00957414">
        <w:rPr>
          <w:rFonts w:eastAsia="Calibri"/>
          <w:sz w:val="22"/>
          <w:szCs w:val="20"/>
          <w:lang w:val="en-US"/>
        </w:rPr>
        <w:t xml:space="preserve"> for the scenario </w:t>
      </w:r>
      <w:r>
        <w:rPr>
          <w:rFonts w:eastAsia="Calibri"/>
          <w:sz w:val="22"/>
          <w:szCs w:val="20"/>
          <w:lang w:val="en-US"/>
        </w:rPr>
        <w:t>Le Havre</w:t>
      </w:r>
      <w:r w:rsidRPr="00957414">
        <w:rPr>
          <w:rFonts w:eastAsia="Calibri"/>
          <w:sz w:val="22"/>
          <w:szCs w:val="20"/>
          <w:lang w:val="en-US"/>
        </w:rPr>
        <w:t xml:space="preserve"> 2008. </w:t>
      </w:r>
      <w:r>
        <w:rPr>
          <w:rFonts w:eastAsia="Calibri"/>
          <w:sz w:val="22"/>
          <w:szCs w:val="20"/>
          <w:lang w:val="en-US"/>
        </w:rPr>
        <w:t>In this</w:t>
      </w:r>
      <w:r w:rsidRPr="00957414">
        <w:rPr>
          <w:rFonts w:eastAsia="Calibri"/>
          <w:sz w:val="22"/>
          <w:szCs w:val="20"/>
          <w:lang w:val="en-US"/>
        </w:rPr>
        <w:t xml:space="preserve"> specific scenario</w:t>
      </w:r>
      <w:r>
        <w:rPr>
          <w:rFonts w:eastAsia="Calibri"/>
          <w:sz w:val="22"/>
          <w:szCs w:val="20"/>
          <w:lang w:val="en-US"/>
        </w:rPr>
        <w:t>,</w:t>
      </w:r>
      <w:r w:rsidRPr="00957414">
        <w:rPr>
          <w:rFonts w:eastAsia="Calibri"/>
          <w:sz w:val="22"/>
          <w:szCs w:val="20"/>
          <w:lang w:val="en-US"/>
        </w:rPr>
        <w:t xml:space="preserve"> the major source had a stack</w:t>
      </w:r>
      <w:r>
        <w:rPr>
          <w:rFonts w:eastAsia="Calibri"/>
          <w:sz w:val="22"/>
          <w:szCs w:val="20"/>
          <w:lang w:val="en-US"/>
        </w:rPr>
        <w:t xml:space="preserve"> height</w:t>
      </w:r>
      <w:r w:rsidRPr="00957414">
        <w:rPr>
          <w:rFonts w:eastAsia="Calibri"/>
          <w:sz w:val="22"/>
          <w:szCs w:val="20"/>
          <w:lang w:val="en-US"/>
        </w:rPr>
        <w:t xml:space="preserve"> of 240m that impact</w:t>
      </w:r>
      <w:r>
        <w:rPr>
          <w:rFonts w:eastAsia="Calibri"/>
          <w:sz w:val="22"/>
          <w:szCs w:val="20"/>
          <w:lang w:val="en-US"/>
        </w:rPr>
        <w:t>ed</w:t>
      </w:r>
      <w:r w:rsidRPr="00957414">
        <w:rPr>
          <w:rFonts w:eastAsia="Calibri"/>
          <w:sz w:val="22"/>
          <w:szCs w:val="20"/>
          <w:lang w:val="en-US"/>
        </w:rPr>
        <w:t xml:space="preserve"> dioxin dispersion and decrease dioxin exposure. As explained in 3.</w:t>
      </w:r>
      <w:r>
        <w:rPr>
          <w:rFonts w:eastAsia="Calibri"/>
          <w:sz w:val="22"/>
          <w:szCs w:val="20"/>
          <w:lang w:val="en-US"/>
        </w:rPr>
        <w:t>1</w:t>
      </w:r>
      <w:r w:rsidRPr="00957414">
        <w:rPr>
          <w:rFonts w:eastAsia="Calibri"/>
          <w:sz w:val="22"/>
          <w:szCs w:val="20"/>
          <w:lang w:val="en-US"/>
        </w:rPr>
        <w:t xml:space="preserve">, given the absence of impact of the stack height on the kappa </w:t>
      </w:r>
      <w:proofErr w:type="spellStart"/>
      <w:r w:rsidRPr="00957414">
        <w:rPr>
          <w:rFonts w:eastAsia="Calibri"/>
          <w:sz w:val="22"/>
          <w:szCs w:val="20"/>
          <w:lang w:val="en-US"/>
        </w:rPr>
        <w:t>coefficien</w:t>
      </w:r>
      <w:r>
        <w:rPr>
          <w:rFonts w:eastAsia="Calibri"/>
          <w:sz w:val="22"/>
          <w:szCs w:val="20"/>
          <w:lang w:val="en-US"/>
        </w:rPr>
        <w:t>s</w:t>
      </w:r>
      <w:r w:rsidRPr="00957414">
        <w:rPr>
          <w:rFonts w:eastAsia="Calibri"/>
          <w:sz w:val="22"/>
          <w:szCs w:val="20"/>
          <w:lang w:val="en-US"/>
        </w:rPr>
        <w:t>t</w:t>
      </w:r>
      <w:proofErr w:type="spellEnd"/>
      <w:r w:rsidRPr="00957414">
        <w:rPr>
          <w:rFonts w:eastAsia="Calibri"/>
          <w:sz w:val="22"/>
          <w:szCs w:val="20"/>
          <w:lang w:val="en-US"/>
        </w:rPr>
        <w:t xml:space="preserve"> in all other scenarios and the low completeness of data for stack height at the national level (36%), it was decided to integrate into the GIS metric only stacks above 90m, corresponding to 3 times the median stack height of the 2,626</w:t>
      </w:r>
      <w:r>
        <w:rPr>
          <w:rFonts w:eastAsia="Calibri"/>
          <w:sz w:val="22"/>
          <w:szCs w:val="20"/>
          <w:lang w:val="en-US"/>
        </w:rPr>
        <w:t xml:space="preserve"> sources at the national level. This led us to the final GIS metric:</w:t>
      </w:r>
    </w:p>
    <w:p w:rsidR="000C4D52" w:rsidRDefault="000C4D52" w:rsidP="00D33FFF">
      <w:pPr>
        <w:pStyle w:val="Default"/>
        <w:spacing w:line="360" w:lineRule="auto"/>
        <w:jc w:val="both"/>
        <w:rPr>
          <w:rFonts w:eastAsia="Calibri"/>
          <w:sz w:val="22"/>
          <w:szCs w:val="20"/>
          <w:lang w:val="en-US"/>
        </w:rPr>
      </w:pPr>
    </w:p>
    <w:p w:rsidR="00D33FFF" w:rsidRDefault="00D33FFF" w:rsidP="00D33FFF">
      <w:pPr>
        <w:pStyle w:val="Default"/>
        <w:spacing w:line="360" w:lineRule="auto"/>
        <w:rPr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 xml:space="preserve">GIS-based metric </m:t>
          </m:r>
          <m:d>
            <m:d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g-TEQ.m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t×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EI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median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*</m:t>
                      </m:r>
                    </m:sup>
                  </m:sSup>
                </m:e>
              </m:nary>
            </m:e>
          </m:nary>
          <m:r>
            <w:rPr>
              <w:rFonts w:ascii="Cambria Math" w:hAnsi="Cambria Math"/>
              <w:sz w:val="22"/>
              <w:szCs w:val="22"/>
            </w:rPr>
            <m:t xml:space="preserve">    (i)</m:t>
          </m:r>
        </m:oMath>
      </m:oMathPara>
    </w:p>
    <w:p w:rsidR="003C50DD" w:rsidRDefault="00A92BC4"/>
    <w:sectPr w:rsidR="003C50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5"/>
    <w:rsid w:val="000C4D52"/>
    <w:rsid w:val="003555EA"/>
    <w:rsid w:val="004A757F"/>
    <w:rsid w:val="00677B35"/>
    <w:rsid w:val="007110AE"/>
    <w:rsid w:val="00A92BC4"/>
    <w:rsid w:val="00D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CB25-854F-4D64-BED5-41783EB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D33FF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D33FF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DEMENormal">
    <w:name w:val="ADEME Normal"/>
    <w:basedOn w:val="Normal"/>
    <w:link w:val="ADEMENormalCar"/>
    <w:qFormat/>
    <w:rsid w:val="00D33FFF"/>
    <w:pPr>
      <w:widowControl w:val="0"/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DEMENormalCar">
    <w:name w:val="ADEME Normal Car"/>
    <w:basedOn w:val="Policepardfaut"/>
    <w:link w:val="ADEMENormal"/>
    <w:rsid w:val="00D33FFF"/>
    <w:rPr>
      <w:rFonts w:ascii="Calibri" w:eastAsia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COUDON Thomas</dc:creator>
  <cp:keywords/>
  <dc:description/>
  <cp:lastModifiedBy>COUDON Thomas</cp:lastModifiedBy>
  <cp:revision>5</cp:revision>
  <dcterms:created xsi:type="dcterms:W3CDTF">2017-12-20T11:18:00Z</dcterms:created>
  <dcterms:modified xsi:type="dcterms:W3CDTF">2017-12-20T11:42:00Z</dcterms:modified>
</cp:coreProperties>
</file>