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636" w:rsidRDefault="00427E16" w:rsidP="00376636">
      <w:pPr>
        <w:widowControl/>
        <w:rPr>
          <w:rFonts w:ascii="Times New Roman" w:hAnsi="Times New Roman" w:cs="Times New Roman"/>
          <w:b/>
          <w:noProof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w:t>Additional file 1</w:t>
      </w:r>
      <w:bookmarkStart w:id="0" w:name="_GoBack"/>
      <w:bookmarkEnd w:id="0"/>
    </w:p>
    <w:p w:rsidR="000E62F8" w:rsidRDefault="000E62F8" w:rsidP="00376636">
      <w:pPr>
        <w:widowControl/>
        <w:rPr>
          <w:rFonts w:ascii="Times New Roman" w:hAnsi="Times New Roman" w:cs="Times New Roman"/>
          <w:b/>
          <w:noProof/>
          <w:sz w:val="40"/>
          <w:szCs w:val="40"/>
        </w:rPr>
      </w:pPr>
    </w:p>
    <w:p w:rsidR="000E62F8" w:rsidRDefault="000E62F8" w:rsidP="00376636">
      <w:pPr>
        <w:widowControl/>
        <w:rPr>
          <w:rFonts w:ascii="Times New Roman" w:hAnsi="Times New Roman" w:cs="Times New Roman"/>
          <w:b/>
          <w:noProof/>
          <w:sz w:val="40"/>
          <w:szCs w:val="40"/>
        </w:rPr>
      </w:pPr>
    </w:p>
    <w:p w:rsidR="000E62F8" w:rsidRDefault="000E62F8" w:rsidP="00376636">
      <w:pPr>
        <w:widowControl/>
        <w:rPr>
          <w:rFonts w:ascii="Times New Roman" w:eastAsia="SimSun" w:hAnsi="Times New Roman" w:cs="Times New Roman"/>
          <w:i/>
          <w:kern w:val="0"/>
          <w:sz w:val="22"/>
        </w:rPr>
      </w:pPr>
      <w:r w:rsidRPr="000E62F8">
        <w:rPr>
          <w:rFonts w:ascii="Times New Roman" w:eastAsia="SimSun" w:hAnsi="Times New Roman" w:cs="Times New Roman"/>
          <w:i/>
          <w:kern w:val="0"/>
          <w:sz w:val="22"/>
        </w:rPr>
        <w:t>Table S1</w:t>
      </w:r>
      <w:r>
        <w:rPr>
          <w:rFonts w:ascii="Times New Roman" w:eastAsia="SimSun" w:hAnsi="Times New Roman" w:cs="Times New Roman"/>
          <w:i/>
          <w:kern w:val="0"/>
          <w:sz w:val="22"/>
        </w:rPr>
        <w:t>-1</w:t>
      </w:r>
      <w:r w:rsidRPr="000E62F8">
        <w:rPr>
          <w:rFonts w:ascii="Times New Roman" w:eastAsia="SimSun" w:hAnsi="Times New Roman" w:cs="Times New Roman"/>
          <w:i/>
          <w:kern w:val="0"/>
          <w:sz w:val="22"/>
        </w:rPr>
        <w:t xml:space="preserve">: </w:t>
      </w:r>
      <w:r>
        <w:rPr>
          <w:rFonts w:ascii="Times New Roman" w:eastAsia="SimSun" w:hAnsi="Times New Roman" w:cs="Times New Roman"/>
          <w:i/>
          <w:kern w:val="0"/>
          <w:sz w:val="22"/>
        </w:rPr>
        <w:t>Primer sequence of RT-PCR</w:t>
      </w:r>
    </w:p>
    <w:p w:rsidR="000E62F8" w:rsidRDefault="000E62F8" w:rsidP="00376636">
      <w:pPr>
        <w:widowControl/>
        <w:rPr>
          <w:rFonts w:ascii="Times New Roman" w:eastAsia="SimSun" w:hAnsi="Times New Roman" w:cs="Times New Roman"/>
          <w:i/>
          <w:kern w:val="0"/>
          <w:sz w:val="22"/>
        </w:rPr>
      </w:pPr>
    </w:p>
    <w:tbl>
      <w:tblPr>
        <w:tblW w:w="8789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1318"/>
        <w:gridCol w:w="5349"/>
      </w:tblGrid>
      <w:tr w:rsidR="000E62F8" w:rsidRPr="000E62F8" w:rsidTr="00FA5214">
        <w:trPr>
          <w:trHeight w:val="285"/>
        </w:trPr>
        <w:tc>
          <w:tcPr>
            <w:tcW w:w="2122" w:type="dxa"/>
            <w:tcBorders>
              <w:top w:val="single" w:sz="8" w:space="0" w:color="auto"/>
              <w:bottom w:val="single" w:sz="8" w:space="0" w:color="auto"/>
            </w:tcBorders>
            <w:noWrap/>
            <w:hideMark/>
          </w:tcPr>
          <w:p w:rsidR="000E62F8" w:rsidRPr="000E62F8" w:rsidRDefault="000E62F8" w:rsidP="000E62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0E62F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Gene</w:t>
            </w:r>
          </w:p>
        </w:tc>
        <w:tc>
          <w:tcPr>
            <w:tcW w:w="6667" w:type="dxa"/>
            <w:gridSpan w:val="2"/>
            <w:tcBorders>
              <w:top w:val="single" w:sz="8" w:space="0" w:color="auto"/>
              <w:bottom w:val="single" w:sz="8" w:space="0" w:color="auto"/>
            </w:tcBorders>
            <w:noWrap/>
            <w:hideMark/>
          </w:tcPr>
          <w:p w:rsidR="000E62F8" w:rsidRPr="000E62F8" w:rsidRDefault="000E62F8" w:rsidP="000E62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S</w:t>
            </w:r>
            <w:r w:rsidRPr="000E62F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equence</w:t>
            </w:r>
          </w:p>
        </w:tc>
      </w:tr>
      <w:tr w:rsidR="00FA5214" w:rsidRPr="000E62F8" w:rsidTr="00FA5214">
        <w:trPr>
          <w:trHeight w:val="285"/>
        </w:trPr>
        <w:tc>
          <w:tcPr>
            <w:tcW w:w="2122" w:type="dxa"/>
            <w:vMerge w:val="restart"/>
            <w:tcBorders>
              <w:top w:val="single" w:sz="8" w:space="0" w:color="auto"/>
            </w:tcBorders>
            <w:noWrap/>
            <w:vAlign w:val="center"/>
            <w:hideMark/>
          </w:tcPr>
          <w:p w:rsidR="000E62F8" w:rsidRPr="000E62F8" w:rsidRDefault="000E62F8" w:rsidP="000E62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0E62F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human GAPDH</w:t>
            </w:r>
          </w:p>
        </w:tc>
        <w:tc>
          <w:tcPr>
            <w:tcW w:w="1318" w:type="dxa"/>
            <w:tcBorders>
              <w:top w:val="single" w:sz="8" w:space="0" w:color="auto"/>
            </w:tcBorders>
            <w:noWrap/>
            <w:hideMark/>
          </w:tcPr>
          <w:p w:rsidR="000E62F8" w:rsidRPr="000E62F8" w:rsidRDefault="000E62F8" w:rsidP="000E62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0E62F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Forward</w:t>
            </w:r>
          </w:p>
        </w:tc>
        <w:tc>
          <w:tcPr>
            <w:tcW w:w="5349" w:type="dxa"/>
            <w:tcBorders>
              <w:top w:val="single" w:sz="8" w:space="0" w:color="auto"/>
            </w:tcBorders>
            <w:noWrap/>
            <w:hideMark/>
          </w:tcPr>
          <w:p w:rsidR="000E62F8" w:rsidRPr="000E62F8" w:rsidRDefault="000E62F8" w:rsidP="000E62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0E62F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 xml:space="preserve">5’ </w:t>
            </w:r>
            <w:r w:rsidRPr="0038238E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2"/>
              </w:rPr>
              <w:t>gccagcatcgccccacttga</w:t>
            </w:r>
            <w:r w:rsidRPr="000E62F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 xml:space="preserve"> 3’</w:t>
            </w:r>
          </w:p>
        </w:tc>
      </w:tr>
      <w:tr w:rsidR="000E62F8" w:rsidRPr="000E62F8" w:rsidTr="00FA5214">
        <w:trPr>
          <w:trHeight w:val="285"/>
        </w:trPr>
        <w:tc>
          <w:tcPr>
            <w:tcW w:w="2122" w:type="dxa"/>
            <w:vMerge/>
            <w:vAlign w:val="center"/>
            <w:hideMark/>
          </w:tcPr>
          <w:p w:rsidR="000E62F8" w:rsidRPr="000E62F8" w:rsidRDefault="000E62F8" w:rsidP="000E62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18" w:type="dxa"/>
            <w:noWrap/>
            <w:hideMark/>
          </w:tcPr>
          <w:p w:rsidR="000E62F8" w:rsidRPr="000E62F8" w:rsidRDefault="000E62F8" w:rsidP="000E62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0E62F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Reverse</w:t>
            </w:r>
          </w:p>
        </w:tc>
        <w:tc>
          <w:tcPr>
            <w:tcW w:w="5349" w:type="dxa"/>
            <w:noWrap/>
            <w:hideMark/>
          </w:tcPr>
          <w:p w:rsidR="000E62F8" w:rsidRPr="000E62F8" w:rsidRDefault="000E62F8" w:rsidP="000E62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0E62F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 xml:space="preserve">5’ </w:t>
            </w:r>
            <w:proofErr w:type="spellStart"/>
            <w:r w:rsidRPr="000E62F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cggtcgtagcggggtgaact</w:t>
            </w:r>
            <w:proofErr w:type="spellEnd"/>
            <w:r w:rsidRPr="000E62F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 xml:space="preserve"> 3’</w:t>
            </w:r>
          </w:p>
        </w:tc>
      </w:tr>
      <w:tr w:rsidR="000E62F8" w:rsidRPr="000E62F8" w:rsidTr="00FA5214">
        <w:trPr>
          <w:trHeight w:val="285"/>
        </w:trPr>
        <w:tc>
          <w:tcPr>
            <w:tcW w:w="2122" w:type="dxa"/>
            <w:vMerge w:val="restart"/>
            <w:noWrap/>
            <w:vAlign w:val="center"/>
            <w:hideMark/>
          </w:tcPr>
          <w:p w:rsidR="000E62F8" w:rsidRPr="000E62F8" w:rsidRDefault="000E62F8" w:rsidP="000E62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0E62F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BBD-F8</w:t>
            </w:r>
          </w:p>
        </w:tc>
        <w:tc>
          <w:tcPr>
            <w:tcW w:w="1318" w:type="dxa"/>
            <w:noWrap/>
            <w:hideMark/>
          </w:tcPr>
          <w:p w:rsidR="000E62F8" w:rsidRPr="000E62F8" w:rsidRDefault="000E62F8" w:rsidP="000E62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0E62F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Forward</w:t>
            </w:r>
          </w:p>
        </w:tc>
        <w:tc>
          <w:tcPr>
            <w:tcW w:w="5349" w:type="dxa"/>
            <w:noWrap/>
            <w:hideMark/>
          </w:tcPr>
          <w:p w:rsidR="000E62F8" w:rsidRPr="000E62F8" w:rsidRDefault="000E62F8" w:rsidP="000E62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0E62F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 xml:space="preserve">5’ </w:t>
            </w:r>
            <w:proofErr w:type="spellStart"/>
            <w:r w:rsidRPr="000E62F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cagtcttgaaacgccatcaa</w:t>
            </w:r>
            <w:proofErr w:type="spellEnd"/>
            <w:r w:rsidRPr="000E62F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 xml:space="preserve"> 3’</w:t>
            </w:r>
          </w:p>
        </w:tc>
      </w:tr>
      <w:tr w:rsidR="000E62F8" w:rsidRPr="000E62F8" w:rsidTr="00FA5214">
        <w:trPr>
          <w:trHeight w:val="285"/>
        </w:trPr>
        <w:tc>
          <w:tcPr>
            <w:tcW w:w="2122" w:type="dxa"/>
            <w:vMerge/>
            <w:tcBorders>
              <w:bottom w:val="single" w:sz="8" w:space="0" w:color="auto"/>
            </w:tcBorders>
            <w:hideMark/>
          </w:tcPr>
          <w:p w:rsidR="000E62F8" w:rsidRPr="000E62F8" w:rsidRDefault="000E62F8" w:rsidP="000E62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18" w:type="dxa"/>
            <w:tcBorders>
              <w:bottom w:val="single" w:sz="8" w:space="0" w:color="auto"/>
            </w:tcBorders>
            <w:noWrap/>
            <w:hideMark/>
          </w:tcPr>
          <w:p w:rsidR="000E62F8" w:rsidRPr="000E62F8" w:rsidRDefault="000E62F8" w:rsidP="000E62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0E62F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Reverse</w:t>
            </w:r>
          </w:p>
        </w:tc>
        <w:tc>
          <w:tcPr>
            <w:tcW w:w="5349" w:type="dxa"/>
            <w:tcBorders>
              <w:bottom w:val="single" w:sz="8" w:space="0" w:color="auto"/>
            </w:tcBorders>
            <w:noWrap/>
            <w:hideMark/>
          </w:tcPr>
          <w:p w:rsidR="000E62F8" w:rsidRPr="000E62F8" w:rsidRDefault="000E62F8" w:rsidP="000E62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0E62F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 xml:space="preserve">5’ </w:t>
            </w:r>
            <w:r w:rsidRPr="0038238E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2"/>
              </w:rPr>
              <w:t>aatcccagagcctctccact</w:t>
            </w:r>
            <w:r w:rsidRPr="000E62F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 xml:space="preserve"> 3’</w:t>
            </w:r>
          </w:p>
        </w:tc>
      </w:tr>
    </w:tbl>
    <w:p w:rsidR="000E62F8" w:rsidRDefault="000E62F8" w:rsidP="000E62F8">
      <w:pPr>
        <w:widowControl/>
        <w:jc w:val="center"/>
        <w:rPr>
          <w:rFonts w:ascii="Times New Roman" w:eastAsia="SimSun" w:hAnsi="Times New Roman" w:cs="Times New Roman"/>
          <w:i/>
          <w:kern w:val="0"/>
          <w:sz w:val="22"/>
        </w:rPr>
      </w:pPr>
    </w:p>
    <w:p w:rsidR="00FA5214" w:rsidRDefault="00FA5214" w:rsidP="000E62F8">
      <w:pPr>
        <w:widowControl/>
        <w:jc w:val="center"/>
        <w:rPr>
          <w:rFonts w:ascii="Times New Roman" w:eastAsia="SimSun" w:hAnsi="Times New Roman" w:cs="Times New Roman"/>
          <w:i/>
          <w:kern w:val="0"/>
          <w:sz w:val="22"/>
        </w:rPr>
      </w:pPr>
    </w:p>
    <w:p w:rsidR="000E62F8" w:rsidRDefault="000E62F8" w:rsidP="000E62F8">
      <w:pPr>
        <w:widowControl/>
        <w:rPr>
          <w:rFonts w:ascii="Times New Roman" w:eastAsia="SimSun" w:hAnsi="Times New Roman" w:cs="Times New Roman"/>
          <w:i/>
          <w:kern w:val="0"/>
          <w:sz w:val="22"/>
        </w:rPr>
      </w:pPr>
      <w:r w:rsidRPr="000E62F8">
        <w:rPr>
          <w:rFonts w:ascii="Times New Roman" w:eastAsia="SimSun" w:hAnsi="Times New Roman" w:cs="Times New Roman"/>
          <w:i/>
          <w:kern w:val="0"/>
          <w:sz w:val="22"/>
        </w:rPr>
        <w:t>Table S1</w:t>
      </w:r>
      <w:r>
        <w:rPr>
          <w:rFonts w:ascii="Times New Roman" w:eastAsia="SimSun" w:hAnsi="Times New Roman" w:cs="Times New Roman"/>
          <w:i/>
          <w:kern w:val="0"/>
          <w:sz w:val="22"/>
        </w:rPr>
        <w:t>-2</w:t>
      </w:r>
      <w:r w:rsidRPr="000E62F8">
        <w:rPr>
          <w:rFonts w:ascii="Times New Roman" w:eastAsia="SimSun" w:hAnsi="Times New Roman" w:cs="Times New Roman"/>
          <w:i/>
          <w:kern w:val="0"/>
          <w:sz w:val="22"/>
        </w:rPr>
        <w:t xml:space="preserve">: </w:t>
      </w:r>
      <w:r>
        <w:rPr>
          <w:rFonts w:ascii="Times New Roman" w:eastAsia="SimSun" w:hAnsi="Times New Roman" w:cs="Times New Roman"/>
          <w:i/>
          <w:kern w:val="0"/>
          <w:sz w:val="22"/>
        </w:rPr>
        <w:t xml:space="preserve">Primer sequence of </w:t>
      </w:r>
      <w:proofErr w:type="spellStart"/>
      <w:r w:rsidR="009E76EF">
        <w:rPr>
          <w:rFonts w:ascii="Times New Roman" w:eastAsia="SimSun" w:hAnsi="Times New Roman" w:cs="Times New Roman"/>
          <w:i/>
          <w:kern w:val="0"/>
          <w:sz w:val="22"/>
        </w:rPr>
        <w:t>EndMT</w:t>
      </w:r>
      <w:proofErr w:type="spellEnd"/>
    </w:p>
    <w:p w:rsidR="000E62F8" w:rsidRDefault="000E62F8" w:rsidP="000E62F8">
      <w:pPr>
        <w:widowControl/>
        <w:rPr>
          <w:rFonts w:ascii="Times New Roman" w:eastAsia="SimSun" w:hAnsi="Times New Roman" w:cs="Times New Roman"/>
          <w:i/>
          <w:kern w:val="0"/>
          <w:sz w:val="22"/>
        </w:rPr>
      </w:pPr>
    </w:p>
    <w:tbl>
      <w:tblPr>
        <w:tblW w:w="8784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109"/>
        <w:gridCol w:w="1430"/>
        <w:gridCol w:w="5245"/>
      </w:tblGrid>
      <w:tr w:rsidR="00837928" w:rsidRPr="00837928" w:rsidTr="00FA5214">
        <w:trPr>
          <w:trHeight w:val="285"/>
        </w:trPr>
        <w:tc>
          <w:tcPr>
            <w:tcW w:w="21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837928" w:rsidRPr="000E62F8" w:rsidRDefault="00837928" w:rsidP="0083792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0E62F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Gene</w:t>
            </w:r>
          </w:p>
        </w:tc>
        <w:tc>
          <w:tcPr>
            <w:tcW w:w="66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837928" w:rsidRPr="00837928" w:rsidRDefault="00837928" w:rsidP="0083792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S</w:t>
            </w:r>
            <w:r w:rsidRPr="000E62F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equence</w:t>
            </w:r>
          </w:p>
        </w:tc>
      </w:tr>
      <w:tr w:rsidR="00837928" w:rsidRPr="00837928" w:rsidTr="0038238E">
        <w:trPr>
          <w:trHeight w:val="285"/>
        </w:trPr>
        <w:tc>
          <w:tcPr>
            <w:tcW w:w="2109" w:type="dxa"/>
            <w:vMerge w:val="restart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7928" w:rsidRPr="00837928" w:rsidRDefault="00837928" w:rsidP="00F304E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83792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Slug</w:t>
            </w:r>
          </w:p>
        </w:tc>
        <w:tc>
          <w:tcPr>
            <w:tcW w:w="1430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7928" w:rsidRPr="00837928" w:rsidRDefault="00837928" w:rsidP="0083792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83792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Forward</w:t>
            </w:r>
          </w:p>
        </w:tc>
        <w:tc>
          <w:tcPr>
            <w:tcW w:w="5245" w:type="dxa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:rsidR="00837928" w:rsidRPr="00837928" w:rsidRDefault="00F304E2" w:rsidP="0038238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83792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5’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38238E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2"/>
              </w:rPr>
              <w:t>actccgaagccaaatgacaa</w:t>
            </w:r>
            <w:r w:rsidRPr="0083792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 xml:space="preserve"> 3’</w:t>
            </w:r>
          </w:p>
        </w:tc>
      </w:tr>
      <w:tr w:rsidR="00837928" w:rsidRPr="00837928" w:rsidTr="0038238E">
        <w:trPr>
          <w:trHeight w:val="285"/>
        </w:trPr>
        <w:tc>
          <w:tcPr>
            <w:tcW w:w="2109" w:type="dxa"/>
            <w:vMerge/>
            <w:shd w:val="clear" w:color="auto" w:fill="auto"/>
            <w:noWrap/>
            <w:vAlign w:val="center"/>
            <w:hideMark/>
          </w:tcPr>
          <w:p w:rsidR="00837928" w:rsidRPr="00837928" w:rsidRDefault="00837928" w:rsidP="00F304E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837928" w:rsidRPr="00837928" w:rsidRDefault="00837928" w:rsidP="0083792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83792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Reverse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837928" w:rsidRPr="00837928" w:rsidRDefault="00F304E2" w:rsidP="0038238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83792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5’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83792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ctctctctgtgggtgtgtgt</w:t>
            </w:r>
            <w:proofErr w:type="spellEnd"/>
            <w:r w:rsidRPr="0083792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 xml:space="preserve"> 3’</w:t>
            </w:r>
          </w:p>
        </w:tc>
      </w:tr>
      <w:tr w:rsidR="00837928" w:rsidRPr="00837928" w:rsidTr="0038238E">
        <w:trPr>
          <w:trHeight w:val="285"/>
        </w:trPr>
        <w:tc>
          <w:tcPr>
            <w:tcW w:w="2109" w:type="dxa"/>
            <w:vMerge w:val="restart"/>
            <w:shd w:val="clear" w:color="auto" w:fill="auto"/>
            <w:noWrap/>
            <w:vAlign w:val="center"/>
            <w:hideMark/>
          </w:tcPr>
          <w:p w:rsidR="00837928" w:rsidRPr="00837928" w:rsidRDefault="00837928" w:rsidP="00F304E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83792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Snail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837928" w:rsidRPr="00837928" w:rsidRDefault="00837928" w:rsidP="0083792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83792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Forward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837928" w:rsidRPr="00837928" w:rsidRDefault="00F304E2" w:rsidP="0038238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83792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5’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83792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ggcaatttaacaatgtctgaaaagg</w:t>
            </w:r>
            <w:proofErr w:type="spellEnd"/>
            <w:r w:rsidRPr="0083792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 xml:space="preserve"> 3’</w:t>
            </w:r>
          </w:p>
        </w:tc>
      </w:tr>
      <w:tr w:rsidR="00837928" w:rsidRPr="00837928" w:rsidTr="0038238E">
        <w:trPr>
          <w:trHeight w:val="285"/>
        </w:trPr>
        <w:tc>
          <w:tcPr>
            <w:tcW w:w="2109" w:type="dxa"/>
            <w:vMerge/>
            <w:shd w:val="clear" w:color="auto" w:fill="auto"/>
            <w:noWrap/>
            <w:vAlign w:val="center"/>
            <w:hideMark/>
          </w:tcPr>
          <w:p w:rsidR="00837928" w:rsidRPr="00837928" w:rsidRDefault="00837928" w:rsidP="00F304E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837928" w:rsidRPr="00837928" w:rsidRDefault="00837928" w:rsidP="0083792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83792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Reverse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837928" w:rsidRPr="00837928" w:rsidRDefault="00F304E2" w:rsidP="0038238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83792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5’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38238E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2"/>
              </w:rPr>
              <w:t>gaatagttctgggagacacatcg</w:t>
            </w:r>
            <w:r w:rsidRPr="0083792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 xml:space="preserve"> 3’</w:t>
            </w:r>
          </w:p>
        </w:tc>
      </w:tr>
      <w:tr w:rsidR="00837928" w:rsidRPr="00837928" w:rsidTr="0038238E">
        <w:trPr>
          <w:trHeight w:val="285"/>
        </w:trPr>
        <w:tc>
          <w:tcPr>
            <w:tcW w:w="2109" w:type="dxa"/>
            <w:vMerge w:val="restart"/>
            <w:shd w:val="clear" w:color="auto" w:fill="auto"/>
            <w:noWrap/>
            <w:vAlign w:val="center"/>
            <w:hideMark/>
          </w:tcPr>
          <w:p w:rsidR="00837928" w:rsidRPr="00837928" w:rsidRDefault="00837928" w:rsidP="00F304E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83792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α-SMA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837928" w:rsidRPr="00837928" w:rsidRDefault="00837928" w:rsidP="0083792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83792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Forward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837928" w:rsidRPr="00837928" w:rsidRDefault="00F304E2" w:rsidP="0038238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83792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5’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83792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aagcacagagcaaaagaggaat</w:t>
            </w:r>
            <w:proofErr w:type="spellEnd"/>
            <w:r w:rsidRPr="0083792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 xml:space="preserve"> 3’</w:t>
            </w:r>
          </w:p>
        </w:tc>
      </w:tr>
      <w:tr w:rsidR="00837928" w:rsidRPr="00837928" w:rsidTr="0038238E">
        <w:trPr>
          <w:trHeight w:val="285"/>
        </w:trPr>
        <w:tc>
          <w:tcPr>
            <w:tcW w:w="2109" w:type="dxa"/>
            <w:vMerge/>
            <w:shd w:val="clear" w:color="auto" w:fill="auto"/>
            <w:noWrap/>
            <w:vAlign w:val="center"/>
            <w:hideMark/>
          </w:tcPr>
          <w:p w:rsidR="00837928" w:rsidRPr="00837928" w:rsidRDefault="00837928" w:rsidP="00F304E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837928" w:rsidRPr="00837928" w:rsidRDefault="00837928" w:rsidP="0083792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83792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Reverse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837928" w:rsidRPr="00837928" w:rsidRDefault="00F304E2" w:rsidP="0038238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83792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5’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38238E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2"/>
              </w:rPr>
              <w:t>atgtcgtcccagttggtgat</w:t>
            </w:r>
            <w:r w:rsidRPr="0083792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 xml:space="preserve"> 3’</w:t>
            </w:r>
          </w:p>
        </w:tc>
      </w:tr>
      <w:tr w:rsidR="00837928" w:rsidRPr="00837928" w:rsidTr="0038238E">
        <w:trPr>
          <w:trHeight w:val="285"/>
        </w:trPr>
        <w:tc>
          <w:tcPr>
            <w:tcW w:w="2109" w:type="dxa"/>
            <w:vMerge w:val="restart"/>
            <w:shd w:val="clear" w:color="auto" w:fill="auto"/>
            <w:noWrap/>
            <w:vAlign w:val="center"/>
            <w:hideMark/>
          </w:tcPr>
          <w:p w:rsidR="00837928" w:rsidRPr="00837928" w:rsidRDefault="00837928" w:rsidP="00F304E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83792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KDR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837928" w:rsidRPr="00837928" w:rsidRDefault="00837928" w:rsidP="0083792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83792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Forward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837928" w:rsidRPr="00837928" w:rsidRDefault="00837928" w:rsidP="0038238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83792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5’</w:t>
            </w:r>
            <w:r w:rsidR="0038238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="0038238E" w:rsidRPr="006A6EE2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2"/>
              </w:rPr>
              <w:t>gtggcacccacgatcaca</w:t>
            </w:r>
            <w:r w:rsidR="0038238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83792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3’</w:t>
            </w:r>
          </w:p>
        </w:tc>
      </w:tr>
      <w:tr w:rsidR="00837928" w:rsidRPr="00837928" w:rsidTr="0038238E">
        <w:trPr>
          <w:trHeight w:val="285"/>
        </w:trPr>
        <w:tc>
          <w:tcPr>
            <w:tcW w:w="2109" w:type="dxa"/>
            <w:vMerge/>
            <w:shd w:val="clear" w:color="auto" w:fill="auto"/>
            <w:noWrap/>
            <w:vAlign w:val="center"/>
            <w:hideMark/>
          </w:tcPr>
          <w:p w:rsidR="00837928" w:rsidRPr="00837928" w:rsidRDefault="00837928" w:rsidP="00F304E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837928" w:rsidRPr="00837928" w:rsidRDefault="00837928" w:rsidP="0083792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83792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Reverse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837928" w:rsidRPr="00837928" w:rsidRDefault="00837928" w:rsidP="0038238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83792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5’</w:t>
            </w:r>
            <w:r w:rsidR="0038238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="0038238E" w:rsidRPr="006A6EE2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2"/>
              </w:rPr>
              <w:t>gacttcgatgctttccccaat</w:t>
            </w:r>
            <w:r w:rsidR="0038238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83792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3’</w:t>
            </w:r>
          </w:p>
        </w:tc>
      </w:tr>
      <w:tr w:rsidR="00F66CD1" w:rsidRPr="00837928" w:rsidTr="0038238E">
        <w:trPr>
          <w:trHeight w:val="285"/>
        </w:trPr>
        <w:tc>
          <w:tcPr>
            <w:tcW w:w="2109" w:type="dxa"/>
            <w:vMerge w:val="restart"/>
            <w:shd w:val="clear" w:color="auto" w:fill="auto"/>
            <w:noWrap/>
            <w:vAlign w:val="center"/>
            <w:hideMark/>
          </w:tcPr>
          <w:p w:rsidR="00F66CD1" w:rsidRPr="00837928" w:rsidRDefault="00F66CD1" w:rsidP="00F304E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 xml:space="preserve">Human </w:t>
            </w:r>
            <w:r w:rsidRPr="0083792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GAPDH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66CD1" w:rsidRPr="00837928" w:rsidRDefault="00F66CD1" w:rsidP="0083792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83792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Forward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F66CD1" w:rsidRPr="00837928" w:rsidRDefault="00F66CD1" w:rsidP="0038238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83792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5’</w:t>
            </w:r>
            <w:r w:rsidRPr="0038238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38238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gagtcaacggatttggtcgt</w:t>
            </w:r>
            <w:proofErr w:type="spellEnd"/>
            <w:r w:rsidRPr="0083792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 xml:space="preserve"> 3’</w:t>
            </w:r>
          </w:p>
        </w:tc>
      </w:tr>
      <w:tr w:rsidR="00F66CD1" w:rsidRPr="00837928" w:rsidTr="00121FDA">
        <w:trPr>
          <w:trHeight w:val="285"/>
        </w:trPr>
        <w:tc>
          <w:tcPr>
            <w:tcW w:w="2109" w:type="dxa"/>
            <w:vMerge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CD1" w:rsidRPr="00837928" w:rsidRDefault="00F66CD1" w:rsidP="00F304E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30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CD1" w:rsidRPr="00837928" w:rsidRDefault="00F66CD1" w:rsidP="0083792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83792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Reverse</w:t>
            </w:r>
          </w:p>
        </w:tc>
        <w:tc>
          <w:tcPr>
            <w:tcW w:w="5245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6CD1" w:rsidRPr="00837928" w:rsidRDefault="00F66CD1" w:rsidP="0038238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83792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5’</w:t>
            </w:r>
            <w:r w:rsidRPr="0038238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6A6EE2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2"/>
              </w:rPr>
              <w:t>ttgattttggagggatctcg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83792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3’</w:t>
            </w:r>
          </w:p>
        </w:tc>
      </w:tr>
    </w:tbl>
    <w:p w:rsidR="00FA5214" w:rsidRDefault="00FA5214" w:rsidP="000E62F8">
      <w:pPr>
        <w:widowControl/>
        <w:rPr>
          <w:rFonts w:ascii="Times New Roman" w:eastAsia="SimSun" w:hAnsi="Times New Roman" w:cs="Times New Roman"/>
          <w:i/>
          <w:kern w:val="0"/>
          <w:sz w:val="22"/>
        </w:rPr>
      </w:pPr>
    </w:p>
    <w:p w:rsidR="00FA5214" w:rsidRDefault="00F304E2" w:rsidP="00FA5214">
      <w:pPr>
        <w:pStyle w:val="2"/>
        <w:spacing w:before="0" w:line="240" w:lineRule="auto"/>
      </w:pPr>
      <w:r w:rsidRPr="000E62F8">
        <w:rPr>
          <w:i/>
          <w:szCs w:val="22"/>
        </w:rPr>
        <w:t>Table S1</w:t>
      </w:r>
      <w:r>
        <w:rPr>
          <w:i/>
        </w:rPr>
        <w:t>-3</w:t>
      </w:r>
      <w:r w:rsidRPr="000E62F8">
        <w:rPr>
          <w:i/>
          <w:szCs w:val="22"/>
        </w:rPr>
        <w:t xml:space="preserve">: </w:t>
      </w:r>
      <w:r>
        <w:rPr>
          <w:i/>
        </w:rPr>
        <w:t xml:space="preserve">Primer sequence of </w:t>
      </w:r>
      <w:r w:rsidR="00FA5214" w:rsidRPr="00FA5214">
        <w:rPr>
          <w:i/>
        </w:rPr>
        <w:t>Real-time PCR</w:t>
      </w:r>
    </w:p>
    <w:p w:rsidR="000E62F8" w:rsidRDefault="000E62F8" w:rsidP="00376636">
      <w:pPr>
        <w:widowControl/>
        <w:rPr>
          <w:rFonts w:ascii="Times New Roman" w:eastAsia="SimSun" w:hAnsi="Times New Roman" w:cs="Times New Roman"/>
          <w:i/>
          <w:kern w:val="0"/>
          <w:sz w:val="22"/>
        </w:rPr>
      </w:pPr>
    </w:p>
    <w:tbl>
      <w:tblPr>
        <w:tblW w:w="8784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1417"/>
        <w:gridCol w:w="5245"/>
      </w:tblGrid>
      <w:tr w:rsidR="00F304E2" w:rsidRPr="00F304E2" w:rsidTr="00FA5214">
        <w:trPr>
          <w:trHeight w:val="285"/>
        </w:trPr>
        <w:tc>
          <w:tcPr>
            <w:tcW w:w="212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04E2" w:rsidRPr="00F304E2" w:rsidRDefault="00F304E2" w:rsidP="00F304E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F304E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Gene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04E2" w:rsidRPr="00F304E2" w:rsidRDefault="00F304E2" w:rsidP="00F304E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S</w:t>
            </w:r>
            <w:r w:rsidRPr="00F304E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equence</w:t>
            </w:r>
          </w:p>
        </w:tc>
      </w:tr>
      <w:tr w:rsidR="00F304E2" w:rsidRPr="00F304E2" w:rsidTr="00FA5214">
        <w:trPr>
          <w:trHeight w:val="285"/>
        </w:trPr>
        <w:tc>
          <w:tcPr>
            <w:tcW w:w="2122" w:type="dxa"/>
            <w:vMerge w:val="restart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04E2" w:rsidRPr="00F304E2" w:rsidRDefault="00F304E2" w:rsidP="00F304E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F304E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human ERV3</w:t>
            </w:r>
          </w:p>
        </w:tc>
        <w:tc>
          <w:tcPr>
            <w:tcW w:w="1417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04E2" w:rsidRPr="00F304E2" w:rsidRDefault="00F304E2" w:rsidP="00F304E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F304E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Probe</w:t>
            </w:r>
          </w:p>
        </w:tc>
        <w:tc>
          <w:tcPr>
            <w:tcW w:w="5245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04E2" w:rsidRPr="00F304E2" w:rsidRDefault="00F304E2" w:rsidP="00F304E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F304E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5’ 6FAM-tcttccctcgaacctgcaccatcaagtca-TAMRA 3’</w:t>
            </w:r>
          </w:p>
        </w:tc>
      </w:tr>
      <w:tr w:rsidR="00F304E2" w:rsidRPr="00F304E2" w:rsidTr="00FA5214">
        <w:trPr>
          <w:trHeight w:val="285"/>
        </w:trPr>
        <w:tc>
          <w:tcPr>
            <w:tcW w:w="2122" w:type="dxa"/>
            <w:vMerge/>
            <w:vAlign w:val="center"/>
            <w:hideMark/>
          </w:tcPr>
          <w:p w:rsidR="00F304E2" w:rsidRPr="00F304E2" w:rsidRDefault="00F304E2" w:rsidP="00F304E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304E2" w:rsidRPr="00F304E2" w:rsidRDefault="00F304E2" w:rsidP="00F304E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F304E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Forward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F304E2" w:rsidRPr="00F304E2" w:rsidRDefault="00F304E2" w:rsidP="00F304E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F304E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 xml:space="preserve">5’ </w:t>
            </w:r>
            <w:r w:rsidRPr="006A6EE2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2"/>
              </w:rPr>
              <w:t>catgggaagcaagggaactaatg</w:t>
            </w:r>
            <w:r w:rsidRPr="00F304E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 xml:space="preserve"> 3’</w:t>
            </w:r>
          </w:p>
        </w:tc>
      </w:tr>
      <w:tr w:rsidR="00F304E2" w:rsidRPr="00F304E2" w:rsidTr="00F66CD1">
        <w:trPr>
          <w:trHeight w:val="285"/>
        </w:trPr>
        <w:tc>
          <w:tcPr>
            <w:tcW w:w="212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F304E2" w:rsidRPr="00F304E2" w:rsidRDefault="00F304E2" w:rsidP="00F304E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4E2" w:rsidRPr="00F304E2" w:rsidRDefault="00F304E2" w:rsidP="00F304E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F304E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Reverse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4E2" w:rsidRPr="00F304E2" w:rsidRDefault="00F304E2" w:rsidP="00F304E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F304E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 xml:space="preserve">5’ </w:t>
            </w:r>
            <w:r w:rsidRPr="006A6EE2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2"/>
              </w:rPr>
              <w:t>cccagcgagcaatacagaattt</w:t>
            </w:r>
            <w:r w:rsidRPr="00F304E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 xml:space="preserve"> 3’</w:t>
            </w:r>
          </w:p>
        </w:tc>
      </w:tr>
      <w:tr w:rsidR="00F304E2" w:rsidRPr="00F304E2" w:rsidTr="00FA5214">
        <w:trPr>
          <w:trHeight w:val="285"/>
        </w:trPr>
        <w:tc>
          <w:tcPr>
            <w:tcW w:w="2122" w:type="dxa"/>
            <w:vMerge w:val="restart"/>
            <w:shd w:val="clear" w:color="auto" w:fill="auto"/>
            <w:noWrap/>
            <w:vAlign w:val="center"/>
            <w:hideMark/>
          </w:tcPr>
          <w:p w:rsidR="00F304E2" w:rsidRPr="00F304E2" w:rsidRDefault="00F304E2" w:rsidP="00F304E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F304E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mouse GAPDH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304E2" w:rsidRPr="00F304E2" w:rsidRDefault="00F304E2" w:rsidP="00F304E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F304E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Probe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F304E2" w:rsidRPr="00F304E2" w:rsidRDefault="00F304E2" w:rsidP="00F304E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F304E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5’ 6FAM-</w:t>
            </w:r>
            <w:r w:rsidRPr="006A6EE2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2"/>
              </w:rPr>
              <w:t>tcagcaatgcatcatcctgcaccaccaact</w:t>
            </w:r>
            <w:r w:rsidRPr="00F304E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-TAMRA 3’</w:t>
            </w:r>
          </w:p>
        </w:tc>
      </w:tr>
      <w:tr w:rsidR="00F304E2" w:rsidRPr="00F304E2" w:rsidTr="00FA5214">
        <w:trPr>
          <w:trHeight w:val="285"/>
        </w:trPr>
        <w:tc>
          <w:tcPr>
            <w:tcW w:w="2122" w:type="dxa"/>
            <w:vMerge/>
            <w:vAlign w:val="center"/>
            <w:hideMark/>
          </w:tcPr>
          <w:p w:rsidR="00F304E2" w:rsidRPr="00F304E2" w:rsidRDefault="00F304E2" w:rsidP="00F304E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304E2" w:rsidRPr="00F304E2" w:rsidRDefault="00F304E2" w:rsidP="00F304E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F304E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Forward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F304E2" w:rsidRPr="00F304E2" w:rsidRDefault="00F304E2" w:rsidP="00F304E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F304E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 xml:space="preserve">5’ </w:t>
            </w:r>
            <w:r w:rsidRPr="006A6EE2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2"/>
              </w:rPr>
              <w:t>accacgagaaatatgacaactca</w:t>
            </w:r>
            <w:r w:rsidRPr="00F304E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 xml:space="preserve"> 3’</w:t>
            </w:r>
          </w:p>
        </w:tc>
      </w:tr>
      <w:tr w:rsidR="00F304E2" w:rsidRPr="00F304E2" w:rsidTr="00F66CD1">
        <w:trPr>
          <w:trHeight w:val="285"/>
        </w:trPr>
        <w:tc>
          <w:tcPr>
            <w:tcW w:w="2122" w:type="dxa"/>
            <w:vMerge/>
            <w:tcBorders>
              <w:bottom w:val="single" w:sz="8" w:space="0" w:color="auto"/>
            </w:tcBorders>
            <w:vAlign w:val="center"/>
            <w:hideMark/>
          </w:tcPr>
          <w:p w:rsidR="00F304E2" w:rsidRPr="00F304E2" w:rsidRDefault="00F304E2" w:rsidP="00F304E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04E2" w:rsidRPr="00F304E2" w:rsidRDefault="00F304E2" w:rsidP="00F304E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F304E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Reverse</w:t>
            </w:r>
          </w:p>
        </w:tc>
        <w:tc>
          <w:tcPr>
            <w:tcW w:w="5245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04E2" w:rsidRPr="00F304E2" w:rsidRDefault="00F304E2" w:rsidP="00F304E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F304E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 xml:space="preserve">5’ </w:t>
            </w:r>
            <w:r w:rsidRPr="006A6EE2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2"/>
              </w:rPr>
              <w:t>cccactgcctacataccatgagc</w:t>
            </w:r>
            <w:r w:rsidRPr="00F304E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 xml:space="preserve"> 3’</w:t>
            </w:r>
          </w:p>
        </w:tc>
      </w:tr>
    </w:tbl>
    <w:p w:rsidR="00F304E2" w:rsidRPr="000E62F8" w:rsidRDefault="00F304E2" w:rsidP="00376636">
      <w:pPr>
        <w:widowControl/>
        <w:rPr>
          <w:rFonts w:ascii="Times New Roman" w:eastAsia="SimSun" w:hAnsi="Times New Roman" w:cs="Times New Roman"/>
          <w:i/>
          <w:kern w:val="0"/>
          <w:sz w:val="22"/>
        </w:rPr>
      </w:pPr>
    </w:p>
    <w:p w:rsidR="00376636" w:rsidRDefault="00376636" w:rsidP="00376636">
      <w:pPr>
        <w:widowControl/>
        <w:rPr>
          <w:rFonts w:ascii="Times New Roman" w:eastAsia="SimSun" w:hAnsi="Times New Roman" w:cs="Times New Roman"/>
          <w:i/>
          <w:kern w:val="0"/>
          <w:sz w:val="22"/>
        </w:rPr>
      </w:pPr>
      <w:r>
        <w:rPr>
          <w:noProof/>
          <w:lang w:val="en-PH" w:eastAsia="en-PH"/>
        </w:rPr>
        <w:lastRenderedPageBreak/>
        <w:drawing>
          <wp:inline distT="0" distB="0" distL="0" distR="0" wp14:anchorId="71A2DF7E" wp14:editId="1064D10C">
            <wp:extent cx="5815013" cy="4428703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5868" b="34845"/>
                    <a:stretch/>
                  </pic:blipFill>
                  <pic:spPr bwMode="auto">
                    <a:xfrm>
                      <a:off x="0" y="0"/>
                      <a:ext cx="5826338" cy="4437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76636" w:rsidRPr="00505DF4" w:rsidRDefault="00376636" w:rsidP="00376636">
      <w:pPr>
        <w:widowControl/>
        <w:rPr>
          <w:rFonts w:ascii="Times New Roman" w:eastAsia="SimSun" w:hAnsi="Times New Roman" w:cs="Times New Roman"/>
          <w:i/>
          <w:kern w:val="0"/>
          <w:sz w:val="22"/>
        </w:rPr>
      </w:pPr>
      <w:r w:rsidRPr="004064A4">
        <w:rPr>
          <w:rFonts w:ascii="Times New Roman" w:eastAsia="SimSun" w:hAnsi="Times New Roman" w:cs="Times New Roman"/>
          <w:i/>
          <w:kern w:val="0"/>
          <w:sz w:val="22"/>
        </w:rPr>
        <w:t>F</w:t>
      </w:r>
      <w:r w:rsidRPr="00505DF4">
        <w:rPr>
          <w:rFonts w:ascii="Times New Roman" w:eastAsia="SimSun" w:hAnsi="Times New Roman" w:cs="Times New Roman"/>
          <w:i/>
          <w:kern w:val="0"/>
          <w:sz w:val="22"/>
        </w:rPr>
        <w:t xml:space="preserve">igure </w:t>
      </w:r>
      <w:r>
        <w:rPr>
          <w:rFonts w:ascii="Times New Roman" w:eastAsia="SimSun" w:hAnsi="Times New Roman" w:cs="Times New Roman"/>
          <w:i/>
          <w:kern w:val="0"/>
          <w:sz w:val="22"/>
        </w:rPr>
        <w:t>S</w:t>
      </w:r>
      <w:r w:rsidRPr="00505DF4">
        <w:rPr>
          <w:rFonts w:ascii="Times New Roman" w:eastAsia="SimSun" w:hAnsi="Times New Roman" w:cs="Times New Roman"/>
          <w:i/>
          <w:kern w:val="0"/>
          <w:sz w:val="22"/>
        </w:rPr>
        <w:t xml:space="preserve">1: Characterization of </w:t>
      </w:r>
      <w:r>
        <w:rPr>
          <w:rFonts w:ascii="Times New Roman" w:eastAsia="SimSun" w:hAnsi="Times New Roman" w:cs="Times New Roman"/>
          <w:i/>
          <w:kern w:val="0"/>
          <w:sz w:val="22"/>
        </w:rPr>
        <w:t xml:space="preserve">the transduced cord blood </w:t>
      </w:r>
      <w:r w:rsidRPr="00505DF4">
        <w:rPr>
          <w:rFonts w:ascii="Times New Roman" w:eastAsia="SimSun" w:hAnsi="Times New Roman" w:cs="Times New Roman"/>
          <w:i/>
          <w:kern w:val="0"/>
          <w:sz w:val="22"/>
        </w:rPr>
        <w:t>ECFCs</w:t>
      </w:r>
    </w:p>
    <w:p w:rsidR="00376636" w:rsidRDefault="00376636" w:rsidP="00376636">
      <w:pPr>
        <w:widowControl/>
        <w:rPr>
          <w:rFonts w:ascii="Times New Roman" w:eastAsia="SimSun" w:hAnsi="Times New Roman" w:cs="Times New Roman"/>
          <w:i/>
          <w:kern w:val="0"/>
          <w:sz w:val="22"/>
          <w:lang w:eastAsia="en-US"/>
        </w:rPr>
      </w:pPr>
      <w:r>
        <w:rPr>
          <w:rFonts w:ascii="Times New Roman" w:eastAsia="SimSun" w:hAnsi="Times New Roman" w:cs="Times New Roman"/>
          <w:i/>
          <w:kern w:val="0"/>
          <w:sz w:val="22"/>
          <w:lang w:eastAsia="en-US"/>
        </w:rPr>
        <w:t xml:space="preserve">(A) </w:t>
      </w:r>
      <w:r w:rsidRPr="00505DF4">
        <w:rPr>
          <w:rFonts w:ascii="Times New Roman" w:eastAsia="SimSun" w:hAnsi="Times New Roman" w:cs="Times New Roman"/>
          <w:i/>
          <w:kern w:val="0"/>
          <w:sz w:val="22"/>
          <w:lang w:eastAsia="en-US"/>
        </w:rPr>
        <w:t>Flow cytometric analysis of ECFC immunophenotype for expression of surface markers</w:t>
      </w:r>
      <w:r>
        <w:rPr>
          <w:rFonts w:ascii="Times New Roman" w:eastAsia="SimSun" w:hAnsi="Times New Roman" w:cs="Times New Roman"/>
          <w:i/>
          <w:kern w:val="0"/>
          <w:sz w:val="22"/>
          <w:lang w:eastAsia="en-US"/>
        </w:rPr>
        <w:t xml:space="preserve">. </w:t>
      </w:r>
      <w:r w:rsidRPr="00505DF4">
        <w:rPr>
          <w:rFonts w:ascii="Times New Roman" w:eastAsia="SimSun" w:hAnsi="Times New Roman" w:cs="Times New Roman"/>
          <w:i/>
          <w:kern w:val="0"/>
          <w:sz w:val="22"/>
          <w:lang w:eastAsia="en-US"/>
        </w:rPr>
        <w:t>(</w:t>
      </w:r>
      <w:r>
        <w:rPr>
          <w:rFonts w:ascii="Times New Roman" w:eastAsia="SimSun" w:hAnsi="Times New Roman" w:cs="Times New Roman"/>
          <w:i/>
          <w:kern w:val="0"/>
          <w:sz w:val="22"/>
          <w:lang w:eastAsia="en-US"/>
        </w:rPr>
        <w:t>B</w:t>
      </w:r>
      <w:r>
        <w:rPr>
          <w:rFonts w:ascii="Times New Roman" w:eastAsia="SimSun" w:hAnsi="Times New Roman" w:cs="Times New Roman" w:hint="eastAsia"/>
          <w:i/>
          <w:kern w:val="0"/>
          <w:sz w:val="22"/>
        </w:rPr>
        <w:t>)</w:t>
      </w:r>
      <w:r w:rsidRPr="00505DF4">
        <w:rPr>
          <w:rFonts w:ascii="Times New Roman" w:eastAsia="SimSun" w:hAnsi="Times New Roman" w:cs="Times New Roman"/>
          <w:i/>
          <w:kern w:val="0"/>
          <w:sz w:val="22"/>
          <w:lang w:eastAsia="en-US"/>
        </w:rPr>
        <w:t xml:space="preserve"> Acetylated low-density lipoprotein uptake</w:t>
      </w:r>
      <w:r>
        <w:rPr>
          <w:rFonts w:ascii="Times New Roman" w:eastAsia="SimSun" w:hAnsi="Times New Roman" w:cs="Times New Roman"/>
          <w:i/>
          <w:kern w:val="0"/>
          <w:sz w:val="22"/>
          <w:lang w:eastAsia="en-US"/>
        </w:rPr>
        <w:t xml:space="preserve"> by ECFCs. (C) </w:t>
      </w:r>
      <w:r w:rsidRPr="00505DF4">
        <w:rPr>
          <w:rFonts w:ascii="Times New Roman" w:eastAsia="SimSun" w:hAnsi="Times New Roman" w:cs="Times New Roman"/>
          <w:i/>
          <w:kern w:val="0"/>
          <w:sz w:val="22"/>
          <w:lang w:eastAsia="en-US"/>
        </w:rPr>
        <w:t>Matrigel tube formation</w:t>
      </w:r>
      <w:r>
        <w:rPr>
          <w:rFonts w:ascii="Times New Roman" w:eastAsia="SimSun" w:hAnsi="Times New Roman" w:cs="Times New Roman"/>
          <w:i/>
          <w:kern w:val="0"/>
          <w:sz w:val="22"/>
          <w:lang w:eastAsia="en-US"/>
        </w:rPr>
        <w:t xml:space="preserve"> by ECFCs</w:t>
      </w:r>
      <w:r w:rsidRPr="00505DF4">
        <w:rPr>
          <w:rFonts w:ascii="Times New Roman" w:eastAsia="SimSun" w:hAnsi="Times New Roman" w:cs="Times New Roman"/>
          <w:i/>
          <w:kern w:val="0"/>
          <w:sz w:val="22"/>
          <w:lang w:eastAsia="en-US"/>
        </w:rPr>
        <w:t>.</w:t>
      </w:r>
    </w:p>
    <w:p w:rsidR="00376636" w:rsidRDefault="00376636" w:rsidP="00376636">
      <w:pPr>
        <w:widowControl/>
        <w:rPr>
          <w:rFonts w:ascii="Times New Roman" w:eastAsia="SimSun" w:hAnsi="Times New Roman" w:cs="Times New Roman"/>
          <w:i/>
          <w:kern w:val="0"/>
          <w:sz w:val="22"/>
          <w:lang w:eastAsia="en-US"/>
        </w:rPr>
      </w:pPr>
    </w:p>
    <w:p w:rsidR="00376636" w:rsidRDefault="00376636" w:rsidP="00376636">
      <w:pPr>
        <w:widowControl/>
        <w:rPr>
          <w:rFonts w:ascii="Times New Roman" w:eastAsia="SimSun" w:hAnsi="Times New Roman" w:cs="Times New Roman"/>
          <w:i/>
          <w:kern w:val="0"/>
          <w:sz w:val="22"/>
        </w:rPr>
      </w:pPr>
    </w:p>
    <w:p w:rsidR="00376636" w:rsidRPr="00505DF4" w:rsidRDefault="00376636" w:rsidP="00376636">
      <w:pPr>
        <w:widowControl/>
        <w:rPr>
          <w:rFonts w:ascii="Times New Roman" w:eastAsia="SimSun" w:hAnsi="Times New Roman" w:cs="Times New Roman"/>
          <w:i/>
          <w:kern w:val="0"/>
          <w:sz w:val="22"/>
        </w:rPr>
      </w:pPr>
      <w:r>
        <w:rPr>
          <w:rFonts w:ascii="Times New Roman" w:eastAsia="SimSun" w:hAnsi="Times New Roman" w:cs="Times New Roman"/>
          <w:i/>
          <w:noProof/>
          <w:kern w:val="0"/>
          <w:sz w:val="22"/>
          <w:lang w:val="en-PH" w:eastAsia="en-PH"/>
        </w:rPr>
        <w:drawing>
          <wp:inline distT="0" distB="0" distL="0" distR="0">
            <wp:extent cx="5762625" cy="2166938"/>
            <wp:effectExtent l="0" t="0" r="0" b="508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9838"/>
                    <a:stretch/>
                  </pic:blipFill>
                  <pic:spPr bwMode="auto">
                    <a:xfrm>
                      <a:off x="0" y="0"/>
                      <a:ext cx="5762625" cy="2166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05DF4">
        <w:rPr>
          <w:rFonts w:ascii="Times New Roman" w:eastAsia="SimSun" w:hAnsi="Times New Roman" w:cs="Times New Roman" w:hint="eastAsia"/>
          <w:i/>
          <w:kern w:val="0"/>
          <w:sz w:val="22"/>
        </w:rPr>
        <w:t>F</w:t>
      </w:r>
      <w:r w:rsidRPr="00505DF4">
        <w:rPr>
          <w:rFonts w:ascii="Times New Roman" w:eastAsia="SimSun" w:hAnsi="Times New Roman" w:cs="Times New Roman"/>
          <w:i/>
          <w:kern w:val="0"/>
          <w:sz w:val="22"/>
        </w:rPr>
        <w:t xml:space="preserve">igure </w:t>
      </w:r>
      <w:r>
        <w:rPr>
          <w:rFonts w:ascii="Times New Roman" w:eastAsia="SimSun" w:hAnsi="Times New Roman" w:cs="Times New Roman"/>
          <w:i/>
          <w:kern w:val="0"/>
          <w:sz w:val="22"/>
        </w:rPr>
        <w:t>S2</w:t>
      </w:r>
      <w:r w:rsidRPr="00505DF4">
        <w:rPr>
          <w:rFonts w:ascii="Times New Roman" w:eastAsia="SimSun" w:hAnsi="Times New Roman" w:cs="Times New Roman"/>
          <w:i/>
          <w:kern w:val="0"/>
          <w:sz w:val="22"/>
        </w:rPr>
        <w:t xml:space="preserve">: Characterization of </w:t>
      </w:r>
      <w:r>
        <w:rPr>
          <w:rFonts w:ascii="Times New Roman" w:eastAsia="SimSun" w:hAnsi="Times New Roman" w:cs="Times New Roman"/>
          <w:i/>
          <w:kern w:val="0"/>
          <w:sz w:val="22"/>
        </w:rPr>
        <w:t xml:space="preserve">the transduced </w:t>
      </w:r>
      <w:r>
        <w:rPr>
          <w:rFonts w:ascii="Times New Roman" w:eastAsia="SimSun" w:hAnsi="Times New Roman" w:cs="Times New Roman" w:hint="eastAsia"/>
          <w:i/>
          <w:kern w:val="0"/>
          <w:sz w:val="22"/>
        </w:rPr>
        <w:t>P</w:t>
      </w:r>
      <w:r>
        <w:rPr>
          <w:rFonts w:ascii="Times New Roman" w:eastAsia="SimSun" w:hAnsi="Times New Roman" w:cs="Times New Roman"/>
          <w:i/>
          <w:kern w:val="0"/>
          <w:sz w:val="22"/>
        </w:rPr>
        <w:t>MSCs</w:t>
      </w:r>
    </w:p>
    <w:p w:rsidR="00376636" w:rsidRDefault="00376636" w:rsidP="00376636">
      <w:pPr>
        <w:widowControl/>
        <w:rPr>
          <w:rFonts w:ascii="Times New Roman" w:eastAsia="SimSun" w:hAnsi="Times New Roman" w:cs="Times New Roman"/>
          <w:i/>
          <w:kern w:val="0"/>
          <w:sz w:val="22"/>
          <w:lang w:eastAsia="en-US"/>
        </w:rPr>
      </w:pPr>
      <w:r w:rsidRPr="00505DF4">
        <w:rPr>
          <w:rFonts w:ascii="Times New Roman" w:eastAsia="SimSun" w:hAnsi="Times New Roman" w:cs="Times New Roman"/>
          <w:i/>
          <w:kern w:val="0"/>
          <w:sz w:val="22"/>
          <w:lang w:eastAsia="en-US"/>
        </w:rPr>
        <w:t>Flow cytometric analysis of immunophenotype for expression of surface markers</w:t>
      </w:r>
      <w:r>
        <w:rPr>
          <w:rFonts w:ascii="Times New Roman" w:eastAsia="SimSun" w:hAnsi="Times New Roman" w:cs="Times New Roman"/>
          <w:i/>
          <w:kern w:val="0"/>
          <w:sz w:val="22"/>
          <w:lang w:eastAsia="en-US"/>
        </w:rPr>
        <w:t xml:space="preserve"> in transduced </w:t>
      </w:r>
      <w:r>
        <w:rPr>
          <w:rFonts w:ascii="Times New Roman" w:eastAsia="SimSun" w:hAnsi="Times New Roman" w:cs="Times New Roman" w:hint="eastAsia"/>
          <w:i/>
          <w:kern w:val="0"/>
          <w:sz w:val="22"/>
        </w:rPr>
        <w:t>P</w:t>
      </w:r>
      <w:r>
        <w:rPr>
          <w:rFonts w:ascii="Times New Roman" w:eastAsia="SimSun" w:hAnsi="Times New Roman" w:cs="Times New Roman"/>
          <w:i/>
          <w:kern w:val="0"/>
          <w:sz w:val="22"/>
          <w:lang w:eastAsia="en-US"/>
        </w:rPr>
        <w:t>MSCs</w:t>
      </w:r>
      <w:r w:rsidRPr="00505DF4">
        <w:rPr>
          <w:rFonts w:ascii="Times New Roman" w:eastAsia="SimSun" w:hAnsi="Times New Roman" w:cs="Times New Roman"/>
          <w:i/>
          <w:kern w:val="0"/>
          <w:sz w:val="22"/>
          <w:lang w:eastAsia="en-US"/>
        </w:rPr>
        <w:t xml:space="preserve"> (</w:t>
      </w:r>
      <w:r>
        <w:rPr>
          <w:rFonts w:ascii="Times New Roman" w:eastAsia="SimSun" w:hAnsi="Times New Roman" w:cs="Times New Roman"/>
          <w:i/>
          <w:kern w:val="0"/>
          <w:sz w:val="22"/>
          <w:lang w:eastAsia="en-US"/>
        </w:rPr>
        <w:t>A</w:t>
      </w:r>
      <w:r w:rsidRPr="00505DF4">
        <w:rPr>
          <w:rFonts w:ascii="Times New Roman" w:eastAsia="SimSun" w:hAnsi="Times New Roman" w:cs="Times New Roman"/>
          <w:i/>
          <w:kern w:val="0"/>
          <w:sz w:val="22"/>
          <w:lang w:eastAsia="en-US"/>
        </w:rPr>
        <w:t>)</w:t>
      </w:r>
      <w:r>
        <w:rPr>
          <w:rFonts w:ascii="Times New Roman" w:eastAsia="SimSun" w:hAnsi="Times New Roman" w:cs="Times New Roman"/>
          <w:i/>
          <w:kern w:val="0"/>
          <w:sz w:val="22"/>
          <w:lang w:eastAsia="en-US"/>
        </w:rPr>
        <w:t xml:space="preserve"> and transduction rate was characterized by Td-Tomato expression rate (B).</w:t>
      </w:r>
    </w:p>
    <w:p w:rsidR="00376636" w:rsidRPr="004201F5" w:rsidRDefault="00376636" w:rsidP="00376636">
      <w:pPr>
        <w:widowControl/>
        <w:rPr>
          <w:rFonts w:ascii="Times New Roman" w:eastAsia="SimSun" w:hAnsi="Times New Roman" w:cs="Times New Roman"/>
          <w:kern w:val="0"/>
          <w:sz w:val="22"/>
        </w:rPr>
      </w:pPr>
    </w:p>
    <w:p w:rsidR="00376636" w:rsidRPr="00505DF4" w:rsidRDefault="00376636" w:rsidP="00376636">
      <w:pPr>
        <w:widowControl/>
        <w:rPr>
          <w:rFonts w:ascii="Times New Roman" w:eastAsia="SimSun" w:hAnsi="Times New Roman" w:cs="Times New Roman"/>
          <w:i/>
          <w:kern w:val="0"/>
          <w:sz w:val="22"/>
        </w:rPr>
      </w:pPr>
      <w:r>
        <w:rPr>
          <w:rFonts w:ascii="Times New Roman" w:eastAsia="SimSun" w:hAnsi="Times New Roman" w:cs="Times New Roman" w:hint="eastAsia"/>
          <w:i/>
          <w:noProof/>
          <w:kern w:val="0"/>
          <w:sz w:val="22"/>
          <w:lang w:val="en-PH" w:eastAsia="en-PH"/>
        </w:rPr>
        <w:lastRenderedPageBreak/>
        <w:drawing>
          <wp:inline distT="0" distB="0" distL="0" distR="0">
            <wp:extent cx="6396717" cy="3328988"/>
            <wp:effectExtent l="0" t="0" r="4445" b="508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166"/>
                    <a:stretch/>
                  </pic:blipFill>
                  <pic:spPr bwMode="auto">
                    <a:xfrm>
                      <a:off x="0" y="0"/>
                      <a:ext cx="6401988" cy="3331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05DF4">
        <w:rPr>
          <w:rFonts w:ascii="Times New Roman" w:eastAsia="SimSun" w:hAnsi="Times New Roman" w:cs="Times New Roman" w:hint="eastAsia"/>
          <w:i/>
          <w:kern w:val="0"/>
          <w:sz w:val="22"/>
        </w:rPr>
        <w:t>F</w:t>
      </w:r>
      <w:r w:rsidRPr="00505DF4">
        <w:rPr>
          <w:rFonts w:ascii="Times New Roman" w:eastAsia="SimSun" w:hAnsi="Times New Roman" w:cs="Times New Roman"/>
          <w:i/>
          <w:kern w:val="0"/>
          <w:sz w:val="22"/>
        </w:rPr>
        <w:t xml:space="preserve">igure </w:t>
      </w:r>
      <w:r>
        <w:rPr>
          <w:rFonts w:ascii="Times New Roman" w:eastAsia="SimSun" w:hAnsi="Times New Roman" w:cs="Times New Roman"/>
          <w:i/>
          <w:kern w:val="0"/>
          <w:sz w:val="22"/>
        </w:rPr>
        <w:t>S</w:t>
      </w:r>
      <w:r w:rsidRPr="00505DF4">
        <w:rPr>
          <w:rFonts w:ascii="Times New Roman" w:eastAsia="SimSun" w:hAnsi="Times New Roman" w:cs="Times New Roman"/>
          <w:i/>
          <w:kern w:val="0"/>
          <w:sz w:val="22"/>
        </w:rPr>
        <w:t xml:space="preserve">3: Short-term monitoring </w:t>
      </w:r>
      <w:r>
        <w:rPr>
          <w:rFonts w:ascii="Times New Roman" w:eastAsia="SimSun" w:hAnsi="Times New Roman" w:cs="Times New Roman"/>
          <w:i/>
          <w:kern w:val="0"/>
          <w:sz w:val="22"/>
        </w:rPr>
        <w:t xml:space="preserve">of </w:t>
      </w:r>
      <w:r w:rsidRPr="00505DF4">
        <w:rPr>
          <w:rFonts w:ascii="Times New Roman" w:eastAsia="SimSun" w:hAnsi="Times New Roman" w:cs="Times New Roman"/>
          <w:i/>
          <w:kern w:val="0"/>
          <w:sz w:val="22"/>
        </w:rPr>
        <w:t>cell</w:t>
      </w:r>
      <w:r>
        <w:rPr>
          <w:rFonts w:ascii="Times New Roman" w:eastAsia="SimSun" w:hAnsi="Times New Roman" w:cs="Times New Roman"/>
          <w:i/>
          <w:kern w:val="0"/>
          <w:sz w:val="22"/>
        </w:rPr>
        <w:t xml:space="preserve"> retention after</w:t>
      </w:r>
      <w:r w:rsidRPr="00505DF4">
        <w:rPr>
          <w:rFonts w:ascii="Times New Roman" w:eastAsia="SimSun" w:hAnsi="Times New Roman" w:cs="Times New Roman"/>
          <w:i/>
          <w:kern w:val="0"/>
          <w:sz w:val="22"/>
        </w:rPr>
        <w:t xml:space="preserve"> transplantation in </w:t>
      </w:r>
      <w:r>
        <w:rPr>
          <w:rFonts w:ascii="Times New Roman" w:eastAsia="SimSun" w:hAnsi="Times New Roman" w:cs="Times New Roman"/>
          <w:i/>
          <w:kern w:val="0"/>
          <w:sz w:val="22"/>
        </w:rPr>
        <w:t>neonatal</w:t>
      </w:r>
      <w:r w:rsidRPr="00505DF4">
        <w:rPr>
          <w:rFonts w:ascii="Times New Roman" w:eastAsia="SimSun" w:hAnsi="Times New Roman" w:cs="Times New Roman"/>
          <w:i/>
          <w:kern w:val="0"/>
          <w:sz w:val="22"/>
        </w:rPr>
        <w:t xml:space="preserve"> mice</w:t>
      </w:r>
    </w:p>
    <w:p w:rsidR="00376636" w:rsidRPr="00505DF4" w:rsidRDefault="00376636" w:rsidP="00376636">
      <w:pPr>
        <w:widowControl/>
        <w:rPr>
          <w:rFonts w:ascii="Times New Roman" w:eastAsia="SimSun" w:hAnsi="Times New Roman" w:cs="Times New Roman"/>
          <w:i/>
          <w:kern w:val="0"/>
          <w:sz w:val="22"/>
        </w:rPr>
      </w:pPr>
      <w:r w:rsidRPr="00505DF4">
        <w:rPr>
          <w:rFonts w:ascii="Times New Roman" w:eastAsia="SimSun" w:hAnsi="Times New Roman" w:cs="Times New Roman"/>
          <w:i/>
          <w:kern w:val="0"/>
          <w:sz w:val="22"/>
        </w:rPr>
        <w:t xml:space="preserve"> </w:t>
      </w:r>
      <w:r>
        <w:rPr>
          <w:rFonts w:ascii="Times New Roman" w:eastAsia="SimSun" w:hAnsi="Times New Roman" w:cs="Times New Roman"/>
          <w:i/>
          <w:kern w:val="0"/>
          <w:sz w:val="22"/>
        </w:rPr>
        <w:t xml:space="preserve">(A) </w:t>
      </w:r>
      <w:r w:rsidRPr="00505DF4">
        <w:rPr>
          <w:rFonts w:ascii="Times New Roman" w:eastAsia="SimSun" w:hAnsi="Times New Roman" w:cs="Times New Roman"/>
          <w:i/>
          <w:kern w:val="0"/>
          <w:sz w:val="22"/>
        </w:rPr>
        <w:t>Representative bioluminescence image</w:t>
      </w:r>
      <w:r>
        <w:rPr>
          <w:rFonts w:ascii="Times New Roman" w:eastAsia="SimSun" w:hAnsi="Times New Roman" w:cs="Times New Roman"/>
          <w:i/>
          <w:kern w:val="0"/>
          <w:sz w:val="22"/>
        </w:rPr>
        <w:t>s</w:t>
      </w:r>
      <w:r w:rsidRPr="00505DF4">
        <w:rPr>
          <w:rFonts w:ascii="Times New Roman" w:eastAsia="SimSun" w:hAnsi="Times New Roman" w:cs="Times New Roman"/>
          <w:i/>
          <w:kern w:val="0"/>
          <w:sz w:val="22"/>
        </w:rPr>
        <w:t xml:space="preserve"> </w:t>
      </w:r>
      <w:r>
        <w:rPr>
          <w:rFonts w:ascii="Times New Roman" w:eastAsia="SimSun" w:hAnsi="Times New Roman" w:cs="Times New Roman"/>
          <w:i/>
          <w:kern w:val="0"/>
          <w:sz w:val="22"/>
        </w:rPr>
        <w:t xml:space="preserve">of neonatal transplanted mice </w:t>
      </w:r>
      <w:r w:rsidRPr="00505DF4">
        <w:rPr>
          <w:rFonts w:ascii="Times New Roman" w:eastAsia="SimSun" w:hAnsi="Times New Roman" w:cs="Times New Roman"/>
          <w:i/>
          <w:kern w:val="0"/>
          <w:sz w:val="22"/>
        </w:rPr>
        <w:t>at different</w:t>
      </w:r>
      <w:r>
        <w:rPr>
          <w:rFonts w:ascii="Times New Roman" w:eastAsia="SimSun" w:hAnsi="Times New Roman" w:cs="Times New Roman"/>
          <w:i/>
          <w:kern w:val="0"/>
          <w:sz w:val="22"/>
        </w:rPr>
        <w:t xml:space="preserve"> time</w:t>
      </w:r>
      <w:r w:rsidRPr="00505DF4">
        <w:rPr>
          <w:rFonts w:ascii="Times New Roman" w:eastAsia="SimSun" w:hAnsi="Times New Roman" w:cs="Times New Roman"/>
          <w:i/>
          <w:kern w:val="0"/>
          <w:sz w:val="22"/>
        </w:rPr>
        <w:t xml:space="preserve"> point</w:t>
      </w:r>
      <w:r>
        <w:rPr>
          <w:rFonts w:ascii="Times New Roman" w:eastAsia="SimSun" w:hAnsi="Times New Roman" w:cs="Times New Roman"/>
          <w:i/>
          <w:kern w:val="0"/>
          <w:sz w:val="22"/>
        </w:rPr>
        <w:t>s after transplantation with ECFCs or PMSCs or combination of ECFCs and PMSCs. (B) Q</w:t>
      </w:r>
      <w:r w:rsidRPr="00505DF4">
        <w:rPr>
          <w:rFonts w:ascii="Times New Roman" w:eastAsia="SimSun" w:hAnsi="Times New Roman" w:cs="Times New Roman"/>
          <w:i/>
          <w:kern w:val="0"/>
          <w:sz w:val="22"/>
        </w:rPr>
        <w:t>uantitative analysis</w:t>
      </w:r>
      <w:r>
        <w:rPr>
          <w:rFonts w:ascii="Times New Roman" w:eastAsia="SimSun" w:hAnsi="Times New Roman" w:cs="Times New Roman"/>
          <w:i/>
          <w:kern w:val="0"/>
          <w:sz w:val="22"/>
        </w:rPr>
        <w:t xml:space="preserve"> of the Bioluminescence intensity at 0 to 3 weeks in these mice</w:t>
      </w:r>
      <w:r w:rsidRPr="00505DF4">
        <w:rPr>
          <w:rFonts w:ascii="Times New Roman" w:eastAsia="SimSun" w:hAnsi="Times New Roman" w:cs="Times New Roman"/>
          <w:i/>
          <w:kern w:val="0"/>
          <w:sz w:val="22"/>
        </w:rPr>
        <w:t>.</w:t>
      </w:r>
      <w:r w:rsidRPr="0031511C">
        <w:rPr>
          <w:rFonts w:ascii="Times New Roman" w:eastAsia="SimSun" w:hAnsi="Times New Roman" w:cs="Times New Roman"/>
          <w:kern w:val="0"/>
          <w:sz w:val="22"/>
        </w:rPr>
        <w:t xml:space="preserve"> </w:t>
      </w:r>
      <w:r w:rsidRPr="00316080">
        <w:rPr>
          <w:rFonts w:ascii="Times New Roman" w:eastAsia="SimSun" w:hAnsi="Times New Roman" w:cs="Times New Roman"/>
          <w:i/>
          <w:kern w:val="0"/>
          <w:sz w:val="22"/>
        </w:rPr>
        <w:t>Variance analysis showed that the IVIS signal significantly decreased by time in all three groups</w:t>
      </w:r>
      <w:r>
        <w:rPr>
          <w:rFonts w:ascii="Times New Roman" w:eastAsia="SimSun" w:hAnsi="Times New Roman" w:cs="Times New Roman"/>
          <w:i/>
          <w:kern w:val="0"/>
          <w:sz w:val="22"/>
        </w:rPr>
        <w:t>(p&lt;0.001)</w:t>
      </w:r>
      <w:r w:rsidRPr="00316080">
        <w:rPr>
          <w:rFonts w:ascii="Times New Roman" w:eastAsia="SimSun" w:hAnsi="Times New Roman" w:cs="Times New Roman"/>
          <w:i/>
          <w:kern w:val="0"/>
          <w:sz w:val="22"/>
        </w:rPr>
        <w:t xml:space="preserve">, but there was no significant difference between these three groups using </w:t>
      </w:r>
      <w:r>
        <w:rPr>
          <w:rFonts w:ascii="Times New Roman" w:eastAsia="SimSun" w:hAnsi="Times New Roman" w:cs="Times New Roman"/>
          <w:i/>
          <w:kern w:val="0"/>
          <w:sz w:val="22"/>
        </w:rPr>
        <w:t xml:space="preserve">ANOVA by repeated measures. </w:t>
      </w:r>
      <w:r w:rsidRPr="00505DF4">
        <w:rPr>
          <w:rFonts w:ascii="Times New Roman" w:eastAsia="SimSun" w:hAnsi="Times New Roman" w:cs="Times New Roman"/>
          <w:i/>
          <w:kern w:val="0"/>
          <w:sz w:val="22"/>
          <w:lang w:eastAsia="en-US"/>
        </w:rPr>
        <w:t xml:space="preserve">Data were expressed as mean ± </w:t>
      </w:r>
      <w:r>
        <w:rPr>
          <w:rFonts w:ascii="Times New Roman" w:eastAsia="SimSun" w:hAnsi="Times New Roman" w:cs="Times New Roman"/>
          <w:i/>
          <w:kern w:val="0"/>
          <w:sz w:val="22"/>
          <w:lang w:eastAsia="en-US"/>
        </w:rPr>
        <w:t xml:space="preserve">SEM, </w:t>
      </w:r>
      <w:r w:rsidRPr="00505DF4">
        <w:rPr>
          <w:rFonts w:ascii="Times New Roman" w:eastAsia="SimSun" w:hAnsi="Times New Roman" w:cs="Times New Roman"/>
          <w:i/>
          <w:kern w:val="0"/>
          <w:sz w:val="22"/>
        </w:rPr>
        <w:t>n=5.</w:t>
      </w:r>
    </w:p>
    <w:p w:rsidR="00C32A72" w:rsidRDefault="00C32A72"/>
    <w:sectPr w:rsidR="00C32A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353" w:rsidRDefault="000B4353" w:rsidP="009C395A">
      <w:r>
        <w:separator/>
      </w:r>
    </w:p>
  </w:endnote>
  <w:endnote w:type="continuationSeparator" w:id="0">
    <w:p w:rsidR="000B4353" w:rsidRDefault="000B4353" w:rsidP="009C3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353" w:rsidRDefault="000B4353" w:rsidP="009C395A">
      <w:r>
        <w:separator/>
      </w:r>
    </w:p>
  </w:footnote>
  <w:footnote w:type="continuationSeparator" w:id="0">
    <w:p w:rsidR="000B4353" w:rsidRDefault="000B4353" w:rsidP="009C39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AzMzAxNzUzNzewNLZQ0lEKTi0uzszPAykwqwUAFGs5kSwAAAA="/>
  </w:docVars>
  <w:rsids>
    <w:rsidRoot w:val="00376636"/>
    <w:rsid w:val="000B4353"/>
    <w:rsid w:val="000E62F8"/>
    <w:rsid w:val="00376636"/>
    <w:rsid w:val="0038238E"/>
    <w:rsid w:val="00427E16"/>
    <w:rsid w:val="00434339"/>
    <w:rsid w:val="004A57E6"/>
    <w:rsid w:val="004C4543"/>
    <w:rsid w:val="004F38E9"/>
    <w:rsid w:val="005823CE"/>
    <w:rsid w:val="006A6EE2"/>
    <w:rsid w:val="006B544B"/>
    <w:rsid w:val="0074762D"/>
    <w:rsid w:val="00837928"/>
    <w:rsid w:val="008A336E"/>
    <w:rsid w:val="009C395A"/>
    <w:rsid w:val="009E76EF"/>
    <w:rsid w:val="00A310E6"/>
    <w:rsid w:val="00C32A72"/>
    <w:rsid w:val="00F304E2"/>
    <w:rsid w:val="00F66CD1"/>
    <w:rsid w:val="00FA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636"/>
    <w:pPr>
      <w:widowControl w:val="0"/>
      <w:spacing w:after="0" w:line="240" w:lineRule="auto"/>
      <w:jc w:val="both"/>
    </w:pPr>
    <w:rPr>
      <w:kern w:val="2"/>
      <w:sz w:val="21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A521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39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395A"/>
    <w:rPr>
      <w:kern w:val="2"/>
      <w:sz w:val="21"/>
    </w:rPr>
  </w:style>
  <w:style w:type="paragraph" w:styleId="Footer">
    <w:name w:val="footer"/>
    <w:basedOn w:val="Normal"/>
    <w:link w:val="FooterChar"/>
    <w:uiPriority w:val="99"/>
    <w:unhideWhenUsed/>
    <w:rsid w:val="009C39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395A"/>
    <w:rPr>
      <w:kern w:val="2"/>
      <w:sz w:val="21"/>
    </w:rPr>
  </w:style>
  <w:style w:type="table" w:customStyle="1" w:styleId="ListTable1Light">
    <w:name w:val="List Table 1 Light"/>
    <w:basedOn w:val="TableNormal"/>
    <w:uiPriority w:val="46"/>
    <w:rsid w:val="000E62F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">
    <w:name w:val="List Table 2"/>
    <w:basedOn w:val="TableNormal"/>
    <w:uiPriority w:val="47"/>
    <w:rsid w:val="000E62F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2">
    <w:name w:val="自定义标题2"/>
    <w:basedOn w:val="Heading2"/>
    <w:link w:val="20"/>
    <w:qFormat/>
    <w:rsid w:val="00FA5214"/>
    <w:pPr>
      <w:widowControl/>
      <w:spacing w:line="480" w:lineRule="auto"/>
    </w:pPr>
    <w:rPr>
      <w:rFonts w:ascii="Times New Roman" w:eastAsia="SimSun" w:hAnsi="Times New Roman" w:cs="Times New Roman"/>
      <w:color w:val="auto"/>
      <w:kern w:val="0"/>
      <w:sz w:val="22"/>
      <w:lang w:eastAsia="en-US"/>
    </w:rPr>
  </w:style>
  <w:style w:type="character" w:customStyle="1" w:styleId="20">
    <w:name w:val="自定义标题2 字符"/>
    <w:basedOn w:val="DefaultParagraphFont"/>
    <w:link w:val="2"/>
    <w:rsid w:val="00FA5214"/>
    <w:rPr>
      <w:rFonts w:ascii="Times New Roman" w:eastAsia="SimSun" w:hAnsi="Times New Roman" w:cs="Times New Roman"/>
      <w:szCs w:val="2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A5214"/>
    <w:rPr>
      <w:rFonts w:asciiTheme="majorHAnsi" w:eastAsiaTheme="majorEastAsia" w:hAnsiTheme="majorHAnsi" w:cstheme="majorBidi"/>
      <w:color w:val="2F5496" w:themeColor="accent1" w:themeShade="BF"/>
      <w:kern w:val="2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E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E16"/>
    <w:rPr>
      <w:rFonts w:ascii="Tahoma" w:hAnsi="Tahoma" w:cs="Tahoma"/>
      <w:kern w:val="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636"/>
    <w:pPr>
      <w:widowControl w:val="0"/>
      <w:spacing w:after="0" w:line="240" w:lineRule="auto"/>
      <w:jc w:val="both"/>
    </w:pPr>
    <w:rPr>
      <w:kern w:val="2"/>
      <w:sz w:val="21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A521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39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395A"/>
    <w:rPr>
      <w:kern w:val="2"/>
      <w:sz w:val="21"/>
    </w:rPr>
  </w:style>
  <w:style w:type="paragraph" w:styleId="Footer">
    <w:name w:val="footer"/>
    <w:basedOn w:val="Normal"/>
    <w:link w:val="FooterChar"/>
    <w:uiPriority w:val="99"/>
    <w:unhideWhenUsed/>
    <w:rsid w:val="009C39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395A"/>
    <w:rPr>
      <w:kern w:val="2"/>
      <w:sz w:val="21"/>
    </w:rPr>
  </w:style>
  <w:style w:type="table" w:customStyle="1" w:styleId="ListTable1Light">
    <w:name w:val="List Table 1 Light"/>
    <w:basedOn w:val="TableNormal"/>
    <w:uiPriority w:val="46"/>
    <w:rsid w:val="000E62F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">
    <w:name w:val="List Table 2"/>
    <w:basedOn w:val="TableNormal"/>
    <w:uiPriority w:val="47"/>
    <w:rsid w:val="000E62F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2">
    <w:name w:val="自定义标题2"/>
    <w:basedOn w:val="Heading2"/>
    <w:link w:val="20"/>
    <w:qFormat/>
    <w:rsid w:val="00FA5214"/>
    <w:pPr>
      <w:widowControl/>
      <w:spacing w:line="480" w:lineRule="auto"/>
    </w:pPr>
    <w:rPr>
      <w:rFonts w:ascii="Times New Roman" w:eastAsia="SimSun" w:hAnsi="Times New Roman" w:cs="Times New Roman"/>
      <w:color w:val="auto"/>
      <w:kern w:val="0"/>
      <w:sz w:val="22"/>
      <w:lang w:eastAsia="en-US"/>
    </w:rPr>
  </w:style>
  <w:style w:type="character" w:customStyle="1" w:styleId="20">
    <w:name w:val="自定义标题2 字符"/>
    <w:basedOn w:val="DefaultParagraphFont"/>
    <w:link w:val="2"/>
    <w:rsid w:val="00FA5214"/>
    <w:rPr>
      <w:rFonts w:ascii="Times New Roman" w:eastAsia="SimSun" w:hAnsi="Times New Roman" w:cs="Times New Roman"/>
      <w:szCs w:val="2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A5214"/>
    <w:rPr>
      <w:rFonts w:asciiTheme="majorHAnsi" w:eastAsiaTheme="majorEastAsia" w:hAnsiTheme="majorHAnsi" w:cstheme="majorBidi"/>
      <w:color w:val="2F5496" w:themeColor="accent1" w:themeShade="BF"/>
      <w:kern w:val="2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E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E16"/>
    <w:rPr>
      <w:rFonts w:ascii="Tahoma" w:hAnsi="Tahoma" w:cs="Tahoma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5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8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7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EC280-B42F-47D3-8E21-6120B5BBF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319</Words>
  <Characters>1821</Characters>
  <Application>Microsoft Office Word</Application>
  <DocSecurity>0</DocSecurity>
  <Lines>15</Lines>
  <Paragraphs>4</Paragraphs>
  <ScaleCrop>false</ScaleCrop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Kewa Gao</dc:creator>
  <cp:keywords/>
  <dc:description/>
  <cp:lastModifiedBy>AFRENACIA</cp:lastModifiedBy>
  <cp:revision>7</cp:revision>
  <dcterms:created xsi:type="dcterms:W3CDTF">2018-12-11T10:41:00Z</dcterms:created>
  <dcterms:modified xsi:type="dcterms:W3CDTF">2019-01-09T07:34:00Z</dcterms:modified>
</cp:coreProperties>
</file>