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E1" w:rsidRPr="00F54678" w:rsidRDefault="00010EE1" w:rsidP="00010EE1">
      <w:pPr>
        <w:spacing w:after="0" w:line="360" w:lineRule="auto"/>
        <w:rPr>
          <w:rFonts w:ascii="Times New Roman" w:eastAsia="AdvC2866" w:hAnsi="Times New Roman"/>
          <w:b/>
          <w:sz w:val="20"/>
          <w:szCs w:val="20"/>
          <w:lang w:eastAsia="sv-SE"/>
        </w:rPr>
      </w:pPr>
      <w:bookmarkStart w:id="0" w:name="_GoBack"/>
      <w:bookmarkEnd w:id="0"/>
      <w:r w:rsidRPr="00F54678">
        <w:rPr>
          <w:rFonts w:ascii="Times New Roman" w:hAnsi="Times New Roman"/>
          <w:b/>
          <w:sz w:val="20"/>
          <w:szCs w:val="20"/>
        </w:rPr>
        <w:t xml:space="preserve">Supplementary tables </w:t>
      </w:r>
    </w:p>
    <w:p w:rsidR="00010EE1" w:rsidRPr="00F54678" w:rsidRDefault="00010EE1" w:rsidP="00010EE1">
      <w:pPr>
        <w:spacing w:after="0" w:line="360" w:lineRule="auto"/>
        <w:contextualSpacing/>
        <w:jc w:val="both"/>
        <w:outlineLvl w:val="0"/>
        <w:rPr>
          <w:rFonts w:ascii="Times New Roman" w:eastAsia="AdvC2866" w:hAnsi="Times New Roman"/>
          <w:b/>
          <w:sz w:val="20"/>
          <w:szCs w:val="20"/>
          <w:lang w:eastAsia="sv-SE"/>
        </w:rPr>
      </w:pPr>
      <w:r w:rsidRPr="00F54678">
        <w:rPr>
          <w:rFonts w:ascii="Times New Roman" w:eastAsia="AdvC2866" w:hAnsi="Times New Roman"/>
          <w:b/>
          <w:sz w:val="20"/>
          <w:szCs w:val="20"/>
          <w:lang w:eastAsia="sv-SE"/>
        </w:rPr>
        <w:t xml:space="preserve">Table S1. </w:t>
      </w:r>
    </w:p>
    <w:p w:rsidR="00010EE1" w:rsidRPr="00F54678" w:rsidRDefault="00010EE1" w:rsidP="00010EE1">
      <w:pPr>
        <w:spacing w:after="0" w:line="360" w:lineRule="auto"/>
        <w:contextualSpacing/>
        <w:jc w:val="both"/>
        <w:outlineLvl w:val="0"/>
        <w:rPr>
          <w:rFonts w:ascii="Times New Roman" w:eastAsia="AdvC2866" w:hAnsi="Times New Roman"/>
          <w:b/>
          <w:sz w:val="20"/>
          <w:szCs w:val="20"/>
          <w:lang w:eastAsia="sv-SE"/>
        </w:rPr>
      </w:pPr>
      <w:r w:rsidRPr="00F54678">
        <w:rPr>
          <w:rFonts w:ascii="Times New Roman" w:eastAsia="AdvC2866" w:hAnsi="Times New Roman"/>
          <w:b/>
          <w:sz w:val="20"/>
          <w:szCs w:val="20"/>
          <w:lang w:eastAsia="sv-SE"/>
        </w:rPr>
        <w:t xml:space="preserve">Community prevalences of </w:t>
      </w:r>
      <w:r w:rsidRPr="00F54678">
        <w:rPr>
          <w:rFonts w:ascii="Times New Roman" w:eastAsia="AdvC2866" w:hAnsi="Times New Roman"/>
          <w:b/>
          <w:i/>
          <w:sz w:val="20"/>
          <w:szCs w:val="20"/>
          <w:lang w:eastAsia="sv-SE"/>
        </w:rPr>
        <w:t xml:space="preserve">P. falciparum </w:t>
      </w:r>
      <w:r w:rsidRPr="00F54678">
        <w:rPr>
          <w:rFonts w:ascii="Times New Roman" w:eastAsia="AdvC2866" w:hAnsi="Times New Roman"/>
          <w:b/>
          <w:sz w:val="20"/>
          <w:szCs w:val="20"/>
          <w:lang w:eastAsia="sv-SE"/>
        </w:rPr>
        <w:t xml:space="preserve">asexual </w:t>
      </w:r>
      <w:proofErr w:type="spellStart"/>
      <w:r w:rsidRPr="00F54678">
        <w:rPr>
          <w:rFonts w:ascii="Times New Roman" w:eastAsia="AdvC2866" w:hAnsi="Times New Roman"/>
          <w:b/>
          <w:sz w:val="20"/>
          <w:szCs w:val="20"/>
          <w:lang w:eastAsia="sv-SE"/>
        </w:rPr>
        <w:t>parasitemia</w:t>
      </w:r>
      <w:proofErr w:type="spellEnd"/>
      <w:r w:rsidRPr="00F54678">
        <w:rPr>
          <w:rFonts w:ascii="Times New Roman" w:eastAsia="AdvC2866" w:hAnsi="Times New Roman"/>
          <w:b/>
          <w:sz w:val="20"/>
          <w:szCs w:val="20"/>
          <w:lang w:eastAsia="sv-SE"/>
        </w:rPr>
        <w:t xml:space="preserve"> and gametocytemia according to microscopy of RDT by age group in North A and Micheweni districts of Zanzibar, May-June 2003 to 2015.</w:t>
      </w:r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98"/>
        <w:gridCol w:w="910"/>
        <w:gridCol w:w="854"/>
        <w:gridCol w:w="1551"/>
        <w:gridCol w:w="1382"/>
        <w:gridCol w:w="1481"/>
        <w:gridCol w:w="1513"/>
      </w:tblGrid>
      <w:tr w:rsidR="00010EE1" w:rsidRPr="00F54678" w:rsidTr="00010EE1">
        <w:trPr>
          <w:trHeight w:val="227"/>
        </w:trPr>
        <w:tc>
          <w:tcPr>
            <w:tcW w:w="1198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sv-SE"/>
              </w:rPr>
              <w:t>P.</w:t>
            </w:r>
            <w:r w:rsidRPr="00010EE1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sv-SE"/>
              </w:rPr>
              <w:t xml:space="preserve"> falciparum</w:t>
            </w:r>
          </w:p>
        </w:tc>
        <w:tc>
          <w:tcPr>
            <w:tcW w:w="910" w:type="dxa"/>
            <w:vMerge w:val="restart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  <w:t>Age group</w:t>
            </w:r>
          </w:p>
        </w:tc>
        <w:tc>
          <w:tcPr>
            <w:tcW w:w="854" w:type="dxa"/>
            <w:vMerge w:val="restart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  <w:t>Year</w:t>
            </w:r>
          </w:p>
        </w:tc>
        <w:tc>
          <w:tcPr>
            <w:tcW w:w="2933" w:type="dxa"/>
            <w:gridSpan w:val="2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Micheweni</w:t>
            </w:r>
          </w:p>
        </w:tc>
        <w:tc>
          <w:tcPr>
            <w:tcW w:w="2994" w:type="dxa"/>
            <w:gridSpan w:val="2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North A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n</w:t>
            </w:r>
            <w:proofErr w:type="gramEnd"/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 xml:space="preserve"> (%)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(95% CI)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proofErr w:type="gramStart"/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n</w:t>
            </w:r>
            <w:proofErr w:type="gramEnd"/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 xml:space="preserve"> (%)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(95% CI)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 w:val="restart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  <w:t>Asexual</w:t>
            </w:r>
          </w:p>
        </w:tc>
        <w:tc>
          <w:tcPr>
            <w:tcW w:w="910" w:type="dxa"/>
            <w:vMerge w:val="restart"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&lt;5 y</w:t>
            </w: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64/298 (21·5%)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16·8-26·2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47/576 (8·2%)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6·0-10·4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58/283 (20·5%)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15·8-25·2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15/314 (4·8%)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2·4-7·2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26/309 (8·4%)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5·3-11·5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1/315 (0·3%)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7/395 (1·8%)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0·5-3·1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0/375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4/507 (0·8%)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0·0-1·6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1/388 (0·3%)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0·0-0·8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0/372 (0·0%)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0·0-1·0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0/281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0·0-1·3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2011*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2/265 (0·8%)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0·0-1·9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1/337 (0·3%)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2013*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1/334 (0·3%)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 xml:space="preserve">0·0-0·9 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0/312 (0·0%)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0·0-1·2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2015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2/306 (0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·7%)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·0-1·6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1/330 (0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·3%)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·0-0·9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5-14 y</w:t>
            </w: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76/265 (28·7%)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23·3-34·2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90/657 (13·7%)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11·1-16·3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59/323 (18·3%)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14·1-22·5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17/441 (3·9%)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2·1-5.7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23/269 (8·6%)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5·3-12·0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6/371 (1·6%)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0·3-2·9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2007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6/420 (1·4%)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0·3-2·5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0/387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2008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10/637 (1·6%)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0.6-2.8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2/459 (0·4%)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0·0-1·0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0/431 (0·0%)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0·0-0·9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0/220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0·0-1·7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2011*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3/357 (0·8%)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0·0-1·7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0/398 (0·0%)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2013*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4/483(0·8%)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0·0-1·6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1/389 (0·3%)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0·0-0·8</w:t>
            </w:r>
          </w:p>
        </w:tc>
      </w:tr>
      <w:tr w:rsidR="00010EE1" w:rsidRPr="00F54678" w:rsidTr="00010EE1">
        <w:trPr>
          <w:trHeight w:val="200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2015*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5/488 (1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·1-1·9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3/431 (0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·7%)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·0-1·5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&gt;14y</w:t>
            </w: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32/626 (5·1%)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3·4-6·8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37/934 (4·0%)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2·7-5·3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18/635 (2·8%)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1·5-4·1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16/748 (2·1%)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1·1-3·1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7/604 (1·2%)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0·3-2·1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5/747 (0·7%)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0·1-1·3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2/760 (0·3%)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0·0-0·7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0/737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0·0-0·5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2/947 (0·2%)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0·0-0·5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1/899 (0·1%)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0·0-0·3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0/726 (0·0%)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0·0-0·5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0/662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0·0-0·6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2011*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5/649 (0·8%)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0·1-1·5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1/826 (0·1%)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0·0-0·3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2013*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2/762 (0·3%)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0·0-0·7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2/746 (0·3%)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0·0-0·7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2015*</w:t>
            </w:r>
          </w:p>
        </w:tc>
        <w:tc>
          <w:tcPr>
            <w:tcW w:w="155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2/721 (0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·3%)</w:t>
            </w:r>
          </w:p>
        </w:tc>
        <w:tc>
          <w:tcPr>
            <w:tcW w:w="1382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·0-0·7</w:t>
            </w:r>
          </w:p>
        </w:tc>
        <w:tc>
          <w:tcPr>
            <w:tcW w:w="1481" w:type="dxa"/>
            <w:noWrap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0/736 (0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·0%)</w:t>
            </w:r>
          </w:p>
        </w:tc>
        <w:tc>
          <w:tcPr>
            <w:tcW w:w="1513" w:type="dxa"/>
            <w:vAlign w:val="bottom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</w:t>
            </w:r>
            <w:r w:rsidRPr="00010EE1">
              <w:rPr>
                <w:rFonts w:ascii="Times New Roman" w:hAnsi="Times New Roman"/>
                <w:sz w:val="18"/>
                <w:szCs w:val="18"/>
              </w:rPr>
              <w:t>·0-0·5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Gametocytes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&lt;5 y</w:t>
            </w: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3/298 (1·0%)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0·0-2·1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11/576 (1·9%)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0·8-3·0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1/283 (0·4%)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0·0-1·1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0/314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0·0-1·2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2/309 (0·3%)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0·0-0.9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3/315(0·9%)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0·0-1·9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Cs/>
                <w:i/>
                <w:iCs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5-14 y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1/265 (0·4%)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0·0-1.2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7/657 (1·1%)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0·3-1·9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1/323 (0·3%)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0·0-0·9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3/441 (0·7%)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0·0-1·5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125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0/301 (0·0%)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0·0-1·2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0/371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keepNext/>
              <w:keepLines/>
              <w:spacing w:after="0"/>
              <w:ind w:left="-70"/>
              <w:jc w:val="center"/>
              <w:outlineLvl w:val="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0·0-1·0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&gt;14y</w:t>
            </w: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2/626 (0·3%)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0·0-0·7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5/934 (0·5%)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0·1-1·0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2005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0/635 (0·0%)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0·0-0·0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0/748 (0·0%)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  <w:t>0·0-0·5</w:t>
            </w:r>
          </w:p>
        </w:tc>
      </w:tr>
      <w:tr w:rsidR="00010EE1" w:rsidRPr="00F54678" w:rsidTr="00010EE1">
        <w:trPr>
          <w:trHeight w:val="227"/>
        </w:trPr>
        <w:tc>
          <w:tcPr>
            <w:tcW w:w="1198" w:type="dxa"/>
            <w:vMerge/>
            <w:noWrap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910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854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5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125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0/651 (0·0%)</w:t>
            </w:r>
          </w:p>
        </w:tc>
        <w:tc>
          <w:tcPr>
            <w:tcW w:w="1382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0·0-0·0</w:t>
            </w:r>
          </w:p>
        </w:tc>
        <w:tc>
          <w:tcPr>
            <w:tcW w:w="1481" w:type="dxa"/>
            <w:noWrap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2/747 (0·3%)</w:t>
            </w:r>
          </w:p>
        </w:tc>
        <w:tc>
          <w:tcPr>
            <w:tcW w:w="1513" w:type="dxa"/>
            <w:vAlign w:val="center"/>
          </w:tcPr>
          <w:p w:rsidR="00010EE1" w:rsidRPr="00010EE1" w:rsidRDefault="00010EE1" w:rsidP="00010EE1">
            <w:pPr>
              <w:spacing w:after="0"/>
              <w:ind w:left="-7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sv-SE"/>
              </w:rPr>
            </w:pPr>
            <w:r w:rsidRPr="00010EE1">
              <w:rPr>
                <w:rFonts w:ascii="Times New Roman" w:hAnsi="Times New Roman"/>
                <w:color w:val="000000"/>
                <w:sz w:val="18"/>
                <w:szCs w:val="18"/>
              </w:rPr>
              <w:t>0·0-0·7</w:t>
            </w:r>
          </w:p>
        </w:tc>
      </w:tr>
    </w:tbl>
    <w:p w:rsidR="00010EE1" w:rsidRPr="00F54678" w:rsidRDefault="00010EE1" w:rsidP="00010E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10EE1" w:rsidRPr="00F54678" w:rsidRDefault="00010EE1" w:rsidP="00010EE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4678">
        <w:rPr>
          <w:rFonts w:ascii="Times New Roman" w:hAnsi="Times New Roman"/>
          <w:sz w:val="20"/>
          <w:szCs w:val="20"/>
        </w:rPr>
        <w:t>* Parasite detection by RDT</w:t>
      </w:r>
    </w:p>
    <w:p w:rsidR="00010EE1" w:rsidRPr="00F54678" w:rsidRDefault="00010EE1" w:rsidP="00010EE1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F54678">
        <w:rPr>
          <w:rFonts w:ascii="Times New Roman" w:hAnsi="Times New Roman"/>
          <w:b/>
          <w:sz w:val="20"/>
          <w:szCs w:val="20"/>
          <w:lang w:eastAsia="sv-SE"/>
        </w:rPr>
        <w:br w:type="page"/>
      </w:r>
      <w:r w:rsidRPr="00F54678">
        <w:rPr>
          <w:rFonts w:ascii="Times New Roman" w:hAnsi="Times New Roman"/>
          <w:b/>
          <w:sz w:val="20"/>
          <w:szCs w:val="20"/>
          <w:lang w:eastAsia="sv-SE"/>
        </w:rPr>
        <w:lastRenderedPageBreak/>
        <w:t>Table S2</w:t>
      </w:r>
    </w:p>
    <w:p w:rsidR="00010EE1" w:rsidRPr="00F54678" w:rsidRDefault="00010EE1" w:rsidP="00010EE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54678">
        <w:rPr>
          <w:rFonts w:ascii="Times New Roman" w:hAnsi="Times New Roman"/>
          <w:b/>
          <w:sz w:val="20"/>
          <w:szCs w:val="20"/>
        </w:rPr>
        <w:t xml:space="preserve">Proportions of confirmed malaria patients (all age groups) among tested patients attending public health care facilities in Micheweni and North </w:t>
      </w:r>
      <w:proofErr w:type="gramStart"/>
      <w:r w:rsidRPr="00F54678">
        <w:rPr>
          <w:rFonts w:ascii="Times New Roman" w:hAnsi="Times New Roman"/>
          <w:b/>
          <w:sz w:val="20"/>
          <w:szCs w:val="20"/>
        </w:rPr>
        <w:t>A</w:t>
      </w:r>
      <w:proofErr w:type="gramEnd"/>
      <w:r w:rsidRPr="00F54678">
        <w:rPr>
          <w:rFonts w:ascii="Times New Roman" w:hAnsi="Times New Roman"/>
          <w:b/>
          <w:sz w:val="20"/>
          <w:szCs w:val="20"/>
        </w:rPr>
        <w:t xml:space="preserve"> districts between 1999 and 2015. </w:t>
      </w:r>
    </w:p>
    <w:p w:rsidR="00010EE1" w:rsidRPr="00F54678" w:rsidRDefault="00010EE1" w:rsidP="00010EE1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sv-S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"/>
        <w:gridCol w:w="1272"/>
        <w:gridCol w:w="1564"/>
        <w:gridCol w:w="782"/>
        <w:gridCol w:w="1202"/>
        <w:gridCol w:w="1770"/>
      </w:tblGrid>
      <w:tr w:rsidR="00010EE1" w:rsidRPr="00F54678" w:rsidTr="00010EE1">
        <w:trPr>
          <w:trHeight w:val="227"/>
        </w:trPr>
        <w:tc>
          <w:tcPr>
            <w:tcW w:w="993" w:type="dxa"/>
            <w:vMerge w:val="restart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Year</w:t>
            </w:r>
          </w:p>
        </w:tc>
        <w:tc>
          <w:tcPr>
            <w:tcW w:w="3544" w:type="dxa"/>
            <w:gridSpan w:val="3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Micheweni</w:t>
            </w:r>
          </w:p>
        </w:tc>
        <w:tc>
          <w:tcPr>
            <w:tcW w:w="3754" w:type="dxa"/>
            <w:gridSpan w:val="3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North A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Merge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sv-SE"/>
              </w:rPr>
            </w:pP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Tested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Confirmed*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Positivity rate (95% CI)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Tested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Confirmed *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Positivity rate</w:t>
            </w:r>
          </w:p>
          <w:p w:rsidR="00010EE1" w:rsidRPr="00010EE1" w:rsidRDefault="00010EE1" w:rsidP="00010EE1">
            <w:pPr>
              <w:spacing w:after="0"/>
              <w:ind w:left="-108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b/>
                <w:sz w:val="20"/>
                <w:szCs w:val="20"/>
                <w:lang w:eastAsia="sv-SE"/>
              </w:rPr>
              <w:t>(95% CI)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1999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10754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5506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51·2%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</w:t>
            </w: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50·2-52·1)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5181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1522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29·4%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(28·1-30·6)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2000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9221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4925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53·4%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</w:t>
            </w: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52·4-54·4)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6051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1446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23·9%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(22·8-25·0)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2001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12075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5618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46·5%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</w:t>
            </w: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45·6-47·4)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5303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1843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34·8%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(33·4-36·1)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2002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11088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5125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46·2%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</w:t>
            </w: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45·2-47·2)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5919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1377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23·3%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(22·2-24·4)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2003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9881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4410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44·6%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</w:t>
            </w: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43·6-45·6)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6151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1417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23·0%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(22·0- 24·1)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2004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11972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4154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34·7%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(33·8-35·6)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6635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1265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19·1%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(18·1-20·0)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2005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13395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2469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18·4%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(17·8-19·1)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8581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1059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12·3%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(11·6-13·1)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2006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16906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1255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7·4%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(7·0-7·8)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24990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1·6%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(1·4-1·7)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2007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15135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6·3%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(5·9-6·7)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27937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0·9%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(0·8-1·1)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2008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20497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1·7%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(1·6-1·9)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19020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1·2%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(1·0-1·3)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2009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11608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2·6%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(2·3-2·9)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17512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0·8%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(0·7-0·9)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2010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19959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1·7%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(1·5-1·9)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17185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0·8%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(0·7-1·0)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2011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38478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0·8%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(0·7-0·9)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31799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0·4%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(0·3-0·5)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2012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26455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2·5%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(2·3-2·7)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24606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eastAsia="MS Gothic" w:hAnsi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0·6%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(0·5-0·7)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2013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22122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1·2 %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(1·1-1·3)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17684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1·0%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(0·9-1·2)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2014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17719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1·7% (1·5-1·9)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19793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1·6%                          (1·4-1·8)</w:t>
            </w:r>
          </w:p>
        </w:tc>
      </w:tr>
      <w:tr w:rsidR="00010EE1" w:rsidRPr="00F54678" w:rsidTr="00010EE1">
        <w:trPr>
          <w:trHeight w:val="227"/>
        </w:trPr>
        <w:tc>
          <w:tcPr>
            <w:tcW w:w="993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sv-SE"/>
              </w:rPr>
            </w:pPr>
            <w:r w:rsidRPr="00010EE1">
              <w:rPr>
                <w:rFonts w:ascii="Times New Roman" w:hAnsi="Times New Roman"/>
                <w:sz w:val="20"/>
                <w:szCs w:val="20"/>
                <w:lang w:eastAsia="sv-SE"/>
              </w:rPr>
              <w:t>2015</w:t>
            </w:r>
          </w:p>
        </w:tc>
        <w:tc>
          <w:tcPr>
            <w:tcW w:w="708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19534</w:t>
            </w:r>
          </w:p>
        </w:tc>
        <w:tc>
          <w:tcPr>
            <w:tcW w:w="127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  <w:tc>
          <w:tcPr>
            <w:tcW w:w="1564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 xml:space="preserve">2·0% 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(1·8-2-2)</w:t>
            </w:r>
          </w:p>
        </w:tc>
        <w:tc>
          <w:tcPr>
            <w:tcW w:w="78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13283</w:t>
            </w:r>
          </w:p>
        </w:tc>
        <w:tc>
          <w:tcPr>
            <w:tcW w:w="1202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770" w:type="dxa"/>
            <w:vAlign w:val="center"/>
          </w:tcPr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 xml:space="preserve">2·4% </w:t>
            </w:r>
          </w:p>
          <w:p w:rsidR="00010EE1" w:rsidRPr="00010EE1" w:rsidRDefault="00010EE1" w:rsidP="00010EE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EE1">
              <w:rPr>
                <w:rFonts w:ascii="Times New Roman" w:hAnsi="Times New Roman"/>
                <w:sz w:val="20"/>
                <w:szCs w:val="20"/>
              </w:rPr>
              <w:t>(2·1-2·7)</w:t>
            </w:r>
          </w:p>
        </w:tc>
      </w:tr>
    </w:tbl>
    <w:p w:rsidR="00010EE1" w:rsidRPr="00F54678" w:rsidRDefault="00010EE1" w:rsidP="00010EE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sv-SE"/>
        </w:rPr>
      </w:pPr>
    </w:p>
    <w:p w:rsidR="00010EE1" w:rsidRPr="00F54678" w:rsidRDefault="00010EE1" w:rsidP="00010EE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sv-SE"/>
        </w:rPr>
      </w:pPr>
      <w:r w:rsidRPr="00F54678">
        <w:rPr>
          <w:rFonts w:ascii="Times New Roman" w:hAnsi="Times New Roman"/>
          <w:sz w:val="20"/>
          <w:szCs w:val="20"/>
          <w:lang w:eastAsia="sv-SE"/>
        </w:rPr>
        <w:t>* Confirmation of malaria diagnosis using microscopy 1999-2005 and microscopy or RDT 2006-2015.</w:t>
      </w:r>
    </w:p>
    <w:p w:rsidR="00010EE1" w:rsidRPr="00F54678" w:rsidRDefault="00010EE1" w:rsidP="00010EE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sv-SE"/>
        </w:rPr>
      </w:pPr>
      <w:r w:rsidRPr="00F54678">
        <w:rPr>
          <w:rFonts w:ascii="Times New Roman" w:hAnsi="Times New Roman"/>
          <w:sz w:val="20"/>
          <w:szCs w:val="20"/>
          <w:lang w:eastAsia="sv-SE"/>
        </w:rPr>
        <w:t xml:space="preserve">Linear time trends in positivity starting 2012 are decreasing in Micheweni (p &lt; 0.01) and increasing in North </w:t>
      </w:r>
      <w:proofErr w:type="gramStart"/>
      <w:r w:rsidRPr="00F54678">
        <w:rPr>
          <w:rFonts w:ascii="Times New Roman" w:hAnsi="Times New Roman"/>
          <w:sz w:val="20"/>
          <w:szCs w:val="20"/>
          <w:lang w:eastAsia="sv-SE"/>
        </w:rPr>
        <w:t>A</w:t>
      </w:r>
      <w:proofErr w:type="gramEnd"/>
      <w:r w:rsidRPr="00F54678">
        <w:rPr>
          <w:rFonts w:ascii="Times New Roman" w:hAnsi="Times New Roman"/>
          <w:sz w:val="20"/>
          <w:szCs w:val="20"/>
          <w:lang w:eastAsia="sv-SE"/>
        </w:rPr>
        <w:t xml:space="preserve"> (p &lt; 0.01). Woolf interaction test (p &lt; 0.001).</w:t>
      </w:r>
    </w:p>
    <w:p w:rsidR="00010EE1" w:rsidRPr="00F54678" w:rsidRDefault="00010EE1" w:rsidP="00010EE1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eastAsia="sv-SE"/>
        </w:rPr>
      </w:pPr>
    </w:p>
    <w:p w:rsidR="00010EE1" w:rsidRPr="00F54678" w:rsidRDefault="00010EE1" w:rsidP="00010EE1">
      <w:pPr>
        <w:spacing w:after="0" w:line="360" w:lineRule="auto"/>
      </w:pPr>
      <w:r w:rsidRPr="00F54678">
        <w:br w:type="page"/>
      </w:r>
    </w:p>
    <w:p w:rsidR="00010EE1" w:rsidRPr="00F54678" w:rsidRDefault="00010EE1" w:rsidP="00010EE1">
      <w:pPr>
        <w:spacing w:after="0" w:line="360" w:lineRule="auto"/>
        <w:jc w:val="both"/>
        <w:outlineLvl w:val="0"/>
        <w:rPr>
          <w:rFonts w:ascii="Times New Roman" w:hAnsi="Times New Roman"/>
          <w:b/>
          <w:sz w:val="20"/>
          <w:szCs w:val="20"/>
          <w:lang w:eastAsia="sv-SE"/>
        </w:rPr>
      </w:pPr>
      <w:r w:rsidRPr="00F54678">
        <w:rPr>
          <w:rFonts w:ascii="Times New Roman" w:hAnsi="Times New Roman"/>
          <w:b/>
          <w:sz w:val="20"/>
          <w:szCs w:val="20"/>
          <w:lang w:eastAsia="sv-SE"/>
        </w:rPr>
        <w:lastRenderedPageBreak/>
        <w:t>Table S3</w:t>
      </w:r>
    </w:p>
    <w:p w:rsidR="00010EE1" w:rsidRPr="00F54678" w:rsidRDefault="00010EE1" w:rsidP="00010EE1">
      <w:pPr>
        <w:autoSpaceDE w:val="0"/>
        <w:autoSpaceDN w:val="0"/>
        <w:adjustRightInd w:val="0"/>
        <w:spacing w:after="0" w:line="360" w:lineRule="auto"/>
        <w:contextualSpacing/>
        <w:jc w:val="both"/>
        <w:outlineLvl w:val="0"/>
        <w:rPr>
          <w:rFonts w:ascii="Times New Roman" w:hAnsi="Times New Roman"/>
          <w:b/>
          <w:sz w:val="20"/>
          <w:szCs w:val="20"/>
          <w:lang w:eastAsia="sv-SE"/>
        </w:rPr>
      </w:pPr>
      <w:r w:rsidRPr="00F54678">
        <w:rPr>
          <w:rFonts w:ascii="Times New Roman" w:hAnsi="Times New Roman"/>
          <w:b/>
          <w:sz w:val="20"/>
          <w:szCs w:val="20"/>
          <w:lang w:eastAsia="sv-SE"/>
        </w:rPr>
        <w:t>All-cause mortality in children &lt;5years of age in North A district between 1998 and 2014. Data from Vital Registry.</w:t>
      </w:r>
    </w:p>
    <w:p w:rsidR="00010EE1" w:rsidRPr="00F54678" w:rsidRDefault="00010EE1" w:rsidP="00010EE1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Calibri"/>
          <w:sz w:val="20"/>
          <w:szCs w:val="20"/>
          <w:lang w:eastAsia="sv-SE"/>
        </w:rPr>
      </w:pPr>
    </w:p>
    <w:tbl>
      <w:tblPr>
        <w:tblpPr w:leftFromText="141" w:rightFromText="141" w:vertAnchor="text" w:tblpY="1"/>
        <w:tblOverlap w:val="never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1078"/>
        <w:gridCol w:w="1189"/>
        <w:gridCol w:w="1276"/>
        <w:gridCol w:w="1276"/>
        <w:gridCol w:w="1984"/>
      </w:tblGrid>
      <w:tr w:rsidR="00010EE1" w:rsidRPr="00F54678" w:rsidTr="007D7AA4">
        <w:trPr>
          <w:trHeight w:val="39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proofErr w:type="spellStart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Year</w:t>
            </w:r>
            <w:proofErr w:type="spellEnd"/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Total &lt;5 population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Total </w:t>
            </w:r>
            <w:proofErr w:type="spellStart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deaths</w:t>
            </w:r>
            <w:proofErr w:type="spellEnd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among</w:t>
            </w:r>
            <w:proofErr w:type="spellEnd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 infants &lt;1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en-US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sv-SE"/>
              </w:rPr>
              <w:t>Total deaths among children between 1-4 y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Total </w:t>
            </w:r>
            <w:proofErr w:type="spellStart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deaths</w:t>
            </w:r>
            <w:proofErr w:type="spellEnd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among</w:t>
            </w:r>
            <w:proofErr w:type="spellEnd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 </w:t>
            </w:r>
            <w:proofErr w:type="spellStart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children</w:t>
            </w:r>
            <w:proofErr w:type="spellEnd"/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 xml:space="preserve"> &lt;5 y</w:t>
            </w:r>
          </w:p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  <w:lang w:val="en-US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en-US" w:eastAsia="sv-SE"/>
              </w:rPr>
              <w:t>Total child mortality/year among children &lt;5y (95% CI)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1998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11995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87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74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161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1·34%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1·14-1·56)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1999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12283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97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68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165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 xml:space="preserve">1·34% 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(1·15-1·56)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2000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12578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91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66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157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1·25%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1·06-1·46)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2001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12878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86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131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1·02%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0·85-1·21)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2002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13189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67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66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133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1·01%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0·84-1·19)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2003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13506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63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62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125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0·93%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0·77-1·10)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2004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13830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57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40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97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0·70%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0·57-0·85)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2005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14162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45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19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64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0·45%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0·35-0·58)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2006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14501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46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18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64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0·44%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0·34-0·56)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2007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14849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24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11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35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0·24%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0·16-0·33)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2008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15206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34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15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49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0·32%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0·24-0·43)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2009*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15571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20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24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44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0·28% (0·21-0·38)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2010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15945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35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12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47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0·29% (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0·21-0·37)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2011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16328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71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14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85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 xml:space="preserve">0·52% </w:t>
            </w:r>
            <w:r w:rsidRPr="00F54678">
              <w:rPr>
                <w:rFonts w:ascii="Times New Roman" w:hAnsi="Times New Roman"/>
                <w:sz w:val="16"/>
                <w:szCs w:val="16"/>
                <w:lang w:val="sv-SE" w:eastAsia="sv-SE"/>
              </w:rPr>
              <w:t>(0·42-0·64)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2012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16720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19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10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29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0·17% (0·12-0·25)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2013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17092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37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15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52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</w:t>
            </w:r>
            <w:r w:rsidRPr="00F54678">
              <w:rPr>
                <w:rFonts w:ascii="Times New Roman" w:hAnsi="Times New Roman"/>
                <w:sz w:val="16"/>
                <w:szCs w:val="16"/>
              </w:rPr>
              <w:t>·30% (0·23-0·40)</w:t>
            </w:r>
          </w:p>
        </w:tc>
      </w:tr>
      <w:tr w:rsidR="00010EE1" w:rsidRPr="00F54678" w:rsidTr="007D7AA4">
        <w:trPr>
          <w:trHeight w:val="227"/>
        </w:trPr>
        <w:tc>
          <w:tcPr>
            <w:tcW w:w="6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b/>
                <w:bCs/>
                <w:kern w:val="24"/>
                <w:sz w:val="16"/>
                <w:szCs w:val="16"/>
                <w:lang w:val="sv-SE" w:eastAsia="sv-SE"/>
              </w:rPr>
              <w:t>2014</w:t>
            </w:r>
          </w:p>
        </w:tc>
        <w:tc>
          <w:tcPr>
            <w:tcW w:w="1078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17493</w:t>
            </w:r>
          </w:p>
        </w:tc>
        <w:tc>
          <w:tcPr>
            <w:tcW w:w="1189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50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13</w:t>
            </w:r>
          </w:p>
        </w:tc>
        <w:tc>
          <w:tcPr>
            <w:tcW w:w="1276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63</w:t>
            </w:r>
          </w:p>
        </w:tc>
        <w:tc>
          <w:tcPr>
            <w:tcW w:w="1984" w:type="dxa"/>
            <w:vAlign w:val="center"/>
          </w:tcPr>
          <w:p w:rsidR="00010EE1" w:rsidRPr="00F54678" w:rsidRDefault="00010EE1" w:rsidP="007D7AA4">
            <w:pPr>
              <w:spacing w:after="0"/>
              <w:jc w:val="center"/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</w:pPr>
            <w:r w:rsidRPr="00F54678">
              <w:rPr>
                <w:rFonts w:ascii="Times New Roman" w:hAnsi="Times New Roman"/>
                <w:kern w:val="24"/>
                <w:sz w:val="16"/>
                <w:szCs w:val="16"/>
                <w:lang w:val="sv-SE" w:eastAsia="sv-SE"/>
              </w:rPr>
              <w:t>0.36% (0</w:t>
            </w:r>
            <w:r w:rsidRPr="00F54678">
              <w:rPr>
                <w:rFonts w:ascii="Times New Roman" w:hAnsi="Times New Roman"/>
                <w:sz w:val="16"/>
                <w:szCs w:val="16"/>
              </w:rPr>
              <w:t>·28-0·48)</w:t>
            </w:r>
          </w:p>
        </w:tc>
      </w:tr>
    </w:tbl>
    <w:p w:rsidR="00010EE1" w:rsidRPr="00F54678" w:rsidRDefault="00010EE1" w:rsidP="00010EE1">
      <w:pPr>
        <w:spacing w:after="0" w:line="360" w:lineRule="auto"/>
        <w:jc w:val="both"/>
        <w:rPr>
          <w:rFonts w:cs="Calibri"/>
          <w:color w:val="000000"/>
          <w:sz w:val="20"/>
          <w:szCs w:val="20"/>
          <w:lang w:eastAsia="sv-SE"/>
        </w:rPr>
      </w:pPr>
      <w:r w:rsidRPr="00F54678">
        <w:rPr>
          <w:rFonts w:cs="Calibri"/>
          <w:color w:val="000000"/>
          <w:sz w:val="20"/>
          <w:szCs w:val="20"/>
          <w:lang w:eastAsia="sv-SE"/>
        </w:rPr>
        <w:br w:type="textWrapping" w:clear="all"/>
      </w:r>
    </w:p>
    <w:p w:rsidR="00010EE1" w:rsidRPr="00F54678" w:rsidRDefault="00010EE1" w:rsidP="00010EE1">
      <w:pPr>
        <w:spacing w:after="0" w:line="360" w:lineRule="auto"/>
        <w:jc w:val="both"/>
        <w:rPr>
          <w:rFonts w:cs="Courier New"/>
          <w:sz w:val="16"/>
          <w:szCs w:val="16"/>
        </w:rPr>
      </w:pPr>
      <w:r w:rsidRPr="00F54678">
        <w:rPr>
          <w:rFonts w:cs="Calibri"/>
          <w:color w:val="000000"/>
          <w:sz w:val="20"/>
          <w:szCs w:val="20"/>
          <w:lang w:eastAsia="sv-SE"/>
        </w:rPr>
        <w:t xml:space="preserve">*2009 report covered only Jan-June and the figure </w:t>
      </w:r>
      <w:proofErr w:type="gramStart"/>
      <w:r w:rsidRPr="00F54678">
        <w:rPr>
          <w:rFonts w:cs="Calibri"/>
          <w:color w:val="000000"/>
          <w:sz w:val="20"/>
          <w:szCs w:val="20"/>
          <w:lang w:eastAsia="sv-SE"/>
        </w:rPr>
        <w:t>was doubled</w:t>
      </w:r>
      <w:proofErr w:type="gramEnd"/>
      <w:r w:rsidRPr="00F54678">
        <w:rPr>
          <w:rFonts w:cs="Calibri"/>
          <w:color w:val="000000"/>
          <w:sz w:val="20"/>
          <w:szCs w:val="20"/>
          <w:lang w:eastAsia="sv-SE"/>
        </w:rPr>
        <w:t xml:space="preserve"> as an estimate for the whole year.</w:t>
      </w:r>
    </w:p>
    <w:p w:rsidR="00010EE1" w:rsidRPr="00F54678" w:rsidRDefault="00010EE1" w:rsidP="00010EE1">
      <w:pPr>
        <w:spacing w:after="0" w:line="360" w:lineRule="auto"/>
        <w:jc w:val="both"/>
        <w:rPr>
          <w:rFonts w:cs="Courier New"/>
          <w:sz w:val="16"/>
          <w:szCs w:val="16"/>
        </w:rPr>
      </w:pPr>
    </w:p>
    <w:p w:rsidR="001326F8" w:rsidRDefault="001326F8"/>
    <w:sectPr w:rsidR="00132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C2866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E1"/>
    <w:rsid w:val="00010EE1"/>
    <w:rsid w:val="001326F8"/>
    <w:rsid w:val="00563E95"/>
    <w:rsid w:val="007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96F9E-34B7-4AB0-B633-87307B86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EE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778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Morris</dc:creator>
  <cp:keywords/>
  <dc:description/>
  <cp:lastModifiedBy>Ulrika Morris</cp:lastModifiedBy>
  <cp:revision>3</cp:revision>
  <dcterms:created xsi:type="dcterms:W3CDTF">2018-06-29T13:42:00Z</dcterms:created>
  <dcterms:modified xsi:type="dcterms:W3CDTF">2018-06-29T14:03:00Z</dcterms:modified>
</cp:coreProperties>
</file>