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AA4B9" w14:textId="1A4C19AC" w:rsidR="004F79C7" w:rsidRPr="00F052DC" w:rsidRDefault="003751FC" w:rsidP="00F052DC">
      <w:pPr>
        <w:spacing w:line="240" w:lineRule="auto"/>
        <w:jc w:val="center"/>
        <w:rPr>
          <w:rFonts w:ascii="Times New Roman" w:hAnsi="Times New Roman" w:cs="Times New Roman"/>
        </w:rPr>
      </w:pPr>
      <w:bookmarkStart w:id="0" w:name="_Toc513576845"/>
      <w:r w:rsidRPr="00C9495A">
        <w:rPr>
          <w:rFonts w:ascii="Times New Roman" w:hAnsi="Times New Roman" w:cs="Times New Roman"/>
          <w:b/>
        </w:rPr>
        <w:t>A</w:t>
      </w:r>
      <w:r w:rsidR="00C745BE">
        <w:rPr>
          <w:rFonts w:ascii="Times New Roman" w:hAnsi="Times New Roman" w:cs="Times New Roman"/>
          <w:b/>
        </w:rPr>
        <w:t>dditional file</w:t>
      </w:r>
      <w:bookmarkStart w:id="1" w:name="_GoBack"/>
      <w:bookmarkEnd w:id="1"/>
      <w:r w:rsidRPr="00C9495A">
        <w:rPr>
          <w:rFonts w:ascii="Times New Roman" w:hAnsi="Times New Roman" w:cs="Times New Roman"/>
          <w:b/>
        </w:rPr>
        <w:t xml:space="preserve"> </w:t>
      </w:r>
      <w:r w:rsidR="00276C87" w:rsidRPr="00C9495A">
        <w:rPr>
          <w:rFonts w:ascii="Times New Roman" w:hAnsi="Times New Roman" w:cs="Times New Roman"/>
          <w:b/>
        </w:rPr>
        <w:t>1</w:t>
      </w:r>
      <w:r w:rsidR="00E00A40" w:rsidRPr="00C9495A">
        <w:rPr>
          <w:rFonts w:ascii="Times New Roman" w:hAnsi="Times New Roman" w:cs="Times New Roman"/>
          <w:b/>
        </w:rPr>
        <w:t>: Detailed Methods</w:t>
      </w:r>
      <w:bookmarkEnd w:id="0"/>
    </w:p>
    <w:p w14:paraId="0BFE3570"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 xml:space="preserve">Using the FDA Orphan Drug Database (https://www.accessdata.fda.gov/scripts/opdlisting/oopd/), we identified all orphan drugs that have been approved from January 2000 to December 2015. The orphan drugs were sorted randomly and the top 100 drugs were selected for the purpose of this analysis. </w:t>
      </w:r>
    </w:p>
    <w:p w14:paraId="3254B047"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In order to obtain a list of non-orphan drugs, use the Drugs@FDA database (</w:t>
      </w:r>
      <w:hyperlink r:id="rId9" w:history="1">
        <w:r w:rsidRPr="003751FC">
          <w:rPr>
            <w:rStyle w:val="Hyperlink"/>
            <w:rFonts w:ascii="Times New Roman" w:hAnsi="Times New Roman" w:cs="Times New Roman"/>
          </w:rPr>
          <w:t>http://www.accessdata.fda.gov/scripts/cder/daf/</w:t>
        </w:r>
      </w:hyperlink>
      <w:r w:rsidRPr="003751FC">
        <w:rPr>
          <w:rFonts w:ascii="Times New Roman" w:hAnsi="Times New Roman" w:cs="Times New Roman"/>
        </w:rPr>
        <w:t>) and download all approvals from January 2000 to December 2015. Approvals related to orphan drugs, new formulations, new manufacturers, new dosage forms and over the counter switches were eliminated from this list. This list was sorted randomly, and the first 100 drugs were selected for the analysis to constitute the “non-orphan” drugs.</w:t>
      </w:r>
    </w:p>
    <w:p w14:paraId="75FB5C2C"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Table 1: Variable names and descriptions derived from the datasets under analysis</w:t>
      </w:r>
    </w:p>
    <w:tbl>
      <w:tblPr>
        <w:tblStyle w:val="TableGrid"/>
        <w:tblW w:w="0" w:type="auto"/>
        <w:tblLook w:val="04A0" w:firstRow="1" w:lastRow="0" w:firstColumn="1" w:lastColumn="0" w:noHBand="0" w:noVBand="1"/>
      </w:tblPr>
      <w:tblGrid>
        <w:gridCol w:w="2488"/>
        <w:gridCol w:w="2359"/>
        <w:gridCol w:w="2376"/>
      </w:tblGrid>
      <w:tr w:rsidR="004F79C7" w:rsidRPr="003751FC" w14:paraId="05D0D065" w14:textId="77777777" w:rsidTr="004F79C7">
        <w:tc>
          <w:tcPr>
            <w:tcW w:w="2488" w:type="dxa"/>
          </w:tcPr>
          <w:p w14:paraId="470BEFA8"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Variable description</w:t>
            </w:r>
          </w:p>
        </w:tc>
        <w:tc>
          <w:tcPr>
            <w:tcW w:w="4735" w:type="dxa"/>
            <w:gridSpan w:val="2"/>
          </w:tcPr>
          <w:p w14:paraId="2FF5DA9F" w14:textId="77777777" w:rsidR="004F79C7" w:rsidRPr="003751FC" w:rsidRDefault="004F79C7" w:rsidP="00982BFB">
            <w:pPr>
              <w:jc w:val="center"/>
              <w:rPr>
                <w:rFonts w:ascii="Times New Roman" w:hAnsi="Times New Roman" w:cs="Times New Roman"/>
              </w:rPr>
            </w:pPr>
            <w:r w:rsidRPr="003751FC">
              <w:rPr>
                <w:rFonts w:ascii="Times New Roman" w:hAnsi="Times New Roman" w:cs="Times New Roman"/>
              </w:rPr>
              <w:t>Variable name</w:t>
            </w:r>
          </w:p>
        </w:tc>
      </w:tr>
      <w:tr w:rsidR="004F79C7" w:rsidRPr="003751FC" w14:paraId="58870998" w14:textId="77777777" w:rsidTr="004F79C7">
        <w:tc>
          <w:tcPr>
            <w:tcW w:w="2488" w:type="dxa"/>
          </w:tcPr>
          <w:p w14:paraId="36D762DF" w14:textId="77777777" w:rsidR="004F79C7" w:rsidRPr="003751FC" w:rsidRDefault="004F79C7" w:rsidP="00982BFB">
            <w:pPr>
              <w:rPr>
                <w:rFonts w:ascii="Times New Roman" w:hAnsi="Times New Roman" w:cs="Times New Roman"/>
              </w:rPr>
            </w:pPr>
          </w:p>
        </w:tc>
        <w:tc>
          <w:tcPr>
            <w:tcW w:w="2359" w:type="dxa"/>
          </w:tcPr>
          <w:p w14:paraId="7FF8D6FB"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Non-orphan</w:t>
            </w:r>
          </w:p>
        </w:tc>
        <w:tc>
          <w:tcPr>
            <w:tcW w:w="2376" w:type="dxa"/>
          </w:tcPr>
          <w:p w14:paraId="085C5073"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Orphan</w:t>
            </w:r>
          </w:p>
        </w:tc>
      </w:tr>
      <w:tr w:rsidR="004F79C7" w:rsidRPr="003751FC" w14:paraId="6A91F2AF" w14:textId="77777777" w:rsidTr="004F79C7">
        <w:tc>
          <w:tcPr>
            <w:tcW w:w="2488" w:type="dxa"/>
          </w:tcPr>
          <w:p w14:paraId="4F87E070"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Mean number of trials by phase per approved drug</w:t>
            </w:r>
          </w:p>
        </w:tc>
        <w:tc>
          <w:tcPr>
            <w:tcW w:w="2359" w:type="dxa"/>
          </w:tcPr>
          <w:p w14:paraId="2ABA08D2"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a</w:t>
            </w:r>
            <w:r w:rsidRPr="003751FC">
              <w:rPr>
                <w:rFonts w:ascii="Times New Roman" w:hAnsi="Times New Roman" w:cs="Times New Roman"/>
                <w:vertAlign w:val="subscript"/>
              </w:rPr>
              <w:t xml:space="preserve">d,i, </w:t>
            </w:r>
          </w:p>
        </w:tc>
        <w:tc>
          <w:tcPr>
            <w:tcW w:w="2376" w:type="dxa"/>
          </w:tcPr>
          <w:p w14:paraId="3DF13BDA"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a</w:t>
            </w:r>
            <w:r w:rsidRPr="003751FC">
              <w:rPr>
                <w:rFonts w:ascii="Times New Roman" w:hAnsi="Times New Roman" w:cs="Times New Roman"/>
                <w:vertAlign w:val="subscript"/>
              </w:rPr>
              <w:t>o,i</w:t>
            </w:r>
          </w:p>
        </w:tc>
      </w:tr>
      <w:tr w:rsidR="004F79C7" w:rsidRPr="003751FC" w14:paraId="40FFE446" w14:textId="77777777" w:rsidTr="004F79C7">
        <w:tc>
          <w:tcPr>
            <w:tcW w:w="2488" w:type="dxa"/>
          </w:tcPr>
          <w:p w14:paraId="7C181144"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Mean number of subjects enrolled by phase</w:t>
            </w:r>
          </w:p>
        </w:tc>
        <w:tc>
          <w:tcPr>
            <w:tcW w:w="2359" w:type="dxa"/>
          </w:tcPr>
          <w:p w14:paraId="425B5AE9"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n</w:t>
            </w:r>
            <w:r w:rsidRPr="003751FC">
              <w:rPr>
                <w:rFonts w:ascii="Times New Roman" w:hAnsi="Times New Roman" w:cs="Times New Roman"/>
                <w:vertAlign w:val="subscript"/>
              </w:rPr>
              <w:t>d,i</w:t>
            </w:r>
          </w:p>
        </w:tc>
        <w:tc>
          <w:tcPr>
            <w:tcW w:w="2376" w:type="dxa"/>
          </w:tcPr>
          <w:p w14:paraId="45BB6433"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n</w:t>
            </w:r>
            <w:r w:rsidRPr="003751FC">
              <w:rPr>
                <w:rFonts w:ascii="Times New Roman" w:hAnsi="Times New Roman" w:cs="Times New Roman"/>
                <w:vertAlign w:val="subscript"/>
              </w:rPr>
              <w:t>o,i</w:t>
            </w:r>
          </w:p>
        </w:tc>
      </w:tr>
      <w:tr w:rsidR="004F79C7" w:rsidRPr="003751FC" w14:paraId="5A0E1489" w14:textId="77777777" w:rsidTr="004F79C7">
        <w:tc>
          <w:tcPr>
            <w:tcW w:w="2488" w:type="dxa"/>
          </w:tcPr>
          <w:p w14:paraId="33E532EA"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Mean trial duration by phase</w:t>
            </w:r>
          </w:p>
          <w:p w14:paraId="7ADEFA8B" w14:textId="77777777" w:rsidR="004F79C7" w:rsidRPr="003751FC" w:rsidRDefault="004F79C7" w:rsidP="00982BFB">
            <w:pPr>
              <w:rPr>
                <w:rFonts w:ascii="Times New Roman" w:hAnsi="Times New Roman" w:cs="Times New Roman"/>
              </w:rPr>
            </w:pPr>
          </w:p>
        </w:tc>
        <w:tc>
          <w:tcPr>
            <w:tcW w:w="2359" w:type="dxa"/>
          </w:tcPr>
          <w:p w14:paraId="573EA7E5"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t</w:t>
            </w:r>
            <w:r w:rsidRPr="003751FC">
              <w:rPr>
                <w:rFonts w:ascii="Times New Roman" w:hAnsi="Times New Roman" w:cs="Times New Roman"/>
                <w:vertAlign w:val="subscript"/>
              </w:rPr>
              <w:t>d,i</w:t>
            </w:r>
          </w:p>
        </w:tc>
        <w:tc>
          <w:tcPr>
            <w:tcW w:w="2376" w:type="dxa"/>
          </w:tcPr>
          <w:p w14:paraId="19BBF0B5"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t</w:t>
            </w:r>
            <w:r w:rsidRPr="003751FC">
              <w:rPr>
                <w:rFonts w:ascii="Times New Roman" w:hAnsi="Times New Roman" w:cs="Times New Roman"/>
                <w:vertAlign w:val="subscript"/>
              </w:rPr>
              <w:t>o,i</w:t>
            </w:r>
          </w:p>
        </w:tc>
      </w:tr>
    </w:tbl>
    <w:p w14:paraId="6936C23B"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 xml:space="preserve"> Where i = 1,2 or 3 representing phase 1, 2 and 3 respectively. </w:t>
      </w:r>
    </w:p>
    <w:p w14:paraId="74C631F0"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Based on the variables above, we then calculated the average cost per trial phase for non-orphan drugs, c</w:t>
      </w:r>
      <w:r w:rsidRPr="003751FC">
        <w:rPr>
          <w:rFonts w:ascii="Times New Roman" w:hAnsi="Times New Roman" w:cs="Times New Roman"/>
          <w:vertAlign w:val="subscript"/>
        </w:rPr>
        <w:t>d,i</w:t>
      </w:r>
      <w:r w:rsidRPr="003751FC">
        <w:rPr>
          <w:rFonts w:ascii="Times New Roman" w:hAnsi="Times New Roman" w:cs="Times New Roman"/>
        </w:rPr>
        <w:t>, using the following formulas:</w:t>
      </w:r>
    </w:p>
    <w:p w14:paraId="7276C297" w14:textId="77777777" w:rsidR="004F79C7" w:rsidRPr="003751FC" w:rsidRDefault="004F79C7" w:rsidP="00982BFB">
      <w:pPr>
        <w:spacing w:line="240" w:lineRule="auto"/>
        <w:rPr>
          <w:rFonts w:ascii="Times New Roman" w:hAnsi="Times New Roman" w:cs="Times New Roman"/>
          <w:vertAlign w:val="subscript"/>
          <w:lang w:val="it-IT"/>
        </w:rPr>
      </w:pPr>
      <w:r w:rsidRPr="003751FC">
        <w:rPr>
          <w:rFonts w:ascii="Times New Roman" w:hAnsi="Times New Roman" w:cs="Times New Roman"/>
          <w:lang w:val="it-IT"/>
        </w:rPr>
        <w:t>c</w:t>
      </w:r>
      <w:r w:rsidRPr="003751FC">
        <w:rPr>
          <w:rFonts w:ascii="Times New Roman" w:hAnsi="Times New Roman" w:cs="Times New Roman"/>
          <w:vertAlign w:val="subscript"/>
          <w:lang w:val="it-IT"/>
        </w:rPr>
        <w:t xml:space="preserve">d,i </w:t>
      </w:r>
      <w:r w:rsidRPr="003751FC">
        <w:rPr>
          <w:rFonts w:ascii="Times New Roman" w:hAnsi="Times New Roman" w:cs="Times New Roman"/>
          <w:lang w:val="it-IT"/>
        </w:rPr>
        <w:t>= a</w:t>
      </w:r>
      <w:r w:rsidRPr="003751FC">
        <w:rPr>
          <w:rFonts w:ascii="Times New Roman" w:hAnsi="Times New Roman" w:cs="Times New Roman"/>
          <w:vertAlign w:val="subscript"/>
          <w:lang w:val="it-IT"/>
        </w:rPr>
        <w:t xml:space="preserve">d,i </w:t>
      </w:r>
      <w:r w:rsidRPr="003751FC">
        <w:rPr>
          <w:rFonts w:ascii="Times New Roman" w:hAnsi="Times New Roman" w:cs="Times New Roman"/>
          <w:lang w:val="it-IT"/>
        </w:rPr>
        <w:t>x n</w:t>
      </w:r>
      <w:r w:rsidRPr="003751FC">
        <w:rPr>
          <w:rFonts w:ascii="Times New Roman" w:hAnsi="Times New Roman" w:cs="Times New Roman"/>
          <w:vertAlign w:val="subscript"/>
          <w:lang w:val="it-IT"/>
        </w:rPr>
        <w:t>d,i</w:t>
      </w:r>
      <w:r w:rsidRPr="003751FC">
        <w:rPr>
          <w:rFonts w:ascii="Times New Roman" w:hAnsi="Times New Roman" w:cs="Times New Roman"/>
          <w:lang w:val="it-IT"/>
        </w:rPr>
        <w:t xml:space="preserve"> x b</w:t>
      </w:r>
      <w:r w:rsidRPr="003751FC">
        <w:rPr>
          <w:rFonts w:ascii="Times New Roman" w:hAnsi="Times New Roman" w:cs="Times New Roman"/>
          <w:vertAlign w:val="subscript"/>
          <w:lang w:val="it-IT"/>
        </w:rPr>
        <w:t>d,i</w:t>
      </w:r>
    </w:p>
    <w:p w14:paraId="5114052E" w14:textId="389C11E6" w:rsidR="004F79C7" w:rsidRPr="003751FC" w:rsidRDefault="00CB453F" w:rsidP="00982BFB">
      <w:pPr>
        <w:spacing w:line="240" w:lineRule="auto"/>
        <w:rPr>
          <w:rFonts w:ascii="Times New Roman" w:hAnsi="Times New Roman" w:cs="Times New Roman"/>
        </w:rPr>
      </w:pPr>
      <w:r w:rsidRPr="003751FC">
        <w:rPr>
          <w:rFonts w:ascii="Times New Roman" w:hAnsi="Times New Roman" w:cs="Times New Roman"/>
        </w:rPr>
        <w:t>Similarly</w:t>
      </w:r>
      <w:r w:rsidR="004F79C7" w:rsidRPr="003751FC">
        <w:rPr>
          <w:rFonts w:ascii="Times New Roman" w:hAnsi="Times New Roman" w:cs="Times New Roman"/>
        </w:rPr>
        <w:t>, the average cost per trial phase for orphan drugs was calculated by:</w:t>
      </w:r>
    </w:p>
    <w:p w14:paraId="081785F6" w14:textId="77777777" w:rsidR="004F79C7" w:rsidRPr="003751FC" w:rsidRDefault="004F79C7" w:rsidP="00982BFB">
      <w:pPr>
        <w:spacing w:line="240" w:lineRule="auto"/>
        <w:rPr>
          <w:rFonts w:ascii="Times New Roman" w:hAnsi="Times New Roman" w:cs="Times New Roman"/>
          <w:vertAlign w:val="subscript"/>
          <w:lang w:val="pt-BR"/>
        </w:rPr>
      </w:pPr>
      <w:r w:rsidRPr="003751FC">
        <w:rPr>
          <w:rFonts w:ascii="Times New Roman" w:hAnsi="Times New Roman" w:cs="Times New Roman"/>
          <w:lang w:val="pt-BR"/>
        </w:rPr>
        <w:t>c</w:t>
      </w:r>
      <w:r w:rsidRPr="003751FC">
        <w:rPr>
          <w:rFonts w:ascii="Times New Roman" w:hAnsi="Times New Roman" w:cs="Times New Roman"/>
          <w:vertAlign w:val="subscript"/>
          <w:lang w:val="pt-BR"/>
        </w:rPr>
        <w:t xml:space="preserve">o,i </w:t>
      </w:r>
      <w:r w:rsidRPr="003751FC">
        <w:rPr>
          <w:rFonts w:ascii="Times New Roman" w:hAnsi="Times New Roman" w:cs="Times New Roman"/>
          <w:lang w:val="pt-BR"/>
        </w:rPr>
        <w:t>= a</w:t>
      </w:r>
      <w:r w:rsidRPr="003751FC">
        <w:rPr>
          <w:rFonts w:ascii="Times New Roman" w:hAnsi="Times New Roman" w:cs="Times New Roman"/>
          <w:vertAlign w:val="subscript"/>
          <w:lang w:val="pt-BR"/>
        </w:rPr>
        <w:t xml:space="preserve">o,i </w:t>
      </w:r>
      <w:r w:rsidRPr="003751FC">
        <w:rPr>
          <w:rFonts w:ascii="Times New Roman" w:hAnsi="Times New Roman" w:cs="Times New Roman"/>
          <w:lang w:val="pt-BR"/>
        </w:rPr>
        <w:t>x n</w:t>
      </w:r>
      <w:r w:rsidRPr="003751FC">
        <w:rPr>
          <w:rFonts w:ascii="Times New Roman" w:hAnsi="Times New Roman" w:cs="Times New Roman"/>
          <w:vertAlign w:val="subscript"/>
          <w:lang w:val="pt-BR"/>
        </w:rPr>
        <w:t>o,i</w:t>
      </w:r>
      <w:r w:rsidRPr="003751FC">
        <w:rPr>
          <w:rFonts w:ascii="Times New Roman" w:hAnsi="Times New Roman" w:cs="Times New Roman"/>
          <w:lang w:val="pt-BR"/>
        </w:rPr>
        <w:t xml:space="preserve"> x b</w:t>
      </w:r>
      <w:r w:rsidRPr="003751FC">
        <w:rPr>
          <w:rFonts w:ascii="Times New Roman" w:hAnsi="Times New Roman" w:cs="Times New Roman"/>
          <w:vertAlign w:val="subscript"/>
          <w:lang w:val="pt-BR"/>
        </w:rPr>
        <w:t>o,i</w:t>
      </w:r>
    </w:p>
    <w:p w14:paraId="097AF674"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The variables b</w:t>
      </w:r>
      <w:r w:rsidRPr="003751FC">
        <w:rPr>
          <w:rFonts w:ascii="Times New Roman" w:hAnsi="Times New Roman" w:cs="Times New Roman"/>
          <w:vertAlign w:val="subscript"/>
        </w:rPr>
        <w:t xml:space="preserve">d,i </w:t>
      </w:r>
      <w:r w:rsidRPr="003751FC">
        <w:rPr>
          <w:rFonts w:ascii="Times New Roman" w:hAnsi="Times New Roman" w:cs="Times New Roman"/>
        </w:rPr>
        <w:t>and b</w:t>
      </w:r>
      <w:r w:rsidRPr="003751FC">
        <w:rPr>
          <w:rFonts w:ascii="Times New Roman" w:hAnsi="Times New Roman" w:cs="Times New Roman"/>
          <w:vertAlign w:val="subscript"/>
        </w:rPr>
        <w:t xml:space="preserve">o,i </w:t>
      </w:r>
      <w:r w:rsidRPr="003751FC">
        <w:rPr>
          <w:rFonts w:ascii="Times New Roman" w:hAnsi="Times New Roman" w:cs="Times New Roman"/>
        </w:rPr>
        <w:t>represents the per patient cost for non-orphan drugs for phase i and the per patient cost for orphan drugs for phase i. Our dataset did not have information on b</w:t>
      </w:r>
      <w:r w:rsidRPr="003751FC">
        <w:rPr>
          <w:rFonts w:ascii="Times New Roman" w:hAnsi="Times New Roman" w:cs="Times New Roman"/>
          <w:vertAlign w:val="subscript"/>
        </w:rPr>
        <w:t xml:space="preserve">c,i </w:t>
      </w:r>
      <w:r w:rsidRPr="003751FC">
        <w:rPr>
          <w:rFonts w:ascii="Times New Roman" w:hAnsi="Times New Roman" w:cs="Times New Roman"/>
        </w:rPr>
        <w:t>and b</w:t>
      </w:r>
      <w:r w:rsidRPr="003751FC">
        <w:rPr>
          <w:rFonts w:ascii="Times New Roman" w:hAnsi="Times New Roman" w:cs="Times New Roman"/>
          <w:vertAlign w:val="subscript"/>
        </w:rPr>
        <w:t>o,i</w:t>
      </w:r>
      <w:r w:rsidRPr="003751FC">
        <w:rPr>
          <w:rFonts w:ascii="Times New Roman" w:hAnsi="Times New Roman" w:cs="Times New Roman"/>
        </w:rPr>
        <w:t xml:space="preserve">. Therefore, we relied on external sources for this information. Biopharmaceutical Industry-Sponsored Clinical Trials: Impact on State Economies’ report contained the following information in 2013 USD for all drugs </w:t>
      </w:r>
      <w:r w:rsidRPr="003751FC">
        <w:rPr>
          <w:rFonts w:ascii="Times New Roman" w:hAnsi="Times New Roman" w:cs="Times New Roman"/>
        </w:rPr>
        <w:fldChar w:fldCharType="begin"/>
      </w:r>
      <w:r w:rsidRPr="003751FC">
        <w:rPr>
          <w:rFonts w:ascii="Times New Roman" w:hAnsi="Times New Roman" w:cs="Times New Roman"/>
        </w:rPr>
        <w:instrText xml:space="preserve"> ADDIN EN.CITE &lt;EndNote&gt;&lt;Cite&gt;&lt;Year&gt;2015&lt;/Year&gt;&lt;RecNum&gt;60&lt;/RecNum&gt;&lt;DisplayText&gt;[1]&lt;/DisplayText&gt;&lt;record&gt;&lt;rec-number&gt;60&lt;/rec-number&gt;&lt;foreign-keys&gt;&lt;key app="EN" db-id="2ftxwtr24frf01ee0d8xzvzdwfzdvaz5ss20" timestamp="1497401580"&gt;60&lt;/key&gt;&lt;/foreign-keys&gt;&lt;ref-type name="Report"&gt;27&lt;/ref-type&gt;&lt;contributors&gt;&lt;authors&gt;&lt;author&gt;Battelle Technology Partnership Practice &lt;/author&gt;&lt;/authors&gt;&lt;/contributors&gt;&lt;titles&gt;&lt;title&gt;Biopharmaceutical Industry-Sponsored Clinical Trials: Impact on State Economies&lt;/title&gt;&lt;/titles&gt;&lt;dates&gt;&lt;year&gt;2015&lt;/year&gt;&lt;/dates&gt;&lt;urls&gt;&lt;/urls&gt;&lt;/record&gt;&lt;/Cite&gt;&lt;/EndNote&gt;</w:instrText>
      </w:r>
      <w:r w:rsidRPr="003751FC">
        <w:rPr>
          <w:rFonts w:ascii="Times New Roman" w:hAnsi="Times New Roman" w:cs="Times New Roman"/>
        </w:rPr>
        <w:fldChar w:fldCharType="separate"/>
      </w:r>
      <w:r w:rsidRPr="003751FC">
        <w:rPr>
          <w:rFonts w:ascii="Times New Roman" w:hAnsi="Times New Roman" w:cs="Times New Roman"/>
          <w:noProof/>
        </w:rPr>
        <w:t>[1]</w:t>
      </w:r>
      <w:r w:rsidRPr="003751FC">
        <w:rPr>
          <w:rFonts w:ascii="Times New Roman" w:hAnsi="Times New Roman" w:cs="Times New Roman"/>
        </w:rPr>
        <w:fldChar w:fldCharType="end"/>
      </w:r>
      <w:r w:rsidRPr="003751FC">
        <w:rPr>
          <w:rFonts w:ascii="Times New Roman" w:hAnsi="Times New Roman" w:cs="Times New Roman"/>
        </w:rPr>
        <w:t xml:space="preserve">. </w:t>
      </w:r>
    </w:p>
    <w:tbl>
      <w:tblPr>
        <w:tblStyle w:val="TableGrid"/>
        <w:tblW w:w="6818" w:type="dxa"/>
        <w:tblLook w:val="04A0" w:firstRow="1" w:lastRow="0" w:firstColumn="1" w:lastColumn="0" w:noHBand="0" w:noVBand="1"/>
      </w:tblPr>
      <w:tblGrid>
        <w:gridCol w:w="3233"/>
        <w:gridCol w:w="3585"/>
      </w:tblGrid>
      <w:tr w:rsidR="004F79C7" w:rsidRPr="003751FC" w14:paraId="56068C94" w14:textId="77777777" w:rsidTr="004F79C7">
        <w:tc>
          <w:tcPr>
            <w:tcW w:w="3233" w:type="dxa"/>
          </w:tcPr>
          <w:p w14:paraId="4D4D6993"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 xml:space="preserve">Phase </w:t>
            </w:r>
          </w:p>
        </w:tc>
        <w:tc>
          <w:tcPr>
            <w:tcW w:w="3585" w:type="dxa"/>
          </w:tcPr>
          <w:p w14:paraId="2DD81767"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Average per patient Clinical trial costs, USD 2013</w:t>
            </w:r>
          </w:p>
        </w:tc>
      </w:tr>
      <w:tr w:rsidR="004F79C7" w:rsidRPr="003751FC" w14:paraId="1CD500D1" w14:textId="77777777" w:rsidTr="004F79C7">
        <w:tc>
          <w:tcPr>
            <w:tcW w:w="3233" w:type="dxa"/>
          </w:tcPr>
          <w:p w14:paraId="544BF284"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1</w:t>
            </w:r>
          </w:p>
        </w:tc>
        <w:tc>
          <w:tcPr>
            <w:tcW w:w="3585" w:type="dxa"/>
          </w:tcPr>
          <w:p w14:paraId="00A38940"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38,500</w:t>
            </w:r>
          </w:p>
        </w:tc>
      </w:tr>
      <w:tr w:rsidR="004F79C7" w:rsidRPr="003751FC" w14:paraId="7A54BE07" w14:textId="77777777" w:rsidTr="004F79C7">
        <w:tc>
          <w:tcPr>
            <w:tcW w:w="3233" w:type="dxa"/>
          </w:tcPr>
          <w:p w14:paraId="328D1DFB"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2</w:t>
            </w:r>
          </w:p>
        </w:tc>
        <w:tc>
          <w:tcPr>
            <w:tcW w:w="3585" w:type="dxa"/>
          </w:tcPr>
          <w:p w14:paraId="6AC3F32C"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40,000</w:t>
            </w:r>
          </w:p>
        </w:tc>
      </w:tr>
      <w:tr w:rsidR="004F79C7" w:rsidRPr="003751FC" w14:paraId="00836A81" w14:textId="77777777" w:rsidTr="004F79C7">
        <w:tc>
          <w:tcPr>
            <w:tcW w:w="3233" w:type="dxa"/>
          </w:tcPr>
          <w:p w14:paraId="200B0F60"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3</w:t>
            </w:r>
          </w:p>
        </w:tc>
        <w:tc>
          <w:tcPr>
            <w:tcW w:w="3585" w:type="dxa"/>
          </w:tcPr>
          <w:p w14:paraId="6359A107"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42,000</w:t>
            </w:r>
          </w:p>
        </w:tc>
      </w:tr>
    </w:tbl>
    <w:p w14:paraId="4C998BFD" w14:textId="77777777" w:rsidR="004F79C7" w:rsidRPr="003751FC" w:rsidRDefault="004F79C7" w:rsidP="00982BFB">
      <w:pPr>
        <w:spacing w:line="240" w:lineRule="auto"/>
        <w:rPr>
          <w:rFonts w:ascii="Times New Roman" w:hAnsi="Times New Roman" w:cs="Times New Roman"/>
        </w:rPr>
      </w:pPr>
    </w:p>
    <w:p w14:paraId="399C3A6F" w14:textId="06F3BF10"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Another report by EvaluatePharma has recently reported on the average cost of phase 3 trials and corresponding average patient numbers for common and rare disease</w:t>
      </w:r>
      <w:r w:rsidR="00CC2F63">
        <w:rPr>
          <w:rFonts w:ascii="Times New Roman" w:hAnsi="Times New Roman" w:cs="Times New Roman"/>
        </w:rPr>
        <w:t>s</w:t>
      </w:r>
      <w:r w:rsidRPr="003751FC">
        <w:rPr>
          <w:rFonts w:ascii="Times New Roman" w:hAnsi="Times New Roman" w:cs="Times New Roman"/>
        </w:rPr>
        <w:t xml:space="preserve"> </w:t>
      </w:r>
      <w:r w:rsidRPr="003751FC">
        <w:rPr>
          <w:rFonts w:ascii="Times New Roman" w:hAnsi="Times New Roman" w:cs="Times New Roman"/>
        </w:rPr>
        <w:fldChar w:fldCharType="begin"/>
      </w:r>
      <w:r w:rsidRPr="003751FC">
        <w:rPr>
          <w:rFonts w:ascii="Times New Roman" w:hAnsi="Times New Roman" w:cs="Times New Roman"/>
        </w:rPr>
        <w:instrText xml:space="preserve"> ADDIN EN.CITE &lt;EndNote&gt;&lt;Cite&gt;&lt;Author&gt;EvaluatePharma&lt;/Author&gt;&lt;Year&gt;2015&lt;/Year&gt;&lt;RecNum&gt;63&lt;/RecNum&gt;&lt;DisplayText&gt;[2]&lt;/DisplayText&gt;&lt;record&gt;&lt;rec-number&gt;63&lt;/rec-number&gt;&lt;foreign-keys&gt;&lt;key app="EN" db-id="2ftxwtr24frf01ee0d8xzvzdwfzdvaz5ss20" timestamp="1498090310"&gt;63&lt;/key&gt;&lt;/foreign-keys&gt;&lt;ref-type name="Journal Article"&gt;17&lt;/ref-type&gt;&lt;contributors&gt;&lt;authors&gt;&lt;author&gt;EvaluatePharma&lt;/author&gt;&lt;/authors&gt;&lt;/contributors&gt;&lt;titles&gt;&lt;title&gt;Orphan Drug Report 2015&lt;/title&gt;&lt;/titles&gt;&lt;dates&gt;&lt;year&gt;2015&lt;/year&gt;&lt;/dates&gt;&lt;urls&gt;&lt;/urls&gt;&lt;/record&gt;&lt;/Cite&gt;&lt;/EndNote&gt;</w:instrText>
      </w:r>
      <w:r w:rsidRPr="003751FC">
        <w:rPr>
          <w:rFonts w:ascii="Times New Roman" w:hAnsi="Times New Roman" w:cs="Times New Roman"/>
        </w:rPr>
        <w:fldChar w:fldCharType="separate"/>
      </w:r>
      <w:r w:rsidRPr="003751FC">
        <w:rPr>
          <w:rFonts w:ascii="Times New Roman" w:hAnsi="Times New Roman" w:cs="Times New Roman"/>
          <w:noProof/>
        </w:rPr>
        <w:t>[2]</w:t>
      </w:r>
      <w:r w:rsidRPr="003751FC">
        <w:rPr>
          <w:rFonts w:ascii="Times New Roman" w:hAnsi="Times New Roman" w:cs="Times New Roman"/>
        </w:rPr>
        <w:fldChar w:fldCharType="end"/>
      </w:r>
      <w:r w:rsidRPr="003751FC">
        <w:rPr>
          <w:rFonts w:ascii="Times New Roman" w:hAnsi="Times New Roman" w:cs="Times New Roman"/>
        </w:rPr>
        <w:t xml:space="preserve">. Based on this data, the cost per patient for phase 3 clinical trials was calculated to be 2.5x higher for orphan drugs versus </w:t>
      </w:r>
      <w:r w:rsidR="00CC2F63">
        <w:rPr>
          <w:rFonts w:ascii="Times New Roman" w:hAnsi="Times New Roman" w:cs="Times New Roman"/>
        </w:rPr>
        <w:t>non-orphan</w:t>
      </w:r>
      <w:r w:rsidR="00CC2F63" w:rsidRPr="003751FC">
        <w:rPr>
          <w:rFonts w:ascii="Times New Roman" w:hAnsi="Times New Roman" w:cs="Times New Roman"/>
        </w:rPr>
        <w:t xml:space="preserve"> </w:t>
      </w:r>
      <w:r w:rsidRPr="003751FC">
        <w:rPr>
          <w:rFonts w:ascii="Times New Roman" w:hAnsi="Times New Roman" w:cs="Times New Roman"/>
        </w:rPr>
        <w:t xml:space="preserve">drugs. Given the lack of further data in this area, we used 2.5 multiplier for phase 2 and 3 and the cost per patient for phase 1 was assumed to be the same between the two groups. </w:t>
      </w:r>
    </w:p>
    <w:tbl>
      <w:tblPr>
        <w:tblStyle w:val="TableGrid"/>
        <w:tblpPr w:leftFromText="180" w:rightFromText="180" w:vertAnchor="text" w:tblpY="1"/>
        <w:tblOverlap w:val="never"/>
        <w:tblW w:w="6818" w:type="dxa"/>
        <w:tblLook w:val="04A0" w:firstRow="1" w:lastRow="0" w:firstColumn="1" w:lastColumn="0" w:noHBand="0" w:noVBand="1"/>
      </w:tblPr>
      <w:tblGrid>
        <w:gridCol w:w="3233"/>
        <w:gridCol w:w="3585"/>
      </w:tblGrid>
      <w:tr w:rsidR="004F79C7" w:rsidRPr="003751FC" w14:paraId="089F0C1E" w14:textId="77777777" w:rsidTr="004F79C7">
        <w:tc>
          <w:tcPr>
            <w:tcW w:w="3233" w:type="dxa"/>
          </w:tcPr>
          <w:p w14:paraId="397A8B3E"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Variable</w:t>
            </w:r>
          </w:p>
        </w:tc>
        <w:tc>
          <w:tcPr>
            <w:tcW w:w="3585" w:type="dxa"/>
          </w:tcPr>
          <w:p w14:paraId="2D3C97FA"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Value (2013 USD)</w:t>
            </w:r>
          </w:p>
        </w:tc>
      </w:tr>
      <w:tr w:rsidR="004F79C7" w:rsidRPr="003751FC" w14:paraId="6FF5C452" w14:textId="77777777" w:rsidTr="004F79C7">
        <w:tc>
          <w:tcPr>
            <w:tcW w:w="3233" w:type="dxa"/>
          </w:tcPr>
          <w:p w14:paraId="58A09A83" w14:textId="77777777" w:rsidR="004F79C7" w:rsidRPr="003751FC" w:rsidRDefault="004F79C7" w:rsidP="00982BFB">
            <w:pPr>
              <w:rPr>
                <w:rFonts w:ascii="Times New Roman" w:hAnsi="Times New Roman" w:cs="Times New Roman"/>
                <w:vertAlign w:val="subscript"/>
              </w:rPr>
            </w:pPr>
            <w:r w:rsidRPr="003751FC">
              <w:rPr>
                <w:rFonts w:ascii="Times New Roman" w:hAnsi="Times New Roman" w:cs="Times New Roman"/>
              </w:rPr>
              <w:t>b</w:t>
            </w:r>
            <w:r w:rsidRPr="003751FC">
              <w:rPr>
                <w:rFonts w:ascii="Times New Roman" w:hAnsi="Times New Roman" w:cs="Times New Roman"/>
                <w:vertAlign w:val="subscript"/>
              </w:rPr>
              <w:t>c,1</w:t>
            </w:r>
          </w:p>
          <w:p w14:paraId="24547599" w14:textId="77777777" w:rsidR="004F79C7" w:rsidRPr="003751FC" w:rsidRDefault="004F79C7" w:rsidP="00982BFB">
            <w:pPr>
              <w:rPr>
                <w:rFonts w:ascii="Times New Roman" w:hAnsi="Times New Roman" w:cs="Times New Roman"/>
              </w:rPr>
            </w:pPr>
          </w:p>
        </w:tc>
        <w:tc>
          <w:tcPr>
            <w:tcW w:w="3585" w:type="dxa"/>
          </w:tcPr>
          <w:p w14:paraId="57303889"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38,500</w:t>
            </w:r>
          </w:p>
        </w:tc>
      </w:tr>
      <w:tr w:rsidR="004F79C7" w:rsidRPr="003751FC" w14:paraId="22336884" w14:textId="77777777" w:rsidTr="004F79C7">
        <w:tc>
          <w:tcPr>
            <w:tcW w:w="3233" w:type="dxa"/>
          </w:tcPr>
          <w:p w14:paraId="427974DA"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lastRenderedPageBreak/>
              <w:t>b</w:t>
            </w:r>
            <w:r w:rsidRPr="003751FC">
              <w:rPr>
                <w:rFonts w:ascii="Times New Roman" w:hAnsi="Times New Roman" w:cs="Times New Roman"/>
                <w:vertAlign w:val="subscript"/>
              </w:rPr>
              <w:t>c,2</w:t>
            </w:r>
          </w:p>
        </w:tc>
        <w:tc>
          <w:tcPr>
            <w:tcW w:w="3585" w:type="dxa"/>
          </w:tcPr>
          <w:p w14:paraId="48849ACC"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40,000</w:t>
            </w:r>
          </w:p>
        </w:tc>
      </w:tr>
      <w:tr w:rsidR="004F79C7" w:rsidRPr="003751FC" w14:paraId="46E515F0" w14:textId="77777777" w:rsidTr="004F79C7">
        <w:tc>
          <w:tcPr>
            <w:tcW w:w="3233" w:type="dxa"/>
          </w:tcPr>
          <w:p w14:paraId="293D52B7"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b</w:t>
            </w:r>
            <w:r w:rsidRPr="003751FC">
              <w:rPr>
                <w:rFonts w:ascii="Times New Roman" w:hAnsi="Times New Roman" w:cs="Times New Roman"/>
                <w:vertAlign w:val="subscript"/>
              </w:rPr>
              <w:t>c,3</w:t>
            </w:r>
          </w:p>
        </w:tc>
        <w:tc>
          <w:tcPr>
            <w:tcW w:w="3585" w:type="dxa"/>
          </w:tcPr>
          <w:p w14:paraId="309B0A40"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42,000</w:t>
            </w:r>
          </w:p>
        </w:tc>
      </w:tr>
      <w:tr w:rsidR="004F79C7" w:rsidRPr="003751FC" w14:paraId="3E471D7F" w14:textId="77777777" w:rsidTr="004F79C7">
        <w:tc>
          <w:tcPr>
            <w:tcW w:w="3233" w:type="dxa"/>
          </w:tcPr>
          <w:p w14:paraId="5D87661D" w14:textId="77777777" w:rsidR="004F79C7" w:rsidRPr="003751FC" w:rsidRDefault="004F79C7" w:rsidP="00982BFB">
            <w:pPr>
              <w:rPr>
                <w:rFonts w:ascii="Times New Roman" w:hAnsi="Times New Roman" w:cs="Times New Roman"/>
                <w:vertAlign w:val="subscript"/>
              </w:rPr>
            </w:pPr>
            <w:r w:rsidRPr="003751FC">
              <w:rPr>
                <w:rFonts w:ascii="Times New Roman" w:hAnsi="Times New Roman" w:cs="Times New Roman"/>
              </w:rPr>
              <w:t>b</w:t>
            </w:r>
            <w:r w:rsidRPr="003751FC">
              <w:rPr>
                <w:rFonts w:ascii="Times New Roman" w:hAnsi="Times New Roman" w:cs="Times New Roman"/>
                <w:vertAlign w:val="subscript"/>
              </w:rPr>
              <w:t>o,1</w:t>
            </w:r>
          </w:p>
          <w:p w14:paraId="2E653CC7" w14:textId="77777777" w:rsidR="004F79C7" w:rsidRPr="003751FC" w:rsidRDefault="004F79C7" w:rsidP="00982BFB">
            <w:pPr>
              <w:rPr>
                <w:rFonts w:ascii="Times New Roman" w:hAnsi="Times New Roman" w:cs="Times New Roman"/>
              </w:rPr>
            </w:pPr>
          </w:p>
        </w:tc>
        <w:tc>
          <w:tcPr>
            <w:tcW w:w="3585" w:type="dxa"/>
          </w:tcPr>
          <w:p w14:paraId="7CD97AC0"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38,500</w:t>
            </w:r>
          </w:p>
        </w:tc>
      </w:tr>
      <w:tr w:rsidR="004F79C7" w:rsidRPr="003751FC" w14:paraId="28B8EC43" w14:textId="77777777" w:rsidTr="004F79C7">
        <w:tc>
          <w:tcPr>
            <w:tcW w:w="3233" w:type="dxa"/>
          </w:tcPr>
          <w:p w14:paraId="494373D1"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b</w:t>
            </w:r>
            <w:r w:rsidRPr="003751FC">
              <w:rPr>
                <w:rFonts w:ascii="Times New Roman" w:hAnsi="Times New Roman" w:cs="Times New Roman"/>
                <w:vertAlign w:val="subscript"/>
              </w:rPr>
              <w:t>o,2</w:t>
            </w:r>
          </w:p>
        </w:tc>
        <w:tc>
          <w:tcPr>
            <w:tcW w:w="3585" w:type="dxa"/>
          </w:tcPr>
          <w:p w14:paraId="3BBEFB3B"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100,000</w:t>
            </w:r>
          </w:p>
        </w:tc>
      </w:tr>
      <w:tr w:rsidR="004F79C7" w:rsidRPr="003751FC" w14:paraId="42646D69" w14:textId="77777777" w:rsidTr="004F79C7">
        <w:tc>
          <w:tcPr>
            <w:tcW w:w="3233" w:type="dxa"/>
          </w:tcPr>
          <w:p w14:paraId="594C9A68"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b</w:t>
            </w:r>
            <w:r w:rsidRPr="003751FC">
              <w:rPr>
                <w:rFonts w:ascii="Times New Roman" w:hAnsi="Times New Roman" w:cs="Times New Roman"/>
                <w:vertAlign w:val="subscript"/>
              </w:rPr>
              <w:t>o,3</w:t>
            </w:r>
          </w:p>
        </w:tc>
        <w:tc>
          <w:tcPr>
            <w:tcW w:w="3585" w:type="dxa"/>
          </w:tcPr>
          <w:p w14:paraId="6ACC8057"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105,000</w:t>
            </w:r>
          </w:p>
        </w:tc>
      </w:tr>
    </w:tbl>
    <w:p w14:paraId="21C62CE3"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br w:type="textWrapping" w:clear="all"/>
      </w:r>
    </w:p>
    <w:p w14:paraId="4AB4CED7"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Once the c</w:t>
      </w:r>
      <w:r w:rsidRPr="003751FC">
        <w:rPr>
          <w:rFonts w:ascii="Times New Roman" w:hAnsi="Times New Roman" w:cs="Times New Roman"/>
          <w:vertAlign w:val="subscript"/>
        </w:rPr>
        <w:t xml:space="preserve">d,i </w:t>
      </w:r>
      <w:r w:rsidRPr="003751FC">
        <w:rPr>
          <w:rFonts w:ascii="Times New Roman" w:hAnsi="Times New Roman" w:cs="Times New Roman"/>
        </w:rPr>
        <w:t>and c</w:t>
      </w:r>
      <w:r w:rsidRPr="003751FC">
        <w:rPr>
          <w:rFonts w:ascii="Times New Roman" w:hAnsi="Times New Roman" w:cs="Times New Roman"/>
          <w:vertAlign w:val="subscript"/>
        </w:rPr>
        <w:t xml:space="preserve">o,i </w:t>
      </w:r>
      <w:r w:rsidRPr="003751FC">
        <w:rPr>
          <w:rFonts w:ascii="Times New Roman" w:hAnsi="Times New Roman" w:cs="Times New Roman"/>
        </w:rPr>
        <w:t>were calculated for each phase, we then calculated the expected cost for each trial phase for each non-orphan and orphan groups:</w:t>
      </w:r>
    </w:p>
    <w:p w14:paraId="156FE7CC" w14:textId="77777777" w:rsidR="004F79C7" w:rsidRPr="003751FC" w:rsidRDefault="004F79C7" w:rsidP="00982BFB">
      <w:pPr>
        <w:spacing w:line="240" w:lineRule="auto"/>
        <w:rPr>
          <w:rFonts w:ascii="Times New Roman" w:hAnsi="Times New Roman" w:cs="Times New Roman"/>
          <w:vertAlign w:val="subscript"/>
        </w:rPr>
      </w:pPr>
      <w:r w:rsidRPr="003751FC">
        <w:rPr>
          <w:rFonts w:ascii="Times New Roman" w:hAnsi="Times New Roman" w:cs="Times New Roman"/>
        </w:rPr>
        <w:t>E(c</w:t>
      </w:r>
      <w:r w:rsidRPr="003751FC">
        <w:rPr>
          <w:rFonts w:ascii="Times New Roman" w:hAnsi="Times New Roman" w:cs="Times New Roman"/>
          <w:vertAlign w:val="subscript"/>
        </w:rPr>
        <w:t>d,1</w:t>
      </w:r>
      <w:r w:rsidRPr="003751FC">
        <w:rPr>
          <w:rFonts w:ascii="Times New Roman" w:hAnsi="Times New Roman" w:cs="Times New Roman"/>
        </w:rPr>
        <w:t>) = c</w:t>
      </w:r>
      <w:r w:rsidRPr="003751FC">
        <w:rPr>
          <w:rFonts w:ascii="Times New Roman" w:hAnsi="Times New Roman" w:cs="Times New Roman"/>
          <w:vertAlign w:val="subscript"/>
        </w:rPr>
        <w:t>d,1</w:t>
      </w:r>
    </w:p>
    <w:p w14:paraId="011C40D9" w14:textId="77777777" w:rsidR="004F79C7" w:rsidRPr="003751FC" w:rsidRDefault="004F79C7" w:rsidP="00982BFB">
      <w:pPr>
        <w:spacing w:line="240" w:lineRule="auto"/>
        <w:rPr>
          <w:rFonts w:ascii="Times New Roman" w:hAnsi="Times New Roman" w:cs="Times New Roman"/>
          <w:vertAlign w:val="subscript"/>
        </w:rPr>
      </w:pPr>
      <w:r w:rsidRPr="003751FC">
        <w:rPr>
          <w:rFonts w:ascii="Times New Roman" w:hAnsi="Times New Roman" w:cs="Times New Roman"/>
        </w:rPr>
        <w:t>E(c</w:t>
      </w:r>
      <w:r w:rsidRPr="003751FC">
        <w:rPr>
          <w:rFonts w:ascii="Times New Roman" w:hAnsi="Times New Roman" w:cs="Times New Roman"/>
          <w:vertAlign w:val="subscript"/>
        </w:rPr>
        <w:t>d,2</w:t>
      </w:r>
      <w:r w:rsidRPr="003751FC">
        <w:rPr>
          <w:rFonts w:ascii="Times New Roman" w:hAnsi="Times New Roman" w:cs="Times New Roman"/>
        </w:rPr>
        <w:t>) = s</w:t>
      </w:r>
      <w:r w:rsidRPr="003751FC">
        <w:rPr>
          <w:rFonts w:ascii="Times New Roman" w:hAnsi="Times New Roman" w:cs="Times New Roman"/>
          <w:vertAlign w:val="subscript"/>
        </w:rPr>
        <w:t xml:space="preserve">d,1-2 x </w:t>
      </w:r>
      <w:r w:rsidRPr="003751FC">
        <w:rPr>
          <w:rFonts w:ascii="Times New Roman" w:hAnsi="Times New Roman" w:cs="Times New Roman"/>
        </w:rPr>
        <w:t>c</w:t>
      </w:r>
      <w:r w:rsidRPr="003751FC">
        <w:rPr>
          <w:rFonts w:ascii="Times New Roman" w:hAnsi="Times New Roman" w:cs="Times New Roman"/>
          <w:vertAlign w:val="subscript"/>
        </w:rPr>
        <w:t>d,2</w:t>
      </w:r>
    </w:p>
    <w:p w14:paraId="33F0801A" w14:textId="77777777" w:rsidR="004F79C7" w:rsidRPr="003751FC" w:rsidRDefault="004F79C7" w:rsidP="00982BFB">
      <w:pPr>
        <w:spacing w:line="240" w:lineRule="auto"/>
        <w:rPr>
          <w:rFonts w:ascii="Times New Roman" w:hAnsi="Times New Roman" w:cs="Times New Roman"/>
          <w:vertAlign w:val="subscript"/>
        </w:rPr>
      </w:pPr>
      <w:r w:rsidRPr="003751FC">
        <w:rPr>
          <w:rFonts w:ascii="Times New Roman" w:hAnsi="Times New Roman" w:cs="Times New Roman"/>
        </w:rPr>
        <w:t>E(c</w:t>
      </w:r>
      <w:r w:rsidRPr="003751FC">
        <w:rPr>
          <w:rFonts w:ascii="Times New Roman" w:hAnsi="Times New Roman" w:cs="Times New Roman"/>
          <w:vertAlign w:val="subscript"/>
        </w:rPr>
        <w:t>d,3</w:t>
      </w:r>
      <w:r w:rsidRPr="003751FC">
        <w:rPr>
          <w:rFonts w:ascii="Times New Roman" w:hAnsi="Times New Roman" w:cs="Times New Roman"/>
        </w:rPr>
        <w:t>) = s</w:t>
      </w:r>
      <w:r w:rsidRPr="003751FC">
        <w:rPr>
          <w:rFonts w:ascii="Times New Roman" w:hAnsi="Times New Roman" w:cs="Times New Roman"/>
          <w:vertAlign w:val="subscript"/>
        </w:rPr>
        <w:t xml:space="preserve">d,1-2 x </w:t>
      </w:r>
      <w:r w:rsidRPr="003751FC">
        <w:rPr>
          <w:rFonts w:ascii="Times New Roman" w:hAnsi="Times New Roman" w:cs="Times New Roman"/>
        </w:rPr>
        <w:t>s</w:t>
      </w:r>
      <w:r w:rsidRPr="003751FC">
        <w:rPr>
          <w:rFonts w:ascii="Times New Roman" w:hAnsi="Times New Roman" w:cs="Times New Roman"/>
          <w:vertAlign w:val="subscript"/>
        </w:rPr>
        <w:t xml:space="preserve">d,2-3 x </w:t>
      </w:r>
      <w:r w:rsidRPr="003751FC">
        <w:rPr>
          <w:rFonts w:ascii="Times New Roman" w:hAnsi="Times New Roman" w:cs="Times New Roman"/>
        </w:rPr>
        <w:t>c</w:t>
      </w:r>
      <w:r w:rsidRPr="003751FC">
        <w:rPr>
          <w:rFonts w:ascii="Times New Roman" w:hAnsi="Times New Roman" w:cs="Times New Roman"/>
          <w:vertAlign w:val="subscript"/>
        </w:rPr>
        <w:t>d,2</w:t>
      </w:r>
    </w:p>
    <w:p w14:paraId="2C6F32ED"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Where s</w:t>
      </w:r>
      <w:r w:rsidRPr="003751FC">
        <w:rPr>
          <w:rFonts w:ascii="Times New Roman" w:hAnsi="Times New Roman" w:cs="Times New Roman"/>
          <w:vertAlign w:val="subscript"/>
        </w:rPr>
        <w:t xml:space="preserve">d,1-2 </w:t>
      </w:r>
      <w:r w:rsidRPr="003751FC">
        <w:rPr>
          <w:rFonts w:ascii="Times New Roman" w:hAnsi="Times New Roman" w:cs="Times New Roman"/>
        </w:rPr>
        <w:t>and s</w:t>
      </w:r>
      <w:r w:rsidRPr="003751FC">
        <w:rPr>
          <w:rFonts w:ascii="Times New Roman" w:hAnsi="Times New Roman" w:cs="Times New Roman"/>
          <w:vertAlign w:val="subscript"/>
        </w:rPr>
        <w:t xml:space="preserve">d,2-3 </w:t>
      </w:r>
      <w:r w:rsidRPr="003751FC">
        <w:rPr>
          <w:rFonts w:ascii="Times New Roman" w:hAnsi="Times New Roman" w:cs="Times New Roman"/>
        </w:rPr>
        <w:t xml:space="preserve">represents respectively the probability of success for moving from phase 1 to 2 and 2 to 3 for non-orphan drugs. These transition probabilities take into account the successful and unsuccessful trials at each phase. </w:t>
      </w:r>
    </w:p>
    <w:p w14:paraId="41016608" w14:textId="69FEC846"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 xml:space="preserve">DiMasi et al includes a similar calculation when calculating the cost of drug development per approved drug. Our dataset only includes information on successful trials. When calculating this expected costs, we have made the assumption that the trial characteristics (number of trials by phase, number of subjects involved </w:t>
      </w:r>
      <w:r w:rsidR="00E268DC" w:rsidRPr="003751FC">
        <w:rPr>
          <w:rFonts w:ascii="Times New Roman" w:hAnsi="Times New Roman" w:cs="Times New Roman"/>
        </w:rPr>
        <w:t>and trial</w:t>
      </w:r>
      <w:r w:rsidRPr="003751FC">
        <w:rPr>
          <w:rFonts w:ascii="Times New Roman" w:hAnsi="Times New Roman" w:cs="Times New Roman"/>
        </w:rPr>
        <w:t xml:space="preserve"> duration) are the same for successful and unsuccessful trials. </w:t>
      </w:r>
    </w:p>
    <w:p w14:paraId="6DB41E60"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 xml:space="preserve">The data on transition probabilities were derived from Hay et al </w:t>
      </w:r>
      <w:r w:rsidRPr="003751FC">
        <w:rPr>
          <w:rFonts w:ascii="Times New Roman" w:hAnsi="Times New Roman" w:cs="Times New Roman"/>
        </w:rPr>
        <w:fldChar w:fldCharType="begin"/>
      </w:r>
      <w:r w:rsidRPr="003751FC">
        <w:rPr>
          <w:rFonts w:ascii="Times New Roman" w:hAnsi="Times New Roman" w:cs="Times New Roman"/>
        </w:rPr>
        <w:instrText xml:space="preserve"> ADDIN EN.CITE &lt;EndNote&gt;&lt;Cite&gt;&lt;Author&gt;Hay&lt;/Author&gt;&lt;Year&gt;2014&lt;/Year&gt;&lt;RecNum&gt;62&lt;/RecNum&gt;&lt;DisplayText&gt;[3]&lt;/DisplayText&gt;&lt;record&gt;&lt;rec-number&gt;62&lt;/rec-number&gt;&lt;foreign-keys&gt;&lt;key app="EN" db-id="2ftxwtr24frf01ee0d8xzvzdwfzdvaz5ss20" timestamp="1497401904"&gt;62&lt;/key&gt;&lt;/foreign-keys&gt;&lt;ref-type name="Journal Article"&gt;17&lt;/ref-type&gt;&lt;contributors&gt;&lt;authors&gt;&lt;author&gt;Hay, M.&lt;/author&gt;&lt;author&gt;Thomas, D. W.&lt;/author&gt;&lt;author&gt;Craighead, J. L.&lt;/author&gt;&lt;author&gt;Economides, C.&lt;/author&gt;&lt;author&gt;Rosenthal, J.&lt;/author&gt;&lt;/authors&gt;&lt;/contributors&gt;&lt;auth-address&gt;BioMedTracker, Sagient Research Systems, San Diego, California, USA.&amp;#xD;Biotechnology Industry Organization (BIO), Washington, DC, USA.&amp;#xD;Biotech Strategy &amp;amp; Analytics, Rockville, Maryland, USA.&lt;/auth-address&gt;&lt;titles&gt;&lt;title&gt;Clinical development success rates for investigational drugs&lt;/title&gt;&lt;secondary-title&gt;Nat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biotechnology&lt;/abbr-1&gt;&lt;/alt-periodical&gt;&lt;pages&gt;40-51&lt;/pages&gt;&lt;volume&gt;32&lt;/volume&gt;&lt;number&gt;1&lt;/number&gt;&lt;edition&gt;2014/01/11&lt;/edition&gt;&lt;keywords&gt;&lt;keyword&gt;Biomedical Research&lt;/keyword&gt;&lt;keyword&gt;Drug Approval/*legislation &amp;amp; jurisprudence&lt;/keyword&gt;&lt;keyword&gt;Drugs, Investigational/*therapeutic use&lt;/keyword&gt;&lt;keyword&gt;Humans&lt;/keyword&gt;&lt;keyword&gt;United States&lt;/keyword&gt;&lt;keyword&gt;United States Food and Drug Administration/legislation &amp;amp; jurisprudence&lt;/keyword&gt;&lt;/keywords&gt;&lt;dates&gt;&lt;year&gt;2014&lt;/year&gt;&lt;pub-dates&gt;&lt;date&gt;Jan&lt;/date&gt;&lt;/pub-dates&gt;&lt;/dates&gt;&lt;isbn&gt;1087-0156&lt;/isbn&gt;&lt;accession-num&gt;24406927&lt;/accession-num&gt;&lt;urls&gt;&lt;/urls&gt;&lt;electronic-resource-num&gt;10.1038/nbt.2786&lt;/electronic-resource-num&gt;&lt;remote-database-provider&gt;NLM&lt;/remote-database-provider&gt;&lt;language&gt;eng&lt;/language&gt;&lt;/record&gt;&lt;/Cite&gt;&lt;/EndNote&gt;</w:instrText>
      </w:r>
      <w:r w:rsidRPr="003751FC">
        <w:rPr>
          <w:rFonts w:ascii="Times New Roman" w:hAnsi="Times New Roman" w:cs="Times New Roman"/>
        </w:rPr>
        <w:fldChar w:fldCharType="separate"/>
      </w:r>
      <w:r w:rsidRPr="003751FC">
        <w:rPr>
          <w:rFonts w:ascii="Times New Roman" w:hAnsi="Times New Roman" w:cs="Times New Roman"/>
          <w:noProof/>
        </w:rPr>
        <w:t>[3]</w:t>
      </w:r>
      <w:r w:rsidRPr="003751FC">
        <w:rPr>
          <w:rFonts w:ascii="Times New Roman" w:hAnsi="Times New Roman" w:cs="Times New Roman"/>
        </w:rPr>
        <w:fldChar w:fldCharType="end"/>
      </w:r>
      <w:r w:rsidRPr="003751FC">
        <w:rPr>
          <w:rFonts w:ascii="Times New Roman" w:hAnsi="Times New Roman" w:cs="Times New Roman"/>
        </w:rPr>
        <w:t xml:space="preserve">. Their work included transition probabilities for all drugs and orphan drugs separately. For the purpose of our analysis, we have included the transition probabilities for all drugs as reflecting non-orphan drugs:  </w:t>
      </w:r>
    </w:p>
    <w:tbl>
      <w:tblPr>
        <w:tblStyle w:val="TableGrid"/>
        <w:tblW w:w="0" w:type="auto"/>
        <w:tblLook w:val="04A0" w:firstRow="1" w:lastRow="0" w:firstColumn="1" w:lastColumn="0" w:noHBand="0" w:noVBand="1"/>
      </w:tblPr>
      <w:tblGrid>
        <w:gridCol w:w="3116"/>
        <w:gridCol w:w="3117"/>
        <w:gridCol w:w="3117"/>
      </w:tblGrid>
      <w:tr w:rsidR="004F79C7" w:rsidRPr="003751FC" w14:paraId="4653A2ED" w14:textId="77777777" w:rsidTr="004F79C7">
        <w:tc>
          <w:tcPr>
            <w:tcW w:w="3116" w:type="dxa"/>
          </w:tcPr>
          <w:p w14:paraId="31FE4CC0"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Variable</w:t>
            </w:r>
          </w:p>
        </w:tc>
        <w:tc>
          <w:tcPr>
            <w:tcW w:w="3117" w:type="dxa"/>
          </w:tcPr>
          <w:p w14:paraId="03D32F9B"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 xml:space="preserve">Hay et al, 2014 </w:t>
            </w:r>
            <w:r w:rsidRPr="003751FC">
              <w:rPr>
                <w:rFonts w:ascii="Times New Roman" w:hAnsi="Times New Roman" w:cs="Times New Roman"/>
              </w:rPr>
              <w:fldChar w:fldCharType="begin"/>
            </w:r>
            <w:r w:rsidRPr="003751FC">
              <w:rPr>
                <w:rFonts w:ascii="Times New Roman" w:hAnsi="Times New Roman" w:cs="Times New Roman"/>
              </w:rPr>
              <w:instrText xml:space="preserve"> ADDIN EN.CITE &lt;EndNote&gt;&lt;Cite&gt;&lt;Author&gt;Hay&lt;/Author&gt;&lt;Year&gt;2014&lt;/Year&gt;&lt;RecNum&gt;62&lt;/RecNum&gt;&lt;DisplayText&gt;[3]&lt;/DisplayText&gt;&lt;record&gt;&lt;rec-number&gt;62&lt;/rec-number&gt;&lt;foreign-keys&gt;&lt;key app="EN" db-id="2ftxwtr24frf01ee0d8xzvzdwfzdvaz5ss20" timestamp="1497401904"&gt;62&lt;/key&gt;&lt;/foreign-keys&gt;&lt;ref-type name="Journal Article"&gt;17&lt;/ref-type&gt;&lt;contributors&gt;&lt;authors&gt;&lt;author&gt;Hay, M.&lt;/author&gt;&lt;author&gt;Thomas, D. W.&lt;/author&gt;&lt;author&gt;Craighead, J. L.&lt;/author&gt;&lt;author&gt;Economides, C.&lt;/author&gt;&lt;author&gt;Rosenthal, J.&lt;/author&gt;&lt;/authors&gt;&lt;/contributors&gt;&lt;auth-address&gt;BioMedTracker, Sagient Research Systems, San Diego, California, USA.&amp;#xD;Biotechnology Industry Organization (BIO), Washington, DC, USA.&amp;#xD;Biotech Strategy &amp;amp; Analytics, Rockville, Maryland, USA.&lt;/auth-address&gt;&lt;titles&gt;&lt;title&gt;Clinical development success rates for investigational drugs&lt;/title&gt;&lt;secondary-title&gt;Nat Biotechnol&lt;/secondary-title&gt;&lt;alt-title&gt;Nature biotechnology&lt;/alt-title&gt;&lt;/titles&gt;&lt;periodical&gt;&lt;full-title&gt;Nat Biotechnol&lt;/full-title&gt;&lt;abbr-1&gt;Nature biotechnology&lt;/abbr-1&gt;&lt;/periodical&gt;&lt;alt-periodical&gt;&lt;full-title&gt;Nat Biotechnol&lt;/full-title&gt;&lt;abbr-1&gt;Nature biotechnology&lt;/abbr-1&gt;&lt;/alt-periodical&gt;&lt;pages&gt;40-51&lt;/pages&gt;&lt;volume&gt;32&lt;/volume&gt;&lt;number&gt;1&lt;/number&gt;&lt;edition&gt;2014/01/11&lt;/edition&gt;&lt;keywords&gt;&lt;keyword&gt;Biomedical Research&lt;/keyword&gt;&lt;keyword&gt;Drug Approval/*legislation &amp;amp; jurisprudence&lt;/keyword&gt;&lt;keyword&gt;Drugs, Investigational/*therapeutic use&lt;/keyword&gt;&lt;keyword&gt;Humans&lt;/keyword&gt;&lt;keyword&gt;United States&lt;/keyword&gt;&lt;keyword&gt;United States Food and Drug Administration/legislation &amp;amp; jurisprudence&lt;/keyword&gt;&lt;/keywords&gt;&lt;dates&gt;&lt;year&gt;2014&lt;/year&gt;&lt;pub-dates&gt;&lt;date&gt;Jan&lt;/date&gt;&lt;/pub-dates&gt;&lt;/dates&gt;&lt;isbn&gt;1087-0156&lt;/isbn&gt;&lt;accession-num&gt;24406927&lt;/accession-num&gt;&lt;urls&gt;&lt;/urls&gt;&lt;electronic-resource-num&gt;10.1038/nbt.2786&lt;/electronic-resource-num&gt;&lt;remote-database-provider&gt;NLM&lt;/remote-database-provider&gt;&lt;language&gt;eng&lt;/language&gt;&lt;/record&gt;&lt;/Cite&gt;&lt;/EndNote&gt;</w:instrText>
            </w:r>
            <w:r w:rsidRPr="003751FC">
              <w:rPr>
                <w:rFonts w:ascii="Times New Roman" w:hAnsi="Times New Roman" w:cs="Times New Roman"/>
              </w:rPr>
              <w:fldChar w:fldCharType="separate"/>
            </w:r>
            <w:r w:rsidRPr="003751FC">
              <w:rPr>
                <w:rFonts w:ascii="Times New Roman" w:hAnsi="Times New Roman" w:cs="Times New Roman"/>
                <w:noProof/>
              </w:rPr>
              <w:t>[3]</w:t>
            </w:r>
            <w:r w:rsidRPr="003751FC">
              <w:rPr>
                <w:rFonts w:ascii="Times New Roman" w:hAnsi="Times New Roman" w:cs="Times New Roman"/>
              </w:rPr>
              <w:fldChar w:fldCharType="end"/>
            </w:r>
          </w:p>
        </w:tc>
        <w:tc>
          <w:tcPr>
            <w:tcW w:w="3117" w:type="dxa"/>
          </w:tcPr>
          <w:p w14:paraId="57D5F638"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 xml:space="preserve">DiMasi et al, 2016 </w:t>
            </w:r>
            <w:r w:rsidRPr="003751FC">
              <w:rPr>
                <w:rFonts w:ascii="Times New Roman" w:hAnsi="Times New Roman" w:cs="Times New Roman"/>
              </w:rPr>
              <w:fldChar w:fldCharType="begin"/>
            </w:r>
            <w:r w:rsidRPr="003751FC">
              <w:rPr>
                <w:rFonts w:ascii="Times New Roman" w:hAnsi="Times New Roman" w:cs="Times New Roman"/>
              </w:rPr>
              <w:instrText xml:space="preserve"> ADDIN EN.CITE &lt;EndNote&gt;&lt;Cite&gt;&lt;Author&gt;DiMasi&lt;/Author&gt;&lt;Year&gt;2016&lt;/Year&gt;&lt;RecNum&gt;58&lt;/RecNum&gt;&lt;DisplayText&gt;[4]&lt;/DisplayText&gt;&lt;record&gt;&lt;rec-number&gt;58&lt;/rec-number&gt;&lt;foreign-keys&gt;&lt;key app="EN" db-id="2ftxwtr24frf01ee0d8xzvzdwfzdvaz5ss20" timestamp="1497400443"&gt;58&lt;/key&gt;&lt;/foreign-keys&gt;&lt;ref-type name="Journal Article"&gt;17&lt;/ref-type&gt;&lt;contributors&gt;&lt;authors&gt;&lt;author&gt;DiMasi, J. A.&lt;/author&gt;&lt;author&gt;Grabowski, H. G.&lt;/author&gt;&lt;author&gt;Hansen, R. W.&lt;/author&gt;&lt;/authors&gt;&lt;/contributors&gt;&lt;auth-address&gt;Tufts Center for the Study of Drug Development, Tufts University, United States. Electronic address: joseph.dimasi@tufts.edu.&amp;#xD;Department of Economics, Duke University, United States.&amp;#xD;Simon Business School, University of Rochester, United States.&lt;/auth-address&gt;&lt;titles&gt;&lt;title&gt;Innovation in the pharmaceutical industry: New estimates of R&amp;amp;D costs&lt;/title&gt;&lt;secondary-title&gt;J Health Econ&lt;/secondary-title&gt;&lt;/titles&gt;&lt;periodical&gt;&lt;full-title&gt;J Health Econ&lt;/full-title&gt;&lt;/periodical&gt;&lt;pages&gt;20-33&lt;/pages&gt;&lt;volume&gt;47&lt;/volume&gt;&lt;keywords&gt;&lt;keyword&gt;Biomedical Research/*economics&lt;/keyword&gt;&lt;keyword&gt;Capital Financing&lt;/keyword&gt;&lt;keyword&gt;Costs and Cost Analysis&lt;/keyword&gt;&lt;keyword&gt;*Drug Industry&lt;/keyword&gt;&lt;keyword&gt;United States&lt;/keyword&gt;&lt;keyword&gt;Discount rate&lt;/keyword&gt;&lt;keyword&gt;Innovation&lt;/keyword&gt;&lt;keyword&gt;Pharmaceutical industry&lt;/keyword&gt;&lt;keyword&gt;R&amp;amp;D cost&lt;/keyword&gt;&lt;keyword&gt;Technical success rates&lt;/keyword&gt;&lt;/keywords&gt;&lt;dates&gt;&lt;year&gt;2016&lt;/year&gt;&lt;pub-dates&gt;&lt;date&gt;May&lt;/date&gt;&lt;/pub-dates&gt;&lt;/dates&gt;&lt;isbn&gt;1879-1646 (Electronic)&amp;#xD;0167-6296 (Linking)&lt;/isbn&gt;&lt;accession-num&gt;26928437&lt;/accession-num&gt;&lt;urls&gt;&lt;related-urls&gt;&lt;url&gt;https://www.ncbi.nlm.nih.gov/pubmed/26928437&lt;/url&gt;&lt;/related-urls&gt;&lt;/urls&gt;&lt;electronic-resource-num&gt;10.1016/j.jhealeco.2016.01.012&lt;/electronic-resource-num&gt;&lt;/record&gt;&lt;/Cite&gt;&lt;/EndNote&gt;</w:instrText>
            </w:r>
            <w:r w:rsidRPr="003751FC">
              <w:rPr>
                <w:rFonts w:ascii="Times New Roman" w:hAnsi="Times New Roman" w:cs="Times New Roman"/>
              </w:rPr>
              <w:fldChar w:fldCharType="separate"/>
            </w:r>
            <w:r w:rsidRPr="003751FC">
              <w:rPr>
                <w:rFonts w:ascii="Times New Roman" w:hAnsi="Times New Roman" w:cs="Times New Roman"/>
                <w:noProof/>
              </w:rPr>
              <w:t>[4]</w:t>
            </w:r>
            <w:r w:rsidRPr="003751FC">
              <w:rPr>
                <w:rFonts w:ascii="Times New Roman" w:hAnsi="Times New Roman" w:cs="Times New Roman"/>
              </w:rPr>
              <w:fldChar w:fldCharType="end"/>
            </w:r>
          </w:p>
        </w:tc>
      </w:tr>
      <w:tr w:rsidR="004F79C7" w:rsidRPr="003751FC" w14:paraId="0859716F" w14:textId="77777777" w:rsidTr="004F79C7">
        <w:tc>
          <w:tcPr>
            <w:tcW w:w="3116" w:type="dxa"/>
          </w:tcPr>
          <w:p w14:paraId="119E3D1C"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s</w:t>
            </w:r>
            <w:r w:rsidRPr="003751FC">
              <w:rPr>
                <w:rFonts w:ascii="Times New Roman" w:hAnsi="Times New Roman" w:cs="Times New Roman"/>
                <w:vertAlign w:val="subscript"/>
              </w:rPr>
              <w:t>d,1-2</w:t>
            </w:r>
          </w:p>
        </w:tc>
        <w:tc>
          <w:tcPr>
            <w:tcW w:w="3117" w:type="dxa"/>
          </w:tcPr>
          <w:p w14:paraId="7E9B1AEF"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64.5%</w:t>
            </w:r>
          </w:p>
        </w:tc>
        <w:tc>
          <w:tcPr>
            <w:tcW w:w="3117" w:type="dxa"/>
          </w:tcPr>
          <w:p w14:paraId="1F6532C5"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59.52%</w:t>
            </w:r>
          </w:p>
        </w:tc>
      </w:tr>
      <w:tr w:rsidR="004F79C7" w:rsidRPr="003751FC" w14:paraId="4FA91E86" w14:textId="77777777" w:rsidTr="004F79C7">
        <w:tc>
          <w:tcPr>
            <w:tcW w:w="3116" w:type="dxa"/>
          </w:tcPr>
          <w:p w14:paraId="6A6155D6"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s</w:t>
            </w:r>
            <w:r w:rsidRPr="003751FC">
              <w:rPr>
                <w:rFonts w:ascii="Times New Roman" w:hAnsi="Times New Roman" w:cs="Times New Roman"/>
                <w:vertAlign w:val="subscript"/>
              </w:rPr>
              <w:t>d,2-3</w:t>
            </w:r>
          </w:p>
        </w:tc>
        <w:tc>
          <w:tcPr>
            <w:tcW w:w="3117" w:type="dxa"/>
          </w:tcPr>
          <w:p w14:paraId="3326DA85"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32.4%</w:t>
            </w:r>
          </w:p>
        </w:tc>
        <w:tc>
          <w:tcPr>
            <w:tcW w:w="3117" w:type="dxa"/>
          </w:tcPr>
          <w:p w14:paraId="7499E9BE"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35.52%</w:t>
            </w:r>
          </w:p>
        </w:tc>
      </w:tr>
      <w:tr w:rsidR="004F79C7" w:rsidRPr="003751FC" w14:paraId="269EFFBB" w14:textId="77777777" w:rsidTr="004F79C7">
        <w:tc>
          <w:tcPr>
            <w:tcW w:w="3116" w:type="dxa"/>
          </w:tcPr>
          <w:p w14:paraId="2604E84D"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s</w:t>
            </w:r>
            <w:r w:rsidRPr="003751FC">
              <w:rPr>
                <w:rFonts w:ascii="Times New Roman" w:hAnsi="Times New Roman" w:cs="Times New Roman"/>
                <w:vertAlign w:val="subscript"/>
              </w:rPr>
              <w:t>d,3-f</w:t>
            </w:r>
          </w:p>
        </w:tc>
        <w:tc>
          <w:tcPr>
            <w:tcW w:w="3117" w:type="dxa"/>
          </w:tcPr>
          <w:p w14:paraId="2550A1D9"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60.1%</w:t>
            </w:r>
          </w:p>
        </w:tc>
        <w:tc>
          <w:tcPr>
            <w:tcW w:w="3117" w:type="dxa"/>
          </w:tcPr>
          <w:p w14:paraId="215DCD70"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61.95%</w:t>
            </w:r>
          </w:p>
        </w:tc>
      </w:tr>
      <w:tr w:rsidR="004F79C7" w:rsidRPr="003751FC" w14:paraId="6D94FB16" w14:textId="77777777" w:rsidTr="004F79C7">
        <w:tc>
          <w:tcPr>
            <w:tcW w:w="3116" w:type="dxa"/>
          </w:tcPr>
          <w:p w14:paraId="3CC56BB2"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s</w:t>
            </w:r>
            <w:r w:rsidRPr="003751FC">
              <w:rPr>
                <w:rFonts w:ascii="Times New Roman" w:hAnsi="Times New Roman" w:cs="Times New Roman"/>
                <w:vertAlign w:val="subscript"/>
              </w:rPr>
              <w:t>d,f-a</w:t>
            </w:r>
          </w:p>
        </w:tc>
        <w:tc>
          <w:tcPr>
            <w:tcW w:w="3117" w:type="dxa"/>
          </w:tcPr>
          <w:p w14:paraId="7CC15F6E"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83.2%</w:t>
            </w:r>
          </w:p>
        </w:tc>
        <w:tc>
          <w:tcPr>
            <w:tcW w:w="3117" w:type="dxa"/>
          </w:tcPr>
          <w:p w14:paraId="21770203"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90.35%</w:t>
            </w:r>
          </w:p>
        </w:tc>
      </w:tr>
      <w:tr w:rsidR="004F79C7" w:rsidRPr="003751FC" w14:paraId="1A43CCB4" w14:textId="77777777" w:rsidTr="004F79C7">
        <w:tc>
          <w:tcPr>
            <w:tcW w:w="3116" w:type="dxa"/>
          </w:tcPr>
          <w:p w14:paraId="07717E92"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s</w:t>
            </w:r>
            <w:r w:rsidRPr="003751FC">
              <w:rPr>
                <w:rFonts w:ascii="Times New Roman" w:hAnsi="Times New Roman" w:cs="Times New Roman"/>
                <w:vertAlign w:val="subscript"/>
              </w:rPr>
              <w:t>o,1-2</w:t>
            </w:r>
          </w:p>
        </w:tc>
        <w:tc>
          <w:tcPr>
            <w:tcW w:w="3117" w:type="dxa"/>
          </w:tcPr>
          <w:p w14:paraId="28115905"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86.8%</w:t>
            </w:r>
          </w:p>
        </w:tc>
        <w:tc>
          <w:tcPr>
            <w:tcW w:w="3117" w:type="dxa"/>
          </w:tcPr>
          <w:p w14:paraId="3C90CE36" w14:textId="77777777" w:rsidR="004F79C7" w:rsidRPr="003751FC" w:rsidRDefault="004F79C7" w:rsidP="00982BFB">
            <w:pPr>
              <w:rPr>
                <w:rFonts w:ascii="Times New Roman" w:hAnsi="Times New Roman" w:cs="Times New Roman"/>
              </w:rPr>
            </w:pPr>
          </w:p>
        </w:tc>
      </w:tr>
      <w:tr w:rsidR="004F79C7" w:rsidRPr="003751FC" w14:paraId="48051C0C" w14:textId="77777777" w:rsidTr="004F79C7">
        <w:tc>
          <w:tcPr>
            <w:tcW w:w="3116" w:type="dxa"/>
          </w:tcPr>
          <w:p w14:paraId="3610DC20"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s</w:t>
            </w:r>
            <w:r w:rsidRPr="003751FC">
              <w:rPr>
                <w:rFonts w:ascii="Times New Roman" w:hAnsi="Times New Roman" w:cs="Times New Roman"/>
                <w:vertAlign w:val="subscript"/>
              </w:rPr>
              <w:t>o,2-3</w:t>
            </w:r>
          </w:p>
        </w:tc>
        <w:tc>
          <w:tcPr>
            <w:tcW w:w="3117" w:type="dxa"/>
          </w:tcPr>
          <w:p w14:paraId="3FD97D15"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70.0%</w:t>
            </w:r>
          </w:p>
        </w:tc>
        <w:tc>
          <w:tcPr>
            <w:tcW w:w="3117" w:type="dxa"/>
          </w:tcPr>
          <w:p w14:paraId="15A07715" w14:textId="77777777" w:rsidR="004F79C7" w:rsidRPr="003751FC" w:rsidRDefault="004F79C7" w:rsidP="00982BFB">
            <w:pPr>
              <w:rPr>
                <w:rFonts w:ascii="Times New Roman" w:hAnsi="Times New Roman" w:cs="Times New Roman"/>
              </w:rPr>
            </w:pPr>
          </w:p>
        </w:tc>
      </w:tr>
      <w:tr w:rsidR="004F79C7" w:rsidRPr="003751FC" w14:paraId="4F09C2DB" w14:textId="77777777" w:rsidTr="004F79C7">
        <w:tc>
          <w:tcPr>
            <w:tcW w:w="3116" w:type="dxa"/>
          </w:tcPr>
          <w:p w14:paraId="0711D3C7"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s</w:t>
            </w:r>
            <w:r w:rsidRPr="003751FC">
              <w:rPr>
                <w:rFonts w:ascii="Times New Roman" w:hAnsi="Times New Roman" w:cs="Times New Roman"/>
                <w:vertAlign w:val="subscript"/>
              </w:rPr>
              <w:t>o,3-f</w:t>
            </w:r>
          </w:p>
        </w:tc>
        <w:tc>
          <w:tcPr>
            <w:tcW w:w="3117" w:type="dxa"/>
          </w:tcPr>
          <w:p w14:paraId="51F61D7C"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66.9%</w:t>
            </w:r>
          </w:p>
        </w:tc>
        <w:tc>
          <w:tcPr>
            <w:tcW w:w="3117" w:type="dxa"/>
          </w:tcPr>
          <w:p w14:paraId="69D5ED9E" w14:textId="77777777" w:rsidR="004F79C7" w:rsidRPr="003751FC" w:rsidRDefault="004F79C7" w:rsidP="00982BFB">
            <w:pPr>
              <w:rPr>
                <w:rFonts w:ascii="Times New Roman" w:hAnsi="Times New Roman" w:cs="Times New Roman"/>
              </w:rPr>
            </w:pPr>
          </w:p>
        </w:tc>
      </w:tr>
      <w:tr w:rsidR="004F79C7" w:rsidRPr="003751FC" w14:paraId="5B0D57F9" w14:textId="77777777" w:rsidTr="004F79C7">
        <w:tc>
          <w:tcPr>
            <w:tcW w:w="3116" w:type="dxa"/>
          </w:tcPr>
          <w:p w14:paraId="44851A15"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s</w:t>
            </w:r>
            <w:r w:rsidRPr="003751FC">
              <w:rPr>
                <w:rFonts w:ascii="Times New Roman" w:hAnsi="Times New Roman" w:cs="Times New Roman"/>
                <w:vertAlign w:val="subscript"/>
              </w:rPr>
              <w:t>o,f-a</w:t>
            </w:r>
          </w:p>
        </w:tc>
        <w:tc>
          <w:tcPr>
            <w:tcW w:w="3117" w:type="dxa"/>
          </w:tcPr>
          <w:p w14:paraId="41467F41" w14:textId="77777777" w:rsidR="004F79C7" w:rsidRPr="003751FC" w:rsidRDefault="004F79C7" w:rsidP="00982BFB">
            <w:pPr>
              <w:rPr>
                <w:rFonts w:ascii="Times New Roman" w:hAnsi="Times New Roman" w:cs="Times New Roman"/>
              </w:rPr>
            </w:pPr>
            <w:r w:rsidRPr="003751FC">
              <w:rPr>
                <w:rFonts w:ascii="Times New Roman" w:hAnsi="Times New Roman" w:cs="Times New Roman"/>
              </w:rPr>
              <w:t>81.0%</w:t>
            </w:r>
          </w:p>
        </w:tc>
        <w:tc>
          <w:tcPr>
            <w:tcW w:w="3117" w:type="dxa"/>
          </w:tcPr>
          <w:p w14:paraId="488CC278" w14:textId="77777777" w:rsidR="004F79C7" w:rsidRPr="003751FC" w:rsidRDefault="004F79C7" w:rsidP="00982BFB">
            <w:pPr>
              <w:rPr>
                <w:rFonts w:ascii="Times New Roman" w:hAnsi="Times New Roman" w:cs="Times New Roman"/>
              </w:rPr>
            </w:pPr>
          </w:p>
        </w:tc>
      </w:tr>
    </w:tbl>
    <w:p w14:paraId="29F4D841" w14:textId="77777777" w:rsidR="004F79C7" w:rsidRPr="003751FC" w:rsidRDefault="004F79C7" w:rsidP="00982BFB">
      <w:pPr>
        <w:spacing w:line="240" w:lineRule="auto"/>
        <w:rPr>
          <w:rFonts w:ascii="Times New Roman" w:hAnsi="Times New Roman" w:cs="Times New Roman"/>
        </w:rPr>
      </w:pPr>
    </w:p>
    <w:p w14:paraId="31190590" w14:textId="6B50B9A2"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Variables s</w:t>
      </w:r>
      <w:r w:rsidRPr="003751FC">
        <w:rPr>
          <w:rFonts w:ascii="Times New Roman" w:hAnsi="Times New Roman" w:cs="Times New Roman"/>
          <w:vertAlign w:val="subscript"/>
        </w:rPr>
        <w:t>d,3-</w:t>
      </w:r>
      <w:r w:rsidR="00383EC6" w:rsidRPr="003751FC">
        <w:rPr>
          <w:rFonts w:ascii="Times New Roman" w:hAnsi="Times New Roman" w:cs="Times New Roman"/>
          <w:vertAlign w:val="subscript"/>
        </w:rPr>
        <w:t xml:space="preserve">f </w:t>
      </w:r>
      <w:r w:rsidR="00383EC6" w:rsidRPr="003751FC">
        <w:rPr>
          <w:rFonts w:ascii="Times New Roman" w:hAnsi="Times New Roman" w:cs="Times New Roman"/>
        </w:rPr>
        <w:t>and</w:t>
      </w:r>
      <w:r w:rsidRPr="003751FC">
        <w:rPr>
          <w:rFonts w:ascii="Times New Roman" w:hAnsi="Times New Roman" w:cs="Times New Roman"/>
        </w:rPr>
        <w:t xml:space="preserve"> s</w:t>
      </w:r>
      <w:r w:rsidRPr="003751FC">
        <w:rPr>
          <w:rFonts w:ascii="Times New Roman" w:hAnsi="Times New Roman" w:cs="Times New Roman"/>
          <w:vertAlign w:val="subscript"/>
        </w:rPr>
        <w:t xml:space="preserve">d,f-a </w:t>
      </w:r>
      <w:r w:rsidRPr="003751FC">
        <w:rPr>
          <w:rFonts w:ascii="Times New Roman" w:hAnsi="Times New Roman" w:cs="Times New Roman"/>
        </w:rPr>
        <w:t xml:space="preserve">represent the probability of success of going from phase 3 to regulatory filing and regulatory filing to approval respectively. The transition probabilities for all drugs from Hay et al are similar to the DiMasi et al 2016 transition probabilities. </w:t>
      </w:r>
    </w:p>
    <w:p w14:paraId="27F737E3"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In order to determine the out-of-pocket clinical period cost per approved new drug, we used the following formula:</w:t>
      </w:r>
    </w:p>
    <w:p w14:paraId="5227B962"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Out-of-pocket clinical period cost per approved drug = [E(c</w:t>
      </w:r>
      <w:r w:rsidRPr="003751FC">
        <w:rPr>
          <w:rFonts w:ascii="Times New Roman" w:hAnsi="Times New Roman" w:cs="Times New Roman"/>
          <w:vertAlign w:val="subscript"/>
        </w:rPr>
        <w:t>d,1</w:t>
      </w:r>
      <w:r w:rsidRPr="003751FC">
        <w:rPr>
          <w:rFonts w:ascii="Times New Roman" w:hAnsi="Times New Roman" w:cs="Times New Roman"/>
        </w:rPr>
        <w:t>) + E(c</w:t>
      </w:r>
      <w:r w:rsidRPr="003751FC">
        <w:rPr>
          <w:rFonts w:ascii="Times New Roman" w:hAnsi="Times New Roman" w:cs="Times New Roman"/>
          <w:vertAlign w:val="subscript"/>
        </w:rPr>
        <w:t>d,2</w:t>
      </w:r>
      <w:r w:rsidRPr="003751FC">
        <w:rPr>
          <w:rFonts w:ascii="Times New Roman" w:hAnsi="Times New Roman" w:cs="Times New Roman"/>
        </w:rPr>
        <w:t>) + E(c</w:t>
      </w:r>
      <w:r w:rsidRPr="003751FC">
        <w:rPr>
          <w:rFonts w:ascii="Times New Roman" w:hAnsi="Times New Roman" w:cs="Times New Roman"/>
          <w:vertAlign w:val="subscript"/>
        </w:rPr>
        <w:t>d,3</w:t>
      </w:r>
      <w:r w:rsidRPr="003751FC">
        <w:rPr>
          <w:rFonts w:ascii="Times New Roman" w:hAnsi="Times New Roman" w:cs="Times New Roman"/>
        </w:rPr>
        <w:t>)]/[ s</w:t>
      </w:r>
      <w:r w:rsidRPr="003751FC">
        <w:rPr>
          <w:rFonts w:ascii="Times New Roman" w:hAnsi="Times New Roman" w:cs="Times New Roman"/>
          <w:vertAlign w:val="subscript"/>
        </w:rPr>
        <w:t>d,1-2</w:t>
      </w:r>
      <w:r w:rsidRPr="003751FC">
        <w:rPr>
          <w:rFonts w:ascii="Times New Roman" w:hAnsi="Times New Roman" w:cs="Times New Roman"/>
        </w:rPr>
        <w:t xml:space="preserve"> x s</w:t>
      </w:r>
      <w:r w:rsidRPr="003751FC">
        <w:rPr>
          <w:rFonts w:ascii="Times New Roman" w:hAnsi="Times New Roman" w:cs="Times New Roman"/>
          <w:vertAlign w:val="subscript"/>
        </w:rPr>
        <w:t>d,2-3</w:t>
      </w:r>
      <w:r w:rsidRPr="003751FC">
        <w:rPr>
          <w:rFonts w:ascii="Times New Roman" w:hAnsi="Times New Roman" w:cs="Times New Roman"/>
        </w:rPr>
        <w:t xml:space="preserve"> x s</w:t>
      </w:r>
      <w:r w:rsidRPr="003751FC">
        <w:rPr>
          <w:rFonts w:ascii="Times New Roman" w:hAnsi="Times New Roman" w:cs="Times New Roman"/>
          <w:vertAlign w:val="subscript"/>
        </w:rPr>
        <w:t>d,3-f</w:t>
      </w:r>
      <w:r w:rsidRPr="003751FC">
        <w:rPr>
          <w:rFonts w:ascii="Times New Roman" w:hAnsi="Times New Roman" w:cs="Times New Roman"/>
        </w:rPr>
        <w:t xml:space="preserve"> x s</w:t>
      </w:r>
      <w:r w:rsidRPr="003751FC">
        <w:rPr>
          <w:rFonts w:ascii="Times New Roman" w:hAnsi="Times New Roman" w:cs="Times New Roman"/>
          <w:vertAlign w:val="subscript"/>
        </w:rPr>
        <w:t>d,f-a</w:t>
      </w:r>
      <w:r w:rsidRPr="003751FC">
        <w:rPr>
          <w:rFonts w:ascii="Times New Roman" w:hAnsi="Times New Roman" w:cs="Times New Roman"/>
        </w:rPr>
        <w:t>]</w:t>
      </w:r>
    </w:p>
    <w:p w14:paraId="58FFCE19"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 xml:space="preserve">In order to include the opportunity cost of funds invested in new chemical entity research and development for a full cost estimate, we then capitalized the mean phase costs to the point of marketing approval. </w:t>
      </w:r>
    </w:p>
    <w:p w14:paraId="68928BB1"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lastRenderedPageBreak/>
        <w:t>The total length of time (in days) from phase 1 to regulatory approval, T, was calculated as follows for the non-orphan and orphan groups:</w:t>
      </w:r>
    </w:p>
    <w:p w14:paraId="5905F3BE" w14:textId="77777777" w:rsidR="004F79C7" w:rsidRPr="003751FC" w:rsidRDefault="004F79C7" w:rsidP="00982BFB">
      <w:pPr>
        <w:spacing w:line="240" w:lineRule="auto"/>
        <w:rPr>
          <w:rFonts w:ascii="Times New Roman" w:hAnsi="Times New Roman" w:cs="Times New Roman"/>
          <w:vertAlign w:val="subscript"/>
        </w:rPr>
      </w:pPr>
      <w:r w:rsidRPr="003751FC">
        <w:rPr>
          <w:rFonts w:ascii="Times New Roman" w:hAnsi="Times New Roman" w:cs="Times New Roman"/>
        </w:rPr>
        <w:t>T</w:t>
      </w:r>
      <w:r w:rsidRPr="003751FC">
        <w:rPr>
          <w:rFonts w:ascii="Times New Roman" w:hAnsi="Times New Roman" w:cs="Times New Roman"/>
          <w:vertAlign w:val="subscript"/>
        </w:rPr>
        <w:t>d</w:t>
      </w:r>
      <w:r w:rsidRPr="003751FC">
        <w:rPr>
          <w:rFonts w:ascii="Times New Roman" w:hAnsi="Times New Roman" w:cs="Times New Roman"/>
        </w:rPr>
        <w:t xml:space="preserve"> = t</w:t>
      </w:r>
      <w:r w:rsidRPr="003751FC">
        <w:rPr>
          <w:rFonts w:ascii="Times New Roman" w:hAnsi="Times New Roman" w:cs="Times New Roman"/>
          <w:vertAlign w:val="subscript"/>
        </w:rPr>
        <w:t xml:space="preserve">d,1 </w:t>
      </w:r>
      <w:r w:rsidRPr="003751FC">
        <w:rPr>
          <w:rFonts w:ascii="Times New Roman" w:hAnsi="Times New Roman" w:cs="Times New Roman"/>
        </w:rPr>
        <w:t>+ t</w:t>
      </w:r>
      <w:r w:rsidRPr="003751FC">
        <w:rPr>
          <w:rFonts w:ascii="Times New Roman" w:hAnsi="Times New Roman" w:cs="Times New Roman"/>
          <w:vertAlign w:val="subscript"/>
        </w:rPr>
        <w:t xml:space="preserve">d,2 </w:t>
      </w:r>
      <w:r w:rsidRPr="003751FC">
        <w:rPr>
          <w:rFonts w:ascii="Times New Roman" w:hAnsi="Times New Roman" w:cs="Times New Roman"/>
        </w:rPr>
        <w:t>+ t</w:t>
      </w:r>
      <w:r w:rsidRPr="003751FC">
        <w:rPr>
          <w:rFonts w:ascii="Times New Roman" w:hAnsi="Times New Roman" w:cs="Times New Roman"/>
          <w:vertAlign w:val="subscript"/>
        </w:rPr>
        <w:t xml:space="preserve">d,3 </w:t>
      </w:r>
      <w:r w:rsidRPr="003751FC">
        <w:rPr>
          <w:rFonts w:ascii="Times New Roman" w:hAnsi="Times New Roman" w:cs="Times New Roman"/>
        </w:rPr>
        <w:t>+ t</w:t>
      </w:r>
      <w:r w:rsidRPr="003751FC">
        <w:rPr>
          <w:rFonts w:ascii="Times New Roman" w:hAnsi="Times New Roman" w:cs="Times New Roman"/>
          <w:vertAlign w:val="subscript"/>
        </w:rPr>
        <w:t>d,f-a</w:t>
      </w:r>
    </w:p>
    <w:p w14:paraId="5464B62F" w14:textId="77777777" w:rsidR="004F79C7" w:rsidRPr="003751FC" w:rsidRDefault="004F79C7" w:rsidP="00982BFB">
      <w:pPr>
        <w:spacing w:line="240" w:lineRule="auto"/>
        <w:rPr>
          <w:rFonts w:ascii="Times New Roman" w:hAnsi="Times New Roman" w:cs="Times New Roman"/>
          <w:vertAlign w:val="subscript"/>
        </w:rPr>
      </w:pPr>
      <w:r w:rsidRPr="003751FC">
        <w:rPr>
          <w:rFonts w:ascii="Times New Roman" w:hAnsi="Times New Roman" w:cs="Times New Roman"/>
        </w:rPr>
        <w:t>T</w:t>
      </w:r>
      <w:r w:rsidRPr="003751FC">
        <w:rPr>
          <w:rFonts w:ascii="Times New Roman" w:hAnsi="Times New Roman" w:cs="Times New Roman"/>
          <w:vertAlign w:val="subscript"/>
        </w:rPr>
        <w:t>o</w:t>
      </w:r>
      <w:r w:rsidRPr="003751FC">
        <w:rPr>
          <w:rFonts w:ascii="Times New Roman" w:hAnsi="Times New Roman" w:cs="Times New Roman"/>
        </w:rPr>
        <w:t xml:space="preserve"> = t</w:t>
      </w:r>
      <w:r w:rsidRPr="003751FC">
        <w:rPr>
          <w:rFonts w:ascii="Times New Roman" w:hAnsi="Times New Roman" w:cs="Times New Roman"/>
          <w:vertAlign w:val="subscript"/>
        </w:rPr>
        <w:t xml:space="preserve">o,1 </w:t>
      </w:r>
      <w:r w:rsidRPr="003751FC">
        <w:rPr>
          <w:rFonts w:ascii="Times New Roman" w:hAnsi="Times New Roman" w:cs="Times New Roman"/>
        </w:rPr>
        <w:t>+ t</w:t>
      </w:r>
      <w:r w:rsidRPr="003751FC">
        <w:rPr>
          <w:rFonts w:ascii="Times New Roman" w:hAnsi="Times New Roman" w:cs="Times New Roman"/>
          <w:vertAlign w:val="subscript"/>
        </w:rPr>
        <w:t xml:space="preserve">o,2 </w:t>
      </w:r>
      <w:r w:rsidRPr="003751FC">
        <w:rPr>
          <w:rFonts w:ascii="Times New Roman" w:hAnsi="Times New Roman" w:cs="Times New Roman"/>
        </w:rPr>
        <w:t>+ t</w:t>
      </w:r>
      <w:r w:rsidRPr="003751FC">
        <w:rPr>
          <w:rFonts w:ascii="Times New Roman" w:hAnsi="Times New Roman" w:cs="Times New Roman"/>
          <w:vertAlign w:val="subscript"/>
        </w:rPr>
        <w:t xml:space="preserve">o,3 </w:t>
      </w:r>
      <w:r w:rsidRPr="003751FC">
        <w:rPr>
          <w:rFonts w:ascii="Times New Roman" w:hAnsi="Times New Roman" w:cs="Times New Roman"/>
        </w:rPr>
        <w:t>+ t</w:t>
      </w:r>
      <w:r w:rsidRPr="003751FC">
        <w:rPr>
          <w:rFonts w:ascii="Times New Roman" w:hAnsi="Times New Roman" w:cs="Times New Roman"/>
          <w:vertAlign w:val="subscript"/>
        </w:rPr>
        <w:t>o,f-a</w:t>
      </w:r>
    </w:p>
    <w:p w14:paraId="36AE1413"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The values for t</w:t>
      </w:r>
      <w:r w:rsidRPr="003751FC">
        <w:rPr>
          <w:rFonts w:ascii="Times New Roman" w:hAnsi="Times New Roman" w:cs="Times New Roman"/>
          <w:vertAlign w:val="subscript"/>
        </w:rPr>
        <w:t>d,1</w:t>
      </w:r>
      <w:r w:rsidRPr="003751FC">
        <w:rPr>
          <w:rFonts w:ascii="Times New Roman" w:hAnsi="Times New Roman" w:cs="Times New Roman"/>
        </w:rPr>
        <w:t>, t</w:t>
      </w:r>
      <w:r w:rsidRPr="003751FC">
        <w:rPr>
          <w:rFonts w:ascii="Times New Roman" w:hAnsi="Times New Roman" w:cs="Times New Roman"/>
          <w:vertAlign w:val="subscript"/>
        </w:rPr>
        <w:t>d,2</w:t>
      </w:r>
      <w:r w:rsidRPr="003751FC">
        <w:rPr>
          <w:rFonts w:ascii="Times New Roman" w:hAnsi="Times New Roman" w:cs="Times New Roman"/>
        </w:rPr>
        <w:t>, t</w:t>
      </w:r>
      <w:r w:rsidRPr="003751FC">
        <w:rPr>
          <w:rFonts w:ascii="Times New Roman" w:hAnsi="Times New Roman" w:cs="Times New Roman"/>
          <w:vertAlign w:val="subscript"/>
        </w:rPr>
        <w:t>d,3</w:t>
      </w:r>
      <w:r w:rsidRPr="003751FC">
        <w:rPr>
          <w:rFonts w:ascii="Times New Roman" w:hAnsi="Times New Roman" w:cs="Times New Roman"/>
        </w:rPr>
        <w:t>, t</w:t>
      </w:r>
      <w:r w:rsidRPr="003751FC">
        <w:rPr>
          <w:rFonts w:ascii="Times New Roman" w:hAnsi="Times New Roman" w:cs="Times New Roman"/>
          <w:vertAlign w:val="subscript"/>
        </w:rPr>
        <w:t>o,1</w:t>
      </w:r>
      <w:r w:rsidRPr="003751FC">
        <w:rPr>
          <w:rFonts w:ascii="Times New Roman" w:hAnsi="Times New Roman" w:cs="Times New Roman"/>
        </w:rPr>
        <w:t>, t</w:t>
      </w:r>
      <w:r w:rsidRPr="003751FC">
        <w:rPr>
          <w:rFonts w:ascii="Times New Roman" w:hAnsi="Times New Roman" w:cs="Times New Roman"/>
          <w:vertAlign w:val="subscript"/>
        </w:rPr>
        <w:t>o,2</w:t>
      </w:r>
      <w:r w:rsidRPr="003751FC">
        <w:rPr>
          <w:rFonts w:ascii="Times New Roman" w:hAnsi="Times New Roman" w:cs="Times New Roman"/>
        </w:rPr>
        <w:t xml:space="preserve"> and t</w:t>
      </w:r>
      <w:r w:rsidRPr="003751FC">
        <w:rPr>
          <w:rFonts w:ascii="Times New Roman" w:hAnsi="Times New Roman" w:cs="Times New Roman"/>
          <w:vertAlign w:val="subscript"/>
        </w:rPr>
        <w:t xml:space="preserve">o,3  </w:t>
      </w:r>
      <w:r w:rsidRPr="003751FC">
        <w:rPr>
          <w:rFonts w:ascii="Times New Roman" w:hAnsi="Times New Roman" w:cs="Times New Roman"/>
        </w:rPr>
        <w:t>were calculated based on this dataset. The variable t</w:t>
      </w:r>
      <w:r w:rsidRPr="003751FC">
        <w:rPr>
          <w:rFonts w:ascii="Times New Roman" w:hAnsi="Times New Roman" w:cs="Times New Roman"/>
          <w:vertAlign w:val="subscript"/>
        </w:rPr>
        <w:t xml:space="preserve">c,f-a </w:t>
      </w:r>
      <w:r w:rsidRPr="003751FC">
        <w:rPr>
          <w:rFonts w:ascii="Times New Roman" w:hAnsi="Times New Roman" w:cs="Times New Roman"/>
        </w:rPr>
        <w:t xml:space="preserve">represents time from filing to approval. The average time for FDA standard review was obtained from the FDA (12 months). Since some orphan drugs may be eligible for priority review (~ 6 months) we took a sample of our orphan drug dataset to see the proportion approved via priority review. It was found that ~60% of OD reviews were priority and therefore we applied a weighted approval time of 10 months for orphan drugs. </w:t>
      </w:r>
    </w:p>
    <w:p w14:paraId="4F44DF10"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 xml:space="preserve">Using an interest rate of 10.5% per annum as per the methods in DiMasi et al </w:t>
      </w:r>
      <w:r w:rsidRPr="003751FC">
        <w:rPr>
          <w:rFonts w:ascii="Times New Roman" w:hAnsi="Times New Roman" w:cs="Times New Roman"/>
        </w:rPr>
        <w:fldChar w:fldCharType="begin"/>
      </w:r>
      <w:r w:rsidRPr="003751FC">
        <w:rPr>
          <w:rFonts w:ascii="Times New Roman" w:hAnsi="Times New Roman" w:cs="Times New Roman"/>
        </w:rPr>
        <w:instrText xml:space="preserve"> ADDIN EN.CITE &lt;EndNote&gt;&lt;Cite&gt;&lt;Author&gt;DiMasi&lt;/Author&gt;&lt;Year&gt;2016&lt;/Year&gt;&lt;RecNum&gt;58&lt;/RecNum&gt;&lt;DisplayText&gt;[4]&lt;/DisplayText&gt;&lt;record&gt;&lt;rec-number&gt;58&lt;/rec-number&gt;&lt;foreign-keys&gt;&lt;key app="EN" db-id="2ftxwtr24frf01ee0d8xzvzdwfzdvaz5ss20" timestamp="1497400443"&gt;58&lt;/key&gt;&lt;/foreign-keys&gt;&lt;ref-type name="Journal Article"&gt;17&lt;/ref-type&gt;&lt;contributors&gt;&lt;authors&gt;&lt;author&gt;DiMasi, J. A.&lt;/author&gt;&lt;author&gt;Grabowski, H. G.&lt;/author&gt;&lt;author&gt;Hansen, R. W.&lt;/author&gt;&lt;/authors&gt;&lt;/contributors&gt;&lt;auth-address&gt;Tufts Center for the Study of Drug Development, Tufts University, United States. Electronic address: joseph.dimasi@tufts.edu.&amp;#xD;Department of Economics, Duke University, United States.&amp;#xD;Simon Business School, University of Rochester, United States.&lt;/auth-address&gt;&lt;titles&gt;&lt;title&gt;Innovation in the pharmaceutical industry: New estimates of R&amp;amp;D costs&lt;/title&gt;&lt;secondary-title&gt;J Health Econ&lt;/secondary-title&gt;&lt;/titles&gt;&lt;periodical&gt;&lt;full-title&gt;J Health Econ&lt;/full-title&gt;&lt;/periodical&gt;&lt;pages&gt;20-33&lt;/pages&gt;&lt;volume&gt;47&lt;/volume&gt;&lt;keywords&gt;&lt;keyword&gt;Biomedical Research/*economics&lt;/keyword&gt;&lt;keyword&gt;Capital Financing&lt;/keyword&gt;&lt;keyword&gt;Costs and Cost Analysis&lt;/keyword&gt;&lt;keyword&gt;*Drug Industry&lt;/keyword&gt;&lt;keyword&gt;United States&lt;/keyword&gt;&lt;keyword&gt;Discount rate&lt;/keyword&gt;&lt;keyword&gt;Innovation&lt;/keyword&gt;&lt;keyword&gt;Pharmaceutical industry&lt;/keyword&gt;&lt;keyword&gt;R&amp;amp;D cost&lt;/keyword&gt;&lt;keyword&gt;Technical success rates&lt;/keyword&gt;&lt;/keywords&gt;&lt;dates&gt;&lt;year&gt;2016&lt;/year&gt;&lt;pub-dates&gt;&lt;date&gt;May&lt;/date&gt;&lt;/pub-dates&gt;&lt;/dates&gt;&lt;isbn&gt;1879-1646 (Electronic)&amp;#xD;0167-6296 (Linking)&lt;/isbn&gt;&lt;accession-num&gt;26928437&lt;/accession-num&gt;&lt;urls&gt;&lt;related-urls&gt;&lt;url&gt;https://www.ncbi.nlm.nih.gov/pubmed/26928437&lt;/url&gt;&lt;/related-urls&gt;&lt;/urls&gt;&lt;electronic-resource-num&gt;10.1016/j.jhealeco.2016.01.012&lt;/electronic-resource-num&gt;&lt;/record&gt;&lt;/Cite&gt;&lt;/EndNote&gt;</w:instrText>
      </w:r>
      <w:r w:rsidRPr="003751FC">
        <w:rPr>
          <w:rFonts w:ascii="Times New Roman" w:hAnsi="Times New Roman" w:cs="Times New Roman"/>
        </w:rPr>
        <w:fldChar w:fldCharType="separate"/>
      </w:r>
      <w:r w:rsidRPr="003751FC">
        <w:rPr>
          <w:rFonts w:ascii="Times New Roman" w:hAnsi="Times New Roman" w:cs="Times New Roman"/>
          <w:noProof/>
        </w:rPr>
        <w:t>[4]</w:t>
      </w:r>
      <w:r w:rsidRPr="003751FC">
        <w:rPr>
          <w:rFonts w:ascii="Times New Roman" w:hAnsi="Times New Roman" w:cs="Times New Roman"/>
        </w:rPr>
        <w:fldChar w:fldCharType="end"/>
      </w:r>
      <w:r w:rsidRPr="003751FC">
        <w:rPr>
          <w:rFonts w:ascii="Times New Roman" w:hAnsi="Times New Roman" w:cs="Times New Roman"/>
        </w:rPr>
        <w:t>, we then calculated the capitalized mean phase costs:</w:t>
      </w:r>
    </w:p>
    <w:p w14:paraId="202E5191"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c</w:t>
      </w:r>
      <w:r w:rsidRPr="003751FC">
        <w:rPr>
          <w:rFonts w:ascii="Times New Roman" w:hAnsi="Times New Roman" w:cs="Times New Roman"/>
          <w:vertAlign w:val="subscript"/>
        </w:rPr>
        <w:t>d,1,c</w:t>
      </w:r>
      <w:r w:rsidRPr="003751FC">
        <w:rPr>
          <w:rFonts w:ascii="Times New Roman" w:hAnsi="Times New Roman" w:cs="Times New Roman"/>
        </w:rPr>
        <w:t>= c</w:t>
      </w:r>
      <w:r w:rsidRPr="003751FC">
        <w:rPr>
          <w:rFonts w:ascii="Times New Roman" w:hAnsi="Times New Roman" w:cs="Times New Roman"/>
          <w:vertAlign w:val="subscript"/>
        </w:rPr>
        <w:t>d,1</w:t>
      </w:r>
      <w:r w:rsidRPr="003751FC">
        <w:rPr>
          <w:rFonts w:ascii="Times New Roman" w:hAnsi="Times New Roman" w:cs="Times New Roman"/>
        </w:rPr>
        <w:t xml:space="preserve"> [ 1 + [(T</w:t>
      </w:r>
      <w:r w:rsidRPr="003751FC">
        <w:rPr>
          <w:rFonts w:ascii="Times New Roman" w:hAnsi="Times New Roman" w:cs="Times New Roman"/>
          <w:vertAlign w:val="subscript"/>
        </w:rPr>
        <w:t>d</w:t>
      </w:r>
      <w:r w:rsidRPr="003751FC">
        <w:rPr>
          <w:rFonts w:ascii="Times New Roman" w:hAnsi="Times New Roman" w:cs="Times New Roman"/>
        </w:rPr>
        <w:t>)*(0.105/365)]]</w:t>
      </w:r>
    </w:p>
    <w:p w14:paraId="2BFBD89B"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c</w:t>
      </w:r>
      <w:r w:rsidRPr="003751FC">
        <w:rPr>
          <w:rFonts w:ascii="Times New Roman" w:hAnsi="Times New Roman" w:cs="Times New Roman"/>
          <w:vertAlign w:val="subscript"/>
        </w:rPr>
        <w:t>d,2,c</w:t>
      </w:r>
      <w:r w:rsidRPr="003751FC">
        <w:rPr>
          <w:rFonts w:ascii="Times New Roman" w:hAnsi="Times New Roman" w:cs="Times New Roman"/>
        </w:rPr>
        <w:t xml:space="preserve"> = c</w:t>
      </w:r>
      <w:r w:rsidRPr="003751FC">
        <w:rPr>
          <w:rFonts w:ascii="Times New Roman" w:hAnsi="Times New Roman" w:cs="Times New Roman"/>
          <w:vertAlign w:val="subscript"/>
        </w:rPr>
        <w:t>d,2</w:t>
      </w:r>
      <w:r w:rsidRPr="003751FC">
        <w:rPr>
          <w:rFonts w:ascii="Times New Roman" w:hAnsi="Times New Roman" w:cs="Times New Roman"/>
        </w:rPr>
        <w:t xml:space="preserve"> [ 1 + [(T</w:t>
      </w:r>
      <w:r w:rsidRPr="003751FC">
        <w:rPr>
          <w:rFonts w:ascii="Times New Roman" w:hAnsi="Times New Roman" w:cs="Times New Roman"/>
          <w:vertAlign w:val="subscript"/>
        </w:rPr>
        <w:t>d</w:t>
      </w:r>
      <w:r w:rsidRPr="003751FC">
        <w:rPr>
          <w:rFonts w:ascii="Times New Roman" w:hAnsi="Times New Roman" w:cs="Times New Roman"/>
        </w:rPr>
        <w:t xml:space="preserve"> – t</w:t>
      </w:r>
      <w:r w:rsidRPr="003751FC">
        <w:rPr>
          <w:rFonts w:ascii="Times New Roman" w:hAnsi="Times New Roman" w:cs="Times New Roman"/>
          <w:vertAlign w:val="subscript"/>
        </w:rPr>
        <w:t>d,1</w:t>
      </w:r>
      <w:r w:rsidRPr="003751FC">
        <w:rPr>
          <w:rFonts w:ascii="Times New Roman" w:hAnsi="Times New Roman" w:cs="Times New Roman"/>
        </w:rPr>
        <w:t>)*(0.105/365)]]</w:t>
      </w:r>
    </w:p>
    <w:p w14:paraId="77B17D3C"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c</w:t>
      </w:r>
      <w:r w:rsidRPr="003751FC">
        <w:rPr>
          <w:rFonts w:ascii="Times New Roman" w:hAnsi="Times New Roman" w:cs="Times New Roman"/>
          <w:vertAlign w:val="subscript"/>
        </w:rPr>
        <w:t>d,3,c</w:t>
      </w:r>
      <w:r w:rsidRPr="003751FC">
        <w:rPr>
          <w:rFonts w:ascii="Times New Roman" w:hAnsi="Times New Roman" w:cs="Times New Roman"/>
        </w:rPr>
        <w:t xml:space="preserve"> = c</w:t>
      </w:r>
      <w:r w:rsidRPr="003751FC">
        <w:rPr>
          <w:rFonts w:ascii="Times New Roman" w:hAnsi="Times New Roman" w:cs="Times New Roman"/>
          <w:vertAlign w:val="subscript"/>
        </w:rPr>
        <w:t>d,3</w:t>
      </w:r>
      <w:r w:rsidRPr="003751FC">
        <w:rPr>
          <w:rFonts w:ascii="Times New Roman" w:hAnsi="Times New Roman" w:cs="Times New Roman"/>
        </w:rPr>
        <w:t xml:space="preserve"> [ 1 + [(T</w:t>
      </w:r>
      <w:r w:rsidRPr="003751FC">
        <w:rPr>
          <w:rFonts w:ascii="Times New Roman" w:hAnsi="Times New Roman" w:cs="Times New Roman"/>
          <w:vertAlign w:val="subscript"/>
        </w:rPr>
        <w:t>d</w:t>
      </w:r>
      <w:r w:rsidRPr="003751FC">
        <w:rPr>
          <w:rFonts w:ascii="Times New Roman" w:hAnsi="Times New Roman" w:cs="Times New Roman"/>
        </w:rPr>
        <w:t xml:space="preserve"> – t</w:t>
      </w:r>
      <w:r w:rsidRPr="003751FC">
        <w:rPr>
          <w:rFonts w:ascii="Times New Roman" w:hAnsi="Times New Roman" w:cs="Times New Roman"/>
          <w:vertAlign w:val="subscript"/>
        </w:rPr>
        <w:t>d,1</w:t>
      </w:r>
      <w:r w:rsidRPr="003751FC">
        <w:rPr>
          <w:rFonts w:ascii="Times New Roman" w:hAnsi="Times New Roman" w:cs="Times New Roman"/>
        </w:rPr>
        <w:t xml:space="preserve"> – t</w:t>
      </w:r>
      <w:r w:rsidRPr="003751FC">
        <w:rPr>
          <w:rFonts w:ascii="Times New Roman" w:hAnsi="Times New Roman" w:cs="Times New Roman"/>
          <w:vertAlign w:val="subscript"/>
        </w:rPr>
        <w:t>d,2</w:t>
      </w:r>
      <w:r w:rsidRPr="003751FC">
        <w:rPr>
          <w:rFonts w:ascii="Times New Roman" w:hAnsi="Times New Roman" w:cs="Times New Roman"/>
        </w:rPr>
        <w:t>)*(0.105/365)]]</w:t>
      </w:r>
    </w:p>
    <w:p w14:paraId="6F1E5936"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 xml:space="preserve">Similarly, the capitalized mean phase costs for the orphan group was also calculated. </w:t>
      </w:r>
    </w:p>
    <w:p w14:paraId="7A51548A"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 xml:space="preserve">For each group, the capitalized expected phase costs were then calculated. </w:t>
      </w:r>
    </w:p>
    <w:p w14:paraId="1D252FF1" w14:textId="77777777" w:rsidR="004F79C7" w:rsidRPr="003751FC" w:rsidRDefault="004F79C7" w:rsidP="00982BFB">
      <w:pPr>
        <w:spacing w:line="240" w:lineRule="auto"/>
        <w:rPr>
          <w:rFonts w:ascii="Times New Roman" w:hAnsi="Times New Roman" w:cs="Times New Roman"/>
          <w:vertAlign w:val="subscript"/>
        </w:rPr>
      </w:pPr>
      <w:r w:rsidRPr="003751FC">
        <w:rPr>
          <w:rFonts w:ascii="Times New Roman" w:hAnsi="Times New Roman" w:cs="Times New Roman"/>
        </w:rPr>
        <w:t>E(c</w:t>
      </w:r>
      <w:r w:rsidRPr="003751FC">
        <w:rPr>
          <w:rFonts w:ascii="Times New Roman" w:hAnsi="Times New Roman" w:cs="Times New Roman"/>
          <w:vertAlign w:val="subscript"/>
        </w:rPr>
        <w:t>d,1,c</w:t>
      </w:r>
      <w:r w:rsidRPr="003751FC">
        <w:rPr>
          <w:rFonts w:ascii="Times New Roman" w:hAnsi="Times New Roman" w:cs="Times New Roman"/>
        </w:rPr>
        <w:t>) = c</w:t>
      </w:r>
      <w:r w:rsidRPr="003751FC">
        <w:rPr>
          <w:rFonts w:ascii="Times New Roman" w:hAnsi="Times New Roman" w:cs="Times New Roman"/>
          <w:vertAlign w:val="subscript"/>
        </w:rPr>
        <w:t>d,1,c</w:t>
      </w:r>
    </w:p>
    <w:p w14:paraId="36ACE321"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E(c</w:t>
      </w:r>
      <w:r w:rsidRPr="003751FC">
        <w:rPr>
          <w:rFonts w:ascii="Times New Roman" w:hAnsi="Times New Roman" w:cs="Times New Roman"/>
          <w:vertAlign w:val="subscript"/>
        </w:rPr>
        <w:t>d,2,c</w:t>
      </w:r>
      <w:r w:rsidRPr="003751FC">
        <w:rPr>
          <w:rFonts w:ascii="Times New Roman" w:hAnsi="Times New Roman" w:cs="Times New Roman"/>
        </w:rPr>
        <w:t>) = s</w:t>
      </w:r>
      <w:r w:rsidRPr="003751FC">
        <w:rPr>
          <w:rFonts w:ascii="Times New Roman" w:hAnsi="Times New Roman" w:cs="Times New Roman"/>
          <w:vertAlign w:val="subscript"/>
        </w:rPr>
        <w:t>d,1-2</w:t>
      </w:r>
      <w:r w:rsidRPr="003751FC">
        <w:rPr>
          <w:rFonts w:ascii="Times New Roman" w:hAnsi="Times New Roman" w:cs="Times New Roman"/>
        </w:rPr>
        <w:t xml:space="preserve"> x c</w:t>
      </w:r>
      <w:r w:rsidRPr="003751FC">
        <w:rPr>
          <w:rFonts w:ascii="Times New Roman" w:hAnsi="Times New Roman" w:cs="Times New Roman"/>
          <w:vertAlign w:val="subscript"/>
        </w:rPr>
        <w:t>d,2,c</w:t>
      </w:r>
    </w:p>
    <w:p w14:paraId="219233C5"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E(c</w:t>
      </w:r>
      <w:r w:rsidRPr="003751FC">
        <w:rPr>
          <w:rFonts w:ascii="Times New Roman" w:hAnsi="Times New Roman" w:cs="Times New Roman"/>
          <w:vertAlign w:val="subscript"/>
        </w:rPr>
        <w:t>d,3,c</w:t>
      </w:r>
      <w:r w:rsidRPr="003751FC">
        <w:rPr>
          <w:rFonts w:ascii="Times New Roman" w:hAnsi="Times New Roman" w:cs="Times New Roman"/>
        </w:rPr>
        <w:t>) = s</w:t>
      </w:r>
      <w:r w:rsidRPr="003751FC">
        <w:rPr>
          <w:rFonts w:ascii="Times New Roman" w:hAnsi="Times New Roman" w:cs="Times New Roman"/>
          <w:vertAlign w:val="subscript"/>
        </w:rPr>
        <w:t xml:space="preserve">d,1-2 </w:t>
      </w:r>
      <w:r w:rsidRPr="003751FC">
        <w:rPr>
          <w:rFonts w:ascii="Times New Roman" w:hAnsi="Times New Roman" w:cs="Times New Roman"/>
        </w:rPr>
        <w:t>x</w:t>
      </w:r>
      <w:r w:rsidRPr="003751FC">
        <w:rPr>
          <w:rFonts w:ascii="Times New Roman" w:hAnsi="Times New Roman" w:cs="Times New Roman"/>
          <w:vertAlign w:val="subscript"/>
        </w:rPr>
        <w:t xml:space="preserve"> </w:t>
      </w:r>
      <w:r w:rsidRPr="003751FC">
        <w:rPr>
          <w:rFonts w:ascii="Times New Roman" w:hAnsi="Times New Roman" w:cs="Times New Roman"/>
        </w:rPr>
        <w:t>s</w:t>
      </w:r>
      <w:r w:rsidRPr="003751FC">
        <w:rPr>
          <w:rFonts w:ascii="Times New Roman" w:hAnsi="Times New Roman" w:cs="Times New Roman"/>
          <w:vertAlign w:val="subscript"/>
        </w:rPr>
        <w:t xml:space="preserve">d,2-3 </w:t>
      </w:r>
      <w:r w:rsidRPr="003751FC">
        <w:rPr>
          <w:rFonts w:ascii="Times New Roman" w:hAnsi="Times New Roman" w:cs="Times New Roman"/>
        </w:rPr>
        <w:t>x c</w:t>
      </w:r>
      <w:r w:rsidRPr="003751FC">
        <w:rPr>
          <w:rFonts w:ascii="Times New Roman" w:hAnsi="Times New Roman" w:cs="Times New Roman"/>
          <w:vertAlign w:val="subscript"/>
        </w:rPr>
        <w:t>d,3,c</w:t>
      </w:r>
    </w:p>
    <w:p w14:paraId="00D8CAB0"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The capitalized clinical period cost per approved new drug can be estimated by:</w:t>
      </w:r>
    </w:p>
    <w:p w14:paraId="17E4654E"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Capitalized clinical period cost per approved non-orphan drug = [E(c</w:t>
      </w:r>
      <w:r w:rsidRPr="003751FC">
        <w:rPr>
          <w:rFonts w:ascii="Times New Roman" w:hAnsi="Times New Roman" w:cs="Times New Roman"/>
          <w:vertAlign w:val="subscript"/>
        </w:rPr>
        <w:t>d,1,c</w:t>
      </w:r>
      <w:r w:rsidRPr="003751FC">
        <w:rPr>
          <w:rFonts w:ascii="Times New Roman" w:hAnsi="Times New Roman" w:cs="Times New Roman"/>
        </w:rPr>
        <w:t>) + E(c</w:t>
      </w:r>
      <w:r w:rsidRPr="003751FC">
        <w:rPr>
          <w:rFonts w:ascii="Times New Roman" w:hAnsi="Times New Roman" w:cs="Times New Roman"/>
          <w:vertAlign w:val="subscript"/>
        </w:rPr>
        <w:t>d,2,c</w:t>
      </w:r>
      <w:r w:rsidRPr="003751FC">
        <w:rPr>
          <w:rFonts w:ascii="Times New Roman" w:hAnsi="Times New Roman" w:cs="Times New Roman"/>
        </w:rPr>
        <w:t>) + E(c</w:t>
      </w:r>
      <w:r w:rsidRPr="003751FC">
        <w:rPr>
          <w:rFonts w:ascii="Times New Roman" w:hAnsi="Times New Roman" w:cs="Times New Roman"/>
          <w:vertAlign w:val="subscript"/>
        </w:rPr>
        <w:t>d,3,c</w:t>
      </w:r>
      <w:r w:rsidRPr="003751FC">
        <w:rPr>
          <w:rFonts w:ascii="Times New Roman" w:hAnsi="Times New Roman" w:cs="Times New Roman"/>
        </w:rPr>
        <w:t>)]/[ s</w:t>
      </w:r>
      <w:r w:rsidRPr="003751FC">
        <w:rPr>
          <w:rFonts w:ascii="Times New Roman" w:hAnsi="Times New Roman" w:cs="Times New Roman"/>
          <w:vertAlign w:val="subscript"/>
        </w:rPr>
        <w:t>d,1-2</w:t>
      </w:r>
      <w:r w:rsidRPr="003751FC">
        <w:rPr>
          <w:rFonts w:ascii="Times New Roman" w:hAnsi="Times New Roman" w:cs="Times New Roman"/>
        </w:rPr>
        <w:t xml:space="preserve"> x s</w:t>
      </w:r>
      <w:r w:rsidRPr="003751FC">
        <w:rPr>
          <w:rFonts w:ascii="Times New Roman" w:hAnsi="Times New Roman" w:cs="Times New Roman"/>
          <w:vertAlign w:val="subscript"/>
        </w:rPr>
        <w:t>d,2-3</w:t>
      </w:r>
      <w:r w:rsidRPr="003751FC">
        <w:rPr>
          <w:rFonts w:ascii="Times New Roman" w:hAnsi="Times New Roman" w:cs="Times New Roman"/>
        </w:rPr>
        <w:t xml:space="preserve"> x s</w:t>
      </w:r>
      <w:r w:rsidRPr="003751FC">
        <w:rPr>
          <w:rFonts w:ascii="Times New Roman" w:hAnsi="Times New Roman" w:cs="Times New Roman"/>
          <w:vertAlign w:val="subscript"/>
        </w:rPr>
        <w:t>d,3-f</w:t>
      </w:r>
      <w:r w:rsidRPr="003751FC">
        <w:rPr>
          <w:rFonts w:ascii="Times New Roman" w:hAnsi="Times New Roman" w:cs="Times New Roman"/>
        </w:rPr>
        <w:t xml:space="preserve"> x s</w:t>
      </w:r>
      <w:r w:rsidRPr="003751FC">
        <w:rPr>
          <w:rFonts w:ascii="Times New Roman" w:hAnsi="Times New Roman" w:cs="Times New Roman"/>
          <w:vertAlign w:val="subscript"/>
        </w:rPr>
        <w:t>d,f-a</w:t>
      </w:r>
      <w:r w:rsidRPr="003751FC">
        <w:rPr>
          <w:rFonts w:ascii="Times New Roman" w:hAnsi="Times New Roman" w:cs="Times New Roman"/>
        </w:rPr>
        <w:t>]</w:t>
      </w:r>
    </w:p>
    <w:p w14:paraId="300F30FD"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Capitalized clinical period cost per approved orphan drug = [E(c</w:t>
      </w:r>
      <w:r w:rsidRPr="003751FC">
        <w:rPr>
          <w:rFonts w:ascii="Times New Roman" w:hAnsi="Times New Roman" w:cs="Times New Roman"/>
          <w:vertAlign w:val="subscript"/>
        </w:rPr>
        <w:t>o,1,c</w:t>
      </w:r>
      <w:r w:rsidRPr="003751FC">
        <w:rPr>
          <w:rFonts w:ascii="Times New Roman" w:hAnsi="Times New Roman" w:cs="Times New Roman"/>
        </w:rPr>
        <w:t>) + E(c</w:t>
      </w:r>
      <w:r w:rsidRPr="003751FC">
        <w:rPr>
          <w:rFonts w:ascii="Times New Roman" w:hAnsi="Times New Roman" w:cs="Times New Roman"/>
          <w:vertAlign w:val="subscript"/>
        </w:rPr>
        <w:t>o,2,c</w:t>
      </w:r>
      <w:r w:rsidRPr="003751FC">
        <w:rPr>
          <w:rFonts w:ascii="Times New Roman" w:hAnsi="Times New Roman" w:cs="Times New Roman"/>
        </w:rPr>
        <w:t>) + E(c</w:t>
      </w:r>
      <w:r w:rsidRPr="003751FC">
        <w:rPr>
          <w:rFonts w:ascii="Times New Roman" w:hAnsi="Times New Roman" w:cs="Times New Roman"/>
          <w:vertAlign w:val="subscript"/>
        </w:rPr>
        <w:t>o,3,c</w:t>
      </w:r>
      <w:r w:rsidRPr="003751FC">
        <w:rPr>
          <w:rFonts w:ascii="Times New Roman" w:hAnsi="Times New Roman" w:cs="Times New Roman"/>
        </w:rPr>
        <w:t>)]/[ s</w:t>
      </w:r>
      <w:r w:rsidRPr="003751FC">
        <w:rPr>
          <w:rFonts w:ascii="Times New Roman" w:hAnsi="Times New Roman" w:cs="Times New Roman"/>
          <w:vertAlign w:val="subscript"/>
        </w:rPr>
        <w:t>o,1-2</w:t>
      </w:r>
      <w:r w:rsidRPr="003751FC">
        <w:rPr>
          <w:rFonts w:ascii="Times New Roman" w:hAnsi="Times New Roman" w:cs="Times New Roman"/>
        </w:rPr>
        <w:t xml:space="preserve"> x s</w:t>
      </w:r>
      <w:r w:rsidRPr="003751FC">
        <w:rPr>
          <w:rFonts w:ascii="Times New Roman" w:hAnsi="Times New Roman" w:cs="Times New Roman"/>
          <w:vertAlign w:val="subscript"/>
        </w:rPr>
        <w:t>o,2-3</w:t>
      </w:r>
      <w:r w:rsidRPr="003751FC">
        <w:rPr>
          <w:rFonts w:ascii="Times New Roman" w:hAnsi="Times New Roman" w:cs="Times New Roman"/>
        </w:rPr>
        <w:t xml:space="preserve"> x s</w:t>
      </w:r>
      <w:r w:rsidRPr="003751FC">
        <w:rPr>
          <w:rFonts w:ascii="Times New Roman" w:hAnsi="Times New Roman" w:cs="Times New Roman"/>
          <w:vertAlign w:val="subscript"/>
        </w:rPr>
        <w:t>o,3-f</w:t>
      </w:r>
      <w:r w:rsidRPr="003751FC">
        <w:rPr>
          <w:rFonts w:ascii="Times New Roman" w:hAnsi="Times New Roman" w:cs="Times New Roman"/>
        </w:rPr>
        <w:t xml:space="preserve"> x s</w:t>
      </w:r>
      <w:r w:rsidRPr="003751FC">
        <w:rPr>
          <w:rFonts w:ascii="Times New Roman" w:hAnsi="Times New Roman" w:cs="Times New Roman"/>
          <w:vertAlign w:val="subscript"/>
        </w:rPr>
        <w:t>o,f-a</w:t>
      </w:r>
      <w:r w:rsidRPr="003751FC">
        <w:rPr>
          <w:rFonts w:ascii="Times New Roman" w:hAnsi="Times New Roman" w:cs="Times New Roman"/>
        </w:rPr>
        <w:t>]</w:t>
      </w:r>
    </w:p>
    <w:p w14:paraId="51D71C1C" w14:textId="77777777" w:rsidR="004F79C7" w:rsidRPr="003751FC" w:rsidRDefault="004F79C7" w:rsidP="00982BFB">
      <w:pPr>
        <w:spacing w:line="240" w:lineRule="auto"/>
        <w:rPr>
          <w:rFonts w:ascii="Times New Roman" w:hAnsi="Times New Roman" w:cs="Times New Roman"/>
        </w:rPr>
      </w:pPr>
      <w:r w:rsidRPr="003751FC">
        <w:rPr>
          <w:rFonts w:ascii="Times New Roman" w:hAnsi="Times New Roman" w:cs="Times New Roman"/>
        </w:rPr>
        <w:t xml:space="preserve">The variability in results were assessed with sensitivity analysis around many of the data parameters as seen in the table below. </w:t>
      </w:r>
    </w:p>
    <w:p w14:paraId="445E3739" w14:textId="77777777" w:rsidR="004F79C7" w:rsidRDefault="004F79C7" w:rsidP="00982BFB">
      <w:pPr>
        <w:spacing w:line="240" w:lineRule="auto"/>
        <w:rPr>
          <w:rFonts w:ascii="Times New Roman" w:hAnsi="Times New Roman" w:cs="Times New Roman"/>
        </w:rPr>
      </w:pPr>
      <w:r w:rsidRPr="003751FC">
        <w:rPr>
          <w:rFonts w:ascii="Times New Roman" w:hAnsi="Times New Roman" w:cs="Times New Roman"/>
        </w:rPr>
        <w:t xml:space="preserve">Table: Inputs for sensitivity analyses </w:t>
      </w:r>
    </w:p>
    <w:p w14:paraId="6E861F10" w14:textId="24B93F42" w:rsidR="00501ED1" w:rsidRPr="003751FC" w:rsidRDefault="00501ED1" w:rsidP="00982BFB">
      <w:pPr>
        <w:spacing w:line="240" w:lineRule="auto"/>
        <w:rPr>
          <w:rFonts w:ascii="Times New Roman" w:hAnsi="Times New Roman" w:cs="Times New Roman"/>
        </w:rPr>
      </w:pPr>
      <w:r w:rsidRPr="00501ED1">
        <w:rPr>
          <w:noProof/>
          <w:lang w:val="en-US"/>
        </w:rPr>
        <w:lastRenderedPageBreak/>
        <w:drawing>
          <wp:inline distT="0" distB="0" distL="0" distR="0" wp14:anchorId="52268B82" wp14:editId="428F546F">
            <wp:extent cx="5943600" cy="557648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5576484"/>
                    </a:xfrm>
                    <a:prstGeom prst="rect">
                      <a:avLst/>
                    </a:prstGeom>
                    <a:noFill/>
                    <a:ln>
                      <a:noFill/>
                    </a:ln>
                  </pic:spPr>
                </pic:pic>
              </a:graphicData>
            </a:graphic>
          </wp:inline>
        </w:drawing>
      </w:r>
    </w:p>
    <w:p w14:paraId="7F3D8092" w14:textId="3146B968" w:rsidR="004F79C7" w:rsidRPr="003751FC" w:rsidRDefault="005F40FE" w:rsidP="00982BFB">
      <w:pPr>
        <w:spacing w:line="240" w:lineRule="auto"/>
        <w:rPr>
          <w:rFonts w:ascii="Times New Roman" w:hAnsi="Times New Roman" w:cs="Times New Roman"/>
          <w:b/>
        </w:rPr>
      </w:pPr>
      <w:r w:rsidRPr="003751FC">
        <w:rPr>
          <w:rFonts w:ascii="Times New Roman" w:hAnsi="Times New Roman" w:cs="Times New Roman"/>
          <w:b/>
        </w:rPr>
        <w:t xml:space="preserve">References: </w:t>
      </w:r>
    </w:p>
    <w:p w14:paraId="7F361ECB" w14:textId="77777777" w:rsidR="00A125CD" w:rsidRPr="003751FC" w:rsidRDefault="00843A6C" w:rsidP="00982BFB">
      <w:pPr>
        <w:spacing w:line="240" w:lineRule="auto"/>
        <w:rPr>
          <w:rFonts w:ascii="Times New Roman" w:hAnsi="Times New Roman" w:cs="Times New Roman"/>
        </w:rPr>
      </w:pPr>
      <w:r w:rsidRPr="003751FC">
        <w:rPr>
          <w:rFonts w:ascii="Times New Roman" w:hAnsi="Times New Roman" w:cs="Times New Roman"/>
        </w:rPr>
        <w:t>1. Practice, B.T.P., Biopharmaceutical Industry-Sponsored Clinical Trials: Impact on State Economies. 2015.</w:t>
      </w:r>
      <w:r w:rsidR="005F40FE" w:rsidRPr="003751FC">
        <w:rPr>
          <w:rFonts w:ascii="Times New Roman" w:hAnsi="Times New Roman" w:cs="Times New Roman"/>
        </w:rPr>
        <w:t xml:space="preserve"> </w:t>
      </w:r>
    </w:p>
    <w:p w14:paraId="20C22861" w14:textId="77777777" w:rsidR="00A125CD" w:rsidRPr="003751FC" w:rsidRDefault="00843A6C" w:rsidP="00982BFB">
      <w:pPr>
        <w:spacing w:line="240" w:lineRule="auto"/>
        <w:rPr>
          <w:rFonts w:ascii="Times New Roman" w:hAnsi="Times New Roman" w:cs="Times New Roman"/>
        </w:rPr>
      </w:pPr>
      <w:r w:rsidRPr="003751FC">
        <w:rPr>
          <w:rFonts w:ascii="Times New Roman" w:hAnsi="Times New Roman" w:cs="Times New Roman"/>
        </w:rPr>
        <w:t>2. EvaluatePharma, Orphan Drug Report 2015. 2015.</w:t>
      </w:r>
      <w:r w:rsidR="005F40FE" w:rsidRPr="003751FC">
        <w:rPr>
          <w:rFonts w:ascii="Times New Roman" w:hAnsi="Times New Roman" w:cs="Times New Roman"/>
        </w:rPr>
        <w:t xml:space="preserve"> </w:t>
      </w:r>
    </w:p>
    <w:p w14:paraId="0B899461" w14:textId="77777777" w:rsidR="00A125CD" w:rsidRPr="003751FC" w:rsidRDefault="00843A6C" w:rsidP="00982BFB">
      <w:pPr>
        <w:spacing w:line="240" w:lineRule="auto"/>
        <w:rPr>
          <w:rFonts w:ascii="Times New Roman" w:hAnsi="Times New Roman" w:cs="Times New Roman"/>
        </w:rPr>
      </w:pPr>
      <w:r w:rsidRPr="003751FC">
        <w:rPr>
          <w:rFonts w:ascii="Times New Roman" w:hAnsi="Times New Roman" w:cs="Times New Roman"/>
        </w:rPr>
        <w:t>3. Hay, M., et al., Clinical development success rates for investigational drugs. Nat Biotechnol, 2014. 32(1): p. 40-51.</w:t>
      </w:r>
      <w:r w:rsidR="005F40FE" w:rsidRPr="003751FC">
        <w:rPr>
          <w:rFonts w:ascii="Times New Roman" w:hAnsi="Times New Roman" w:cs="Times New Roman"/>
        </w:rPr>
        <w:t xml:space="preserve"> </w:t>
      </w:r>
    </w:p>
    <w:p w14:paraId="0D1014B7" w14:textId="77777777" w:rsidR="00A125CD" w:rsidRPr="003751FC" w:rsidRDefault="00843A6C" w:rsidP="00982BFB">
      <w:pPr>
        <w:spacing w:line="240" w:lineRule="auto"/>
        <w:rPr>
          <w:rFonts w:ascii="Times New Roman" w:hAnsi="Times New Roman" w:cs="Times New Roman"/>
        </w:rPr>
      </w:pPr>
      <w:r w:rsidRPr="003751FC">
        <w:rPr>
          <w:rFonts w:ascii="Times New Roman" w:hAnsi="Times New Roman" w:cs="Times New Roman"/>
        </w:rPr>
        <w:t>4. DiMasi, J.A., H.G. Grabowski, and R.W. Hansen, Innovation in the pharmaceutical industry: New estimates of R&amp;D costs. J Health Econ, 2016. 47: p. 20-33.</w:t>
      </w:r>
      <w:r w:rsidR="005F40FE" w:rsidRPr="003751FC">
        <w:rPr>
          <w:rFonts w:ascii="Times New Roman" w:hAnsi="Times New Roman" w:cs="Times New Roman"/>
        </w:rPr>
        <w:t xml:space="preserve"> </w:t>
      </w:r>
    </w:p>
    <w:p w14:paraId="7A9A15F9" w14:textId="77777777" w:rsidR="00A125CD" w:rsidRPr="003751FC" w:rsidRDefault="00A125CD" w:rsidP="00982BFB">
      <w:pPr>
        <w:spacing w:line="240" w:lineRule="auto"/>
        <w:rPr>
          <w:rFonts w:ascii="Times New Roman" w:hAnsi="Times New Roman" w:cs="Times New Roman"/>
        </w:rPr>
      </w:pPr>
      <w:r w:rsidRPr="003751FC">
        <w:rPr>
          <w:rFonts w:ascii="Times New Roman" w:hAnsi="Times New Roman" w:cs="Times New Roman"/>
        </w:rPr>
        <w:t xml:space="preserve">5. Prasad, V. and S. Mailankody, Research and Development Spending to Bring a Single Cancer Drug to Market and Revenues After Approval. JAMA Intern Med, 2017. 177(11): p. 1569-1575. </w:t>
      </w:r>
    </w:p>
    <w:p w14:paraId="757A5267" w14:textId="0449EF0A" w:rsidR="004F79C7" w:rsidRPr="003751FC" w:rsidRDefault="00A125CD" w:rsidP="00982BFB">
      <w:pPr>
        <w:spacing w:line="240" w:lineRule="auto"/>
        <w:rPr>
          <w:rFonts w:ascii="Times New Roman" w:hAnsi="Times New Roman" w:cs="Times New Roman"/>
        </w:rPr>
      </w:pPr>
      <w:r w:rsidRPr="003751FC">
        <w:rPr>
          <w:rFonts w:ascii="Times New Roman" w:hAnsi="Times New Roman" w:cs="Times New Roman"/>
        </w:rPr>
        <w:t>6. Light, D.W. and R. Warburton, Demythologizing the high costs of pharmaceutical research. BioSocieties, 2011. 6(1): p. 34-50.</w:t>
      </w:r>
    </w:p>
    <w:sectPr w:rsidR="004F79C7" w:rsidRPr="003751FC" w:rsidSect="00D50486">
      <w:footerReference w:type="default" r:id="rId11"/>
      <w:footerReference w:type="first" r:id="rId12"/>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DBF10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DBF107" w16cid:durableId="1F9FF5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58E7EF" w14:textId="77777777" w:rsidR="004C3E7F" w:rsidRDefault="004C3E7F" w:rsidP="0037714A">
      <w:pPr>
        <w:spacing w:after="0" w:line="240" w:lineRule="auto"/>
      </w:pPr>
      <w:r>
        <w:separator/>
      </w:r>
    </w:p>
  </w:endnote>
  <w:endnote w:type="continuationSeparator" w:id="0">
    <w:p w14:paraId="14880B03" w14:textId="77777777" w:rsidR="004C3E7F" w:rsidRDefault="004C3E7F" w:rsidP="00377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704472"/>
      <w:docPartObj>
        <w:docPartGallery w:val="Page Numbers (Bottom of Page)"/>
        <w:docPartUnique/>
      </w:docPartObj>
    </w:sdtPr>
    <w:sdtEndPr>
      <w:rPr>
        <w:noProof/>
      </w:rPr>
    </w:sdtEndPr>
    <w:sdtContent>
      <w:p w14:paraId="69657AE2" w14:textId="77777777" w:rsidR="00E36870" w:rsidRDefault="00E36870" w:rsidP="0037714A">
        <w:pPr>
          <w:pStyle w:val="Footer"/>
          <w:jc w:val="center"/>
        </w:pPr>
        <w:r>
          <w:fldChar w:fldCharType="begin"/>
        </w:r>
        <w:r>
          <w:instrText xml:space="preserve"> PAGE   \* MERGEFORMAT </w:instrText>
        </w:r>
        <w:r>
          <w:fldChar w:fldCharType="separate"/>
        </w:r>
        <w:r w:rsidR="00C745BE">
          <w:rPr>
            <w:noProof/>
          </w:rPr>
          <w:t>1</w:t>
        </w:r>
        <w:r>
          <w:rPr>
            <w:noProof/>
          </w:rPr>
          <w:fldChar w:fldCharType="end"/>
        </w:r>
      </w:p>
    </w:sdtContent>
  </w:sdt>
  <w:p w14:paraId="75280CB6" w14:textId="77777777" w:rsidR="00E36870" w:rsidRDefault="00E36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9620" w14:textId="77777777" w:rsidR="00E36870" w:rsidRDefault="00E3687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Pr>
        <w:caps/>
        <w:noProof/>
        <w:color w:val="5B9BD5" w:themeColor="accent1"/>
      </w:rPr>
      <w:t>i</w:t>
    </w:r>
    <w:r>
      <w:rPr>
        <w:caps/>
        <w:noProof/>
        <w:color w:val="5B9BD5" w:themeColor="accent1"/>
      </w:rPr>
      <w:fldChar w:fldCharType="end"/>
    </w:r>
  </w:p>
  <w:p w14:paraId="5F672CAE" w14:textId="77777777" w:rsidR="00E36870" w:rsidRDefault="00E36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749591" w14:textId="77777777" w:rsidR="004C3E7F" w:rsidRDefault="004C3E7F" w:rsidP="0037714A">
      <w:pPr>
        <w:spacing w:after="0" w:line="240" w:lineRule="auto"/>
      </w:pPr>
      <w:r>
        <w:separator/>
      </w:r>
    </w:p>
  </w:footnote>
  <w:footnote w:type="continuationSeparator" w:id="0">
    <w:p w14:paraId="139498C3" w14:textId="77777777" w:rsidR="004C3E7F" w:rsidRDefault="004C3E7F" w:rsidP="003771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5555"/>
    <w:multiLevelType w:val="hybridMultilevel"/>
    <w:tmpl w:val="9BE0864C"/>
    <w:lvl w:ilvl="0" w:tplc="1CDC71C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A4D01E4"/>
    <w:multiLevelType w:val="hybridMultilevel"/>
    <w:tmpl w:val="8B82A52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4BED1AB1"/>
    <w:multiLevelType w:val="multilevel"/>
    <w:tmpl w:val="55540434"/>
    <w:lvl w:ilvl="0">
      <w:start w:val="1"/>
      <w:numFmt w:val="decimal"/>
      <w:pStyle w:val="Heading1"/>
      <w:lvlText w:val="%1"/>
      <w:lvlJc w:val="left"/>
      <w:pPr>
        <w:ind w:left="432" w:hanging="432"/>
      </w:pPr>
    </w:lvl>
    <w:lvl w:ilvl="1">
      <w:start w:val="1"/>
      <w:numFmt w:val="decimal"/>
      <w:pStyle w:val="Heading2"/>
      <w:lvlText w:val="%1.%2"/>
      <w:lvlJc w:val="left"/>
      <w:pPr>
        <w:ind w:left="780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7CD55C79"/>
    <w:multiLevelType w:val="hybridMultilevel"/>
    <w:tmpl w:val="FD16BE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rson w15:author="Kavisha Jayasundara">
    <w15:presenceInfo w15:providerId="None" w15:userId="Kavisha Jayasundara"/>
  </w15:person>
  <w15:person w15:author="Kavisha">
    <w15:presenceInfo w15:providerId="Windows Live" w15:userId="7fb76955a4db3b2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 Copy_KJ&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ftxwtr24frf01ee0d8xzvzdwfzdvaz5ss20&quot;&gt;Rare Diseases&lt;record-ids&gt;&lt;item&gt;7&lt;/item&gt;&lt;item&gt;58&lt;/item&gt;&lt;item&gt;60&lt;/item&gt;&lt;item&gt;62&lt;/item&gt;&lt;item&gt;63&lt;/item&gt;&lt;item&gt;68&lt;/item&gt;&lt;item&gt;69&lt;/item&gt;&lt;item&gt;70&lt;/item&gt;&lt;item&gt;71&lt;/item&gt;&lt;item&gt;72&lt;/item&gt;&lt;item&gt;73&lt;/item&gt;&lt;item&gt;74&lt;/item&gt;&lt;item&gt;75&lt;/item&gt;&lt;item&gt;78&lt;/item&gt;&lt;item&gt;79&lt;/item&gt;&lt;item&gt;81&lt;/item&gt;&lt;item&gt;95&lt;/item&gt;&lt;item&gt;97&lt;/item&gt;&lt;item&gt;99&lt;/item&gt;&lt;item&gt;100&lt;/item&gt;&lt;item&gt;132&lt;/item&gt;&lt;/record-ids&gt;&lt;/item&gt;&lt;/Libraries&gt;"/>
    <w:docVar w:name="Total_Editing_Time" w:val="0"/>
  </w:docVars>
  <w:rsids>
    <w:rsidRoot w:val="0067724F"/>
    <w:rsid w:val="0000230F"/>
    <w:rsid w:val="0000323D"/>
    <w:rsid w:val="000033F9"/>
    <w:rsid w:val="000104F5"/>
    <w:rsid w:val="000114CA"/>
    <w:rsid w:val="000124B5"/>
    <w:rsid w:val="0001789D"/>
    <w:rsid w:val="00025849"/>
    <w:rsid w:val="0002630C"/>
    <w:rsid w:val="000319C4"/>
    <w:rsid w:val="0003228A"/>
    <w:rsid w:val="000350D1"/>
    <w:rsid w:val="000401D0"/>
    <w:rsid w:val="000437C5"/>
    <w:rsid w:val="00045A54"/>
    <w:rsid w:val="00046472"/>
    <w:rsid w:val="00050269"/>
    <w:rsid w:val="000510C4"/>
    <w:rsid w:val="0005144F"/>
    <w:rsid w:val="00057AA5"/>
    <w:rsid w:val="00060115"/>
    <w:rsid w:val="000627F7"/>
    <w:rsid w:val="0006312A"/>
    <w:rsid w:val="0006677E"/>
    <w:rsid w:val="00067F9E"/>
    <w:rsid w:val="00073367"/>
    <w:rsid w:val="00075502"/>
    <w:rsid w:val="00075EB9"/>
    <w:rsid w:val="000825AB"/>
    <w:rsid w:val="0008569F"/>
    <w:rsid w:val="000863E1"/>
    <w:rsid w:val="00087120"/>
    <w:rsid w:val="00091769"/>
    <w:rsid w:val="00094AA9"/>
    <w:rsid w:val="000952D2"/>
    <w:rsid w:val="000A15FE"/>
    <w:rsid w:val="000A27E1"/>
    <w:rsid w:val="000B2901"/>
    <w:rsid w:val="000B4129"/>
    <w:rsid w:val="000B537D"/>
    <w:rsid w:val="000B5D8B"/>
    <w:rsid w:val="000C1536"/>
    <w:rsid w:val="000C1CC8"/>
    <w:rsid w:val="000C320D"/>
    <w:rsid w:val="000C75C2"/>
    <w:rsid w:val="000D2592"/>
    <w:rsid w:val="000E3E51"/>
    <w:rsid w:val="000E4935"/>
    <w:rsid w:val="000F093A"/>
    <w:rsid w:val="000F0AFF"/>
    <w:rsid w:val="000F136D"/>
    <w:rsid w:val="000F4760"/>
    <w:rsid w:val="001006C8"/>
    <w:rsid w:val="00103504"/>
    <w:rsid w:val="00103511"/>
    <w:rsid w:val="00110AAA"/>
    <w:rsid w:val="001223D3"/>
    <w:rsid w:val="00127C29"/>
    <w:rsid w:val="00130BFA"/>
    <w:rsid w:val="00131C3C"/>
    <w:rsid w:val="00140F2B"/>
    <w:rsid w:val="0014394D"/>
    <w:rsid w:val="001462CB"/>
    <w:rsid w:val="0014714A"/>
    <w:rsid w:val="0014714D"/>
    <w:rsid w:val="00161DFC"/>
    <w:rsid w:val="0016303A"/>
    <w:rsid w:val="001640A7"/>
    <w:rsid w:val="00165938"/>
    <w:rsid w:val="00171AE9"/>
    <w:rsid w:val="001738B6"/>
    <w:rsid w:val="0017752A"/>
    <w:rsid w:val="00186252"/>
    <w:rsid w:val="00187FEF"/>
    <w:rsid w:val="00191C05"/>
    <w:rsid w:val="00196CCA"/>
    <w:rsid w:val="001A1553"/>
    <w:rsid w:val="001A51A1"/>
    <w:rsid w:val="001B654B"/>
    <w:rsid w:val="001C3847"/>
    <w:rsid w:val="001C6955"/>
    <w:rsid w:val="001C7376"/>
    <w:rsid w:val="001D344F"/>
    <w:rsid w:val="001D4FF8"/>
    <w:rsid w:val="001D54FD"/>
    <w:rsid w:val="001E428A"/>
    <w:rsid w:val="001E7BCB"/>
    <w:rsid w:val="001F1B74"/>
    <w:rsid w:val="001F35AD"/>
    <w:rsid w:val="001F3B92"/>
    <w:rsid w:val="001F5CDC"/>
    <w:rsid w:val="001F6973"/>
    <w:rsid w:val="00203AF7"/>
    <w:rsid w:val="002145ED"/>
    <w:rsid w:val="00215DBD"/>
    <w:rsid w:val="00217EEA"/>
    <w:rsid w:val="00221AD4"/>
    <w:rsid w:val="00227089"/>
    <w:rsid w:val="00232DE6"/>
    <w:rsid w:val="00242DE9"/>
    <w:rsid w:val="0025561B"/>
    <w:rsid w:val="00255A73"/>
    <w:rsid w:val="00255C09"/>
    <w:rsid w:val="0026335B"/>
    <w:rsid w:val="002674B6"/>
    <w:rsid w:val="002723A7"/>
    <w:rsid w:val="002759AE"/>
    <w:rsid w:val="00276423"/>
    <w:rsid w:val="00276C87"/>
    <w:rsid w:val="00283EBA"/>
    <w:rsid w:val="00284F75"/>
    <w:rsid w:val="00285214"/>
    <w:rsid w:val="00286E81"/>
    <w:rsid w:val="002918AE"/>
    <w:rsid w:val="002923EF"/>
    <w:rsid w:val="002A01FF"/>
    <w:rsid w:val="002A0CB8"/>
    <w:rsid w:val="002A1D51"/>
    <w:rsid w:val="002A3CE6"/>
    <w:rsid w:val="002A4F76"/>
    <w:rsid w:val="002B1BB0"/>
    <w:rsid w:val="002B22D9"/>
    <w:rsid w:val="002C79A3"/>
    <w:rsid w:val="002D02F3"/>
    <w:rsid w:val="002D4F25"/>
    <w:rsid w:val="002D65DB"/>
    <w:rsid w:val="002E0893"/>
    <w:rsid w:val="0030787F"/>
    <w:rsid w:val="0031318A"/>
    <w:rsid w:val="00313DF3"/>
    <w:rsid w:val="00321488"/>
    <w:rsid w:val="00331F3D"/>
    <w:rsid w:val="00337890"/>
    <w:rsid w:val="00341A3F"/>
    <w:rsid w:val="00343A0F"/>
    <w:rsid w:val="00344FC5"/>
    <w:rsid w:val="00355CBE"/>
    <w:rsid w:val="00355DAF"/>
    <w:rsid w:val="00357CA6"/>
    <w:rsid w:val="00361DF8"/>
    <w:rsid w:val="003630E5"/>
    <w:rsid w:val="00371B51"/>
    <w:rsid w:val="0037329F"/>
    <w:rsid w:val="003751BC"/>
    <w:rsid w:val="003751FC"/>
    <w:rsid w:val="0037714A"/>
    <w:rsid w:val="00383EC6"/>
    <w:rsid w:val="00384179"/>
    <w:rsid w:val="00396AD1"/>
    <w:rsid w:val="003B2707"/>
    <w:rsid w:val="003B2FA4"/>
    <w:rsid w:val="003C16C8"/>
    <w:rsid w:val="003C1A8B"/>
    <w:rsid w:val="003C1CD2"/>
    <w:rsid w:val="003C25E0"/>
    <w:rsid w:val="003C72D8"/>
    <w:rsid w:val="003D1191"/>
    <w:rsid w:val="003D7D3D"/>
    <w:rsid w:val="003E28D5"/>
    <w:rsid w:val="003E2C2B"/>
    <w:rsid w:val="003E376D"/>
    <w:rsid w:val="003E4B93"/>
    <w:rsid w:val="003E60EC"/>
    <w:rsid w:val="003F31B0"/>
    <w:rsid w:val="003F74CD"/>
    <w:rsid w:val="00410A95"/>
    <w:rsid w:val="004110D2"/>
    <w:rsid w:val="004125EF"/>
    <w:rsid w:val="00415197"/>
    <w:rsid w:val="00415923"/>
    <w:rsid w:val="004160D7"/>
    <w:rsid w:val="00417602"/>
    <w:rsid w:val="00423AC0"/>
    <w:rsid w:val="00427AA6"/>
    <w:rsid w:val="00432DCB"/>
    <w:rsid w:val="0043309D"/>
    <w:rsid w:val="00437BAD"/>
    <w:rsid w:val="00445574"/>
    <w:rsid w:val="00450D5E"/>
    <w:rsid w:val="00451B32"/>
    <w:rsid w:val="004533B9"/>
    <w:rsid w:val="004625B2"/>
    <w:rsid w:val="00463094"/>
    <w:rsid w:val="0046351C"/>
    <w:rsid w:val="00464E6A"/>
    <w:rsid w:val="00465E58"/>
    <w:rsid w:val="004721D6"/>
    <w:rsid w:val="0047342A"/>
    <w:rsid w:val="004845E6"/>
    <w:rsid w:val="0048494C"/>
    <w:rsid w:val="00487F13"/>
    <w:rsid w:val="0049206D"/>
    <w:rsid w:val="004920C0"/>
    <w:rsid w:val="00492F77"/>
    <w:rsid w:val="0049380F"/>
    <w:rsid w:val="004A1133"/>
    <w:rsid w:val="004A331E"/>
    <w:rsid w:val="004A3DC1"/>
    <w:rsid w:val="004B39CF"/>
    <w:rsid w:val="004C0232"/>
    <w:rsid w:val="004C182C"/>
    <w:rsid w:val="004C2239"/>
    <w:rsid w:val="004C3E7F"/>
    <w:rsid w:val="004C5369"/>
    <w:rsid w:val="004C6600"/>
    <w:rsid w:val="004C7C0E"/>
    <w:rsid w:val="004D1764"/>
    <w:rsid w:val="004D3247"/>
    <w:rsid w:val="004D3F45"/>
    <w:rsid w:val="004D41EF"/>
    <w:rsid w:val="004D6207"/>
    <w:rsid w:val="004D6F94"/>
    <w:rsid w:val="004D77BF"/>
    <w:rsid w:val="004D79B0"/>
    <w:rsid w:val="004D7CF9"/>
    <w:rsid w:val="004E22FA"/>
    <w:rsid w:val="004E314A"/>
    <w:rsid w:val="004F54FC"/>
    <w:rsid w:val="004F79C7"/>
    <w:rsid w:val="00501ED1"/>
    <w:rsid w:val="005051F0"/>
    <w:rsid w:val="00506114"/>
    <w:rsid w:val="00510DFD"/>
    <w:rsid w:val="00515142"/>
    <w:rsid w:val="00515B79"/>
    <w:rsid w:val="00516054"/>
    <w:rsid w:val="0052347C"/>
    <w:rsid w:val="00524437"/>
    <w:rsid w:val="005259C8"/>
    <w:rsid w:val="005341EE"/>
    <w:rsid w:val="005359C4"/>
    <w:rsid w:val="00541E2B"/>
    <w:rsid w:val="005456B6"/>
    <w:rsid w:val="00553FCE"/>
    <w:rsid w:val="00554650"/>
    <w:rsid w:val="005558B6"/>
    <w:rsid w:val="00560FBC"/>
    <w:rsid w:val="005630F1"/>
    <w:rsid w:val="00573988"/>
    <w:rsid w:val="0057500C"/>
    <w:rsid w:val="00577673"/>
    <w:rsid w:val="00577B33"/>
    <w:rsid w:val="00580582"/>
    <w:rsid w:val="00584B70"/>
    <w:rsid w:val="0058597C"/>
    <w:rsid w:val="005866AC"/>
    <w:rsid w:val="00594A21"/>
    <w:rsid w:val="005A3F8D"/>
    <w:rsid w:val="005A430D"/>
    <w:rsid w:val="005A57BD"/>
    <w:rsid w:val="005A62CA"/>
    <w:rsid w:val="005A7DCD"/>
    <w:rsid w:val="005B76FB"/>
    <w:rsid w:val="005C2355"/>
    <w:rsid w:val="005D54BC"/>
    <w:rsid w:val="005E4581"/>
    <w:rsid w:val="005E4DF3"/>
    <w:rsid w:val="005F0757"/>
    <w:rsid w:val="005F1DE9"/>
    <w:rsid w:val="005F304C"/>
    <w:rsid w:val="005F40FE"/>
    <w:rsid w:val="005F4B83"/>
    <w:rsid w:val="005F4D90"/>
    <w:rsid w:val="005F56B7"/>
    <w:rsid w:val="005F66B3"/>
    <w:rsid w:val="005F76F6"/>
    <w:rsid w:val="005F77BB"/>
    <w:rsid w:val="005F7EDE"/>
    <w:rsid w:val="00602669"/>
    <w:rsid w:val="0060557F"/>
    <w:rsid w:val="00610319"/>
    <w:rsid w:val="0061319B"/>
    <w:rsid w:val="0061365B"/>
    <w:rsid w:val="0061486D"/>
    <w:rsid w:val="00615D36"/>
    <w:rsid w:val="0062162D"/>
    <w:rsid w:val="0063347D"/>
    <w:rsid w:val="00633E97"/>
    <w:rsid w:val="00634C42"/>
    <w:rsid w:val="0063682A"/>
    <w:rsid w:val="00637DDC"/>
    <w:rsid w:val="00641A70"/>
    <w:rsid w:val="006564A1"/>
    <w:rsid w:val="00661773"/>
    <w:rsid w:val="006620A1"/>
    <w:rsid w:val="0066271A"/>
    <w:rsid w:val="006647C7"/>
    <w:rsid w:val="006656C5"/>
    <w:rsid w:val="00667304"/>
    <w:rsid w:val="00667DAA"/>
    <w:rsid w:val="006715E8"/>
    <w:rsid w:val="00671F17"/>
    <w:rsid w:val="00673AA4"/>
    <w:rsid w:val="0067724F"/>
    <w:rsid w:val="00691622"/>
    <w:rsid w:val="00697A35"/>
    <w:rsid w:val="00697AF4"/>
    <w:rsid w:val="006A41BD"/>
    <w:rsid w:val="006A6567"/>
    <w:rsid w:val="006B00ED"/>
    <w:rsid w:val="006C094E"/>
    <w:rsid w:val="006C71C6"/>
    <w:rsid w:val="006D02E3"/>
    <w:rsid w:val="006D4806"/>
    <w:rsid w:val="006E3E6F"/>
    <w:rsid w:val="006F6231"/>
    <w:rsid w:val="006F69A5"/>
    <w:rsid w:val="00704022"/>
    <w:rsid w:val="00705C6E"/>
    <w:rsid w:val="00707059"/>
    <w:rsid w:val="00710987"/>
    <w:rsid w:val="007156CE"/>
    <w:rsid w:val="00726057"/>
    <w:rsid w:val="00736D9D"/>
    <w:rsid w:val="00740180"/>
    <w:rsid w:val="00743541"/>
    <w:rsid w:val="00744D5E"/>
    <w:rsid w:val="00744F93"/>
    <w:rsid w:val="00753004"/>
    <w:rsid w:val="007554D0"/>
    <w:rsid w:val="00755677"/>
    <w:rsid w:val="00762BEA"/>
    <w:rsid w:val="007707D0"/>
    <w:rsid w:val="00771661"/>
    <w:rsid w:val="00785CAB"/>
    <w:rsid w:val="0078678E"/>
    <w:rsid w:val="007942A8"/>
    <w:rsid w:val="007A03CF"/>
    <w:rsid w:val="007A6F26"/>
    <w:rsid w:val="007B1F5D"/>
    <w:rsid w:val="007B48C5"/>
    <w:rsid w:val="007B6333"/>
    <w:rsid w:val="007C27E4"/>
    <w:rsid w:val="007C4F09"/>
    <w:rsid w:val="007C5805"/>
    <w:rsid w:val="007D5A6F"/>
    <w:rsid w:val="007E1018"/>
    <w:rsid w:val="007E6621"/>
    <w:rsid w:val="007E7D05"/>
    <w:rsid w:val="007F5627"/>
    <w:rsid w:val="007F575D"/>
    <w:rsid w:val="007F57C7"/>
    <w:rsid w:val="007F5CB9"/>
    <w:rsid w:val="008008A6"/>
    <w:rsid w:val="00804A92"/>
    <w:rsid w:val="008064C4"/>
    <w:rsid w:val="0080710E"/>
    <w:rsid w:val="008112E7"/>
    <w:rsid w:val="00820EB4"/>
    <w:rsid w:val="00821B09"/>
    <w:rsid w:val="00825CEF"/>
    <w:rsid w:val="00832D45"/>
    <w:rsid w:val="00840F72"/>
    <w:rsid w:val="00841952"/>
    <w:rsid w:val="00841C44"/>
    <w:rsid w:val="00843A6C"/>
    <w:rsid w:val="00854D0A"/>
    <w:rsid w:val="008559A3"/>
    <w:rsid w:val="00855C67"/>
    <w:rsid w:val="008574E8"/>
    <w:rsid w:val="008578F8"/>
    <w:rsid w:val="00876434"/>
    <w:rsid w:val="008832B6"/>
    <w:rsid w:val="0088591C"/>
    <w:rsid w:val="00886AA7"/>
    <w:rsid w:val="00892AC4"/>
    <w:rsid w:val="00893DF3"/>
    <w:rsid w:val="00894830"/>
    <w:rsid w:val="00895801"/>
    <w:rsid w:val="00895DC7"/>
    <w:rsid w:val="008A1F27"/>
    <w:rsid w:val="008A3972"/>
    <w:rsid w:val="008A4C25"/>
    <w:rsid w:val="008A4CE0"/>
    <w:rsid w:val="008C0C1B"/>
    <w:rsid w:val="008C2369"/>
    <w:rsid w:val="008C30CC"/>
    <w:rsid w:val="008C51B6"/>
    <w:rsid w:val="008C5425"/>
    <w:rsid w:val="008D1E6F"/>
    <w:rsid w:val="008D28A9"/>
    <w:rsid w:val="008D3B60"/>
    <w:rsid w:val="008D5100"/>
    <w:rsid w:val="008E4A12"/>
    <w:rsid w:val="008E65FD"/>
    <w:rsid w:val="008E7C60"/>
    <w:rsid w:val="008F080A"/>
    <w:rsid w:val="008F1F07"/>
    <w:rsid w:val="008F50B6"/>
    <w:rsid w:val="008F5FAB"/>
    <w:rsid w:val="009035A2"/>
    <w:rsid w:val="00905F46"/>
    <w:rsid w:val="00910841"/>
    <w:rsid w:val="00911C34"/>
    <w:rsid w:val="009127C7"/>
    <w:rsid w:val="009138FA"/>
    <w:rsid w:val="0091553C"/>
    <w:rsid w:val="009225C3"/>
    <w:rsid w:val="00927D98"/>
    <w:rsid w:val="00935706"/>
    <w:rsid w:val="00943DF5"/>
    <w:rsid w:val="009471A9"/>
    <w:rsid w:val="00950C60"/>
    <w:rsid w:val="00956FC1"/>
    <w:rsid w:val="00964BFC"/>
    <w:rsid w:val="00971893"/>
    <w:rsid w:val="00971913"/>
    <w:rsid w:val="00982BFB"/>
    <w:rsid w:val="00996555"/>
    <w:rsid w:val="00996662"/>
    <w:rsid w:val="009A4F76"/>
    <w:rsid w:val="009A637C"/>
    <w:rsid w:val="009B46F1"/>
    <w:rsid w:val="009B7720"/>
    <w:rsid w:val="009C3F2A"/>
    <w:rsid w:val="009C760E"/>
    <w:rsid w:val="009D24EC"/>
    <w:rsid w:val="009D2B1F"/>
    <w:rsid w:val="009E3D9A"/>
    <w:rsid w:val="009F1E28"/>
    <w:rsid w:val="009F4DF5"/>
    <w:rsid w:val="009F5ABF"/>
    <w:rsid w:val="009F634F"/>
    <w:rsid w:val="00A01116"/>
    <w:rsid w:val="00A05D5E"/>
    <w:rsid w:val="00A0746C"/>
    <w:rsid w:val="00A10CE1"/>
    <w:rsid w:val="00A125CD"/>
    <w:rsid w:val="00A14CE7"/>
    <w:rsid w:val="00A1561E"/>
    <w:rsid w:val="00A21F94"/>
    <w:rsid w:val="00A2481D"/>
    <w:rsid w:val="00A24909"/>
    <w:rsid w:val="00A253A1"/>
    <w:rsid w:val="00A3133D"/>
    <w:rsid w:val="00A32697"/>
    <w:rsid w:val="00A4271F"/>
    <w:rsid w:val="00A43B7D"/>
    <w:rsid w:val="00A45442"/>
    <w:rsid w:val="00A466BA"/>
    <w:rsid w:val="00A47A43"/>
    <w:rsid w:val="00A47B7D"/>
    <w:rsid w:val="00A509D1"/>
    <w:rsid w:val="00A50CEE"/>
    <w:rsid w:val="00A5183B"/>
    <w:rsid w:val="00A54FB0"/>
    <w:rsid w:val="00A60FA8"/>
    <w:rsid w:val="00A6206D"/>
    <w:rsid w:val="00A62CE3"/>
    <w:rsid w:val="00A74B8A"/>
    <w:rsid w:val="00A74BAE"/>
    <w:rsid w:val="00A90751"/>
    <w:rsid w:val="00A9575D"/>
    <w:rsid w:val="00AA4C2A"/>
    <w:rsid w:val="00AA7D21"/>
    <w:rsid w:val="00AA7D68"/>
    <w:rsid w:val="00AB19E2"/>
    <w:rsid w:val="00AB493A"/>
    <w:rsid w:val="00AB5BC9"/>
    <w:rsid w:val="00AC2D21"/>
    <w:rsid w:val="00AD069D"/>
    <w:rsid w:val="00AD1141"/>
    <w:rsid w:val="00AD5389"/>
    <w:rsid w:val="00AE482E"/>
    <w:rsid w:val="00AE56D1"/>
    <w:rsid w:val="00AE5790"/>
    <w:rsid w:val="00AF55AB"/>
    <w:rsid w:val="00AF605C"/>
    <w:rsid w:val="00B02102"/>
    <w:rsid w:val="00B0360F"/>
    <w:rsid w:val="00B052C2"/>
    <w:rsid w:val="00B10CF4"/>
    <w:rsid w:val="00B1259A"/>
    <w:rsid w:val="00B13C41"/>
    <w:rsid w:val="00B14BF8"/>
    <w:rsid w:val="00B17B71"/>
    <w:rsid w:val="00B31D4C"/>
    <w:rsid w:val="00B37840"/>
    <w:rsid w:val="00B42081"/>
    <w:rsid w:val="00B4227D"/>
    <w:rsid w:val="00B51CD5"/>
    <w:rsid w:val="00B570E9"/>
    <w:rsid w:val="00B61F7D"/>
    <w:rsid w:val="00B64E33"/>
    <w:rsid w:val="00B70298"/>
    <w:rsid w:val="00B72A56"/>
    <w:rsid w:val="00B73476"/>
    <w:rsid w:val="00B736F7"/>
    <w:rsid w:val="00B93B26"/>
    <w:rsid w:val="00B93FEE"/>
    <w:rsid w:val="00BA57A7"/>
    <w:rsid w:val="00BB63EB"/>
    <w:rsid w:val="00BC1C80"/>
    <w:rsid w:val="00BC365B"/>
    <w:rsid w:val="00BC42EC"/>
    <w:rsid w:val="00BC751F"/>
    <w:rsid w:val="00BD1EE0"/>
    <w:rsid w:val="00BD5B47"/>
    <w:rsid w:val="00BD611C"/>
    <w:rsid w:val="00BD63EF"/>
    <w:rsid w:val="00BD69B1"/>
    <w:rsid w:val="00BD74EB"/>
    <w:rsid w:val="00BE022D"/>
    <w:rsid w:val="00BE1C22"/>
    <w:rsid w:val="00BE2C3A"/>
    <w:rsid w:val="00BF0F9D"/>
    <w:rsid w:val="00C02D12"/>
    <w:rsid w:val="00C055C2"/>
    <w:rsid w:val="00C06146"/>
    <w:rsid w:val="00C06DF3"/>
    <w:rsid w:val="00C1320F"/>
    <w:rsid w:val="00C13833"/>
    <w:rsid w:val="00C13B80"/>
    <w:rsid w:val="00C1578F"/>
    <w:rsid w:val="00C15A9C"/>
    <w:rsid w:val="00C203C6"/>
    <w:rsid w:val="00C26F8F"/>
    <w:rsid w:val="00C32FE2"/>
    <w:rsid w:val="00C365B4"/>
    <w:rsid w:val="00C40D7F"/>
    <w:rsid w:val="00C42987"/>
    <w:rsid w:val="00C45429"/>
    <w:rsid w:val="00C468B2"/>
    <w:rsid w:val="00C547EE"/>
    <w:rsid w:val="00C54A76"/>
    <w:rsid w:val="00C61357"/>
    <w:rsid w:val="00C64C2D"/>
    <w:rsid w:val="00C67790"/>
    <w:rsid w:val="00C70DB9"/>
    <w:rsid w:val="00C7266B"/>
    <w:rsid w:val="00C7434E"/>
    <w:rsid w:val="00C745BE"/>
    <w:rsid w:val="00C756AD"/>
    <w:rsid w:val="00C879F7"/>
    <w:rsid w:val="00C925C3"/>
    <w:rsid w:val="00C94849"/>
    <w:rsid w:val="00C9495A"/>
    <w:rsid w:val="00CA0661"/>
    <w:rsid w:val="00CA0A0D"/>
    <w:rsid w:val="00CA4D30"/>
    <w:rsid w:val="00CB1C48"/>
    <w:rsid w:val="00CB453F"/>
    <w:rsid w:val="00CC251B"/>
    <w:rsid w:val="00CC2F63"/>
    <w:rsid w:val="00CC3BE8"/>
    <w:rsid w:val="00CC512F"/>
    <w:rsid w:val="00CD1014"/>
    <w:rsid w:val="00CD277D"/>
    <w:rsid w:val="00CD4F8E"/>
    <w:rsid w:val="00CD5524"/>
    <w:rsid w:val="00CD6BF9"/>
    <w:rsid w:val="00CE2501"/>
    <w:rsid w:val="00CE7764"/>
    <w:rsid w:val="00CF157D"/>
    <w:rsid w:val="00CF3CF8"/>
    <w:rsid w:val="00CF52A8"/>
    <w:rsid w:val="00D034B8"/>
    <w:rsid w:val="00D05876"/>
    <w:rsid w:val="00D10DA9"/>
    <w:rsid w:val="00D13A48"/>
    <w:rsid w:val="00D15316"/>
    <w:rsid w:val="00D1699E"/>
    <w:rsid w:val="00D20DA6"/>
    <w:rsid w:val="00D22FF8"/>
    <w:rsid w:val="00D33CC7"/>
    <w:rsid w:val="00D35B90"/>
    <w:rsid w:val="00D36AAB"/>
    <w:rsid w:val="00D43604"/>
    <w:rsid w:val="00D45444"/>
    <w:rsid w:val="00D5047B"/>
    <w:rsid w:val="00D50486"/>
    <w:rsid w:val="00D50CDF"/>
    <w:rsid w:val="00D527F4"/>
    <w:rsid w:val="00D54B7D"/>
    <w:rsid w:val="00D54D98"/>
    <w:rsid w:val="00D64847"/>
    <w:rsid w:val="00D66B53"/>
    <w:rsid w:val="00D77B4F"/>
    <w:rsid w:val="00D82DCF"/>
    <w:rsid w:val="00D847BC"/>
    <w:rsid w:val="00D864CE"/>
    <w:rsid w:val="00D8667C"/>
    <w:rsid w:val="00D911EC"/>
    <w:rsid w:val="00D93CFF"/>
    <w:rsid w:val="00D94DD8"/>
    <w:rsid w:val="00D96E00"/>
    <w:rsid w:val="00DA1562"/>
    <w:rsid w:val="00DA3DF8"/>
    <w:rsid w:val="00DA7D12"/>
    <w:rsid w:val="00DB21F9"/>
    <w:rsid w:val="00DB3206"/>
    <w:rsid w:val="00DB3E47"/>
    <w:rsid w:val="00DB639B"/>
    <w:rsid w:val="00DB690A"/>
    <w:rsid w:val="00DC2BB2"/>
    <w:rsid w:val="00DC30B3"/>
    <w:rsid w:val="00DC50E7"/>
    <w:rsid w:val="00DC6AF9"/>
    <w:rsid w:val="00DC7785"/>
    <w:rsid w:val="00DD0F56"/>
    <w:rsid w:val="00DD622F"/>
    <w:rsid w:val="00DD670F"/>
    <w:rsid w:val="00DE2D66"/>
    <w:rsid w:val="00DF2A38"/>
    <w:rsid w:val="00DF6661"/>
    <w:rsid w:val="00E00A40"/>
    <w:rsid w:val="00E01886"/>
    <w:rsid w:val="00E01A9A"/>
    <w:rsid w:val="00E02A92"/>
    <w:rsid w:val="00E03BC6"/>
    <w:rsid w:val="00E0689B"/>
    <w:rsid w:val="00E109CB"/>
    <w:rsid w:val="00E26093"/>
    <w:rsid w:val="00E26594"/>
    <w:rsid w:val="00E268DC"/>
    <w:rsid w:val="00E269FA"/>
    <w:rsid w:val="00E344A6"/>
    <w:rsid w:val="00E34959"/>
    <w:rsid w:val="00E36870"/>
    <w:rsid w:val="00E379E0"/>
    <w:rsid w:val="00E37E51"/>
    <w:rsid w:val="00E4243E"/>
    <w:rsid w:val="00E42699"/>
    <w:rsid w:val="00E42DD7"/>
    <w:rsid w:val="00E566A2"/>
    <w:rsid w:val="00E61482"/>
    <w:rsid w:val="00E71911"/>
    <w:rsid w:val="00E7222F"/>
    <w:rsid w:val="00E77B43"/>
    <w:rsid w:val="00E80777"/>
    <w:rsid w:val="00E85A01"/>
    <w:rsid w:val="00E879D0"/>
    <w:rsid w:val="00E94CE1"/>
    <w:rsid w:val="00E9702B"/>
    <w:rsid w:val="00E972E8"/>
    <w:rsid w:val="00E97DD4"/>
    <w:rsid w:val="00EA118F"/>
    <w:rsid w:val="00EA2542"/>
    <w:rsid w:val="00EA525C"/>
    <w:rsid w:val="00EA5C07"/>
    <w:rsid w:val="00EA5CB7"/>
    <w:rsid w:val="00EB32E4"/>
    <w:rsid w:val="00EB45C9"/>
    <w:rsid w:val="00EB5DAC"/>
    <w:rsid w:val="00EB75CC"/>
    <w:rsid w:val="00EC2184"/>
    <w:rsid w:val="00EC235D"/>
    <w:rsid w:val="00EC5042"/>
    <w:rsid w:val="00EC5634"/>
    <w:rsid w:val="00ED01E9"/>
    <w:rsid w:val="00ED6130"/>
    <w:rsid w:val="00ED7AF5"/>
    <w:rsid w:val="00EE3B2A"/>
    <w:rsid w:val="00EF2AB0"/>
    <w:rsid w:val="00F0398A"/>
    <w:rsid w:val="00F052DC"/>
    <w:rsid w:val="00F06215"/>
    <w:rsid w:val="00F1019E"/>
    <w:rsid w:val="00F11647"/>
    <w:rsid w:val="00F12881"/>
    <w:rsid w:val="00F17A91"/>
    <w:rsid w:val="00F20291"/>
    <w:rsid w:val="00F20350"/>
    <w:rsid w:val="00F20ED2"/>
    <w:rsid w:val="00F24C63"/>
    <w:rsid w:val="00F4526E"/>
    <w:rsid w:val="00F602FC"/>
    <w:rsid w:val="00F60780"/>
    <w:rsid w:val="00F61893"/>
    <w:rsid w:val="00F63602"/>
    <w:rsid w:val="00F66899"/>
    <w:rsid w:val="00F6715D"/>
    <w:rsid w:val="00F71A8C"/>
    <w:rsid w:val="00F72D26"/>
    <w:rsid w:val="00F73D48"/>
    <w:rsid w:val="00F85CA0"/>
    <w:rsid w:val="00F87E8A"/>
    <w:rsid w:val="00F904B6"/>
    <w:rsid w:val="00F94A1C"/>
    <w:rsid w:val="00F96AEA"/>
    <w:rsid w:val="00FA45C5"/>
    <w:rsid w:val="00FB54FC"/>
    <w:rsid w:val="00FC5490"/>
    <w:rsid w:val="00FC5903"/>
    <w:rsid w:val="00FC59B8"/>
    <w:rsid w:val="00FD2E9D"/>
    <w:rsid w:val="00FD642A"/>
    <w:rsid w:val="00FE5CC6"/>
    <w:rsid w:val="00FE65E6"/>
    <w:rsid w:val="00FE6C61"/>
    <w:rsid w:val="00FF2BD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3A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637C"/>
    <w:pPr>
      <w:keepNext/>
      <w:keepLines/>
      <w:numPr>
        <w:ilvl w:val="1"/>
        <w:numId w:val="1"/>
      </w:numPr>
      <w:spacing w:before="12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714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14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7714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7714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7714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7714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714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24F"/>
    <w:pPr>
      <w:spacing w:after="0" w:line="240" w:lineRule="auto"/>
    </w:pPr>
  </w:style>
  <w:style w:type="paragraph" w:customStyle="1" w:styleId="Abstracttext">
    <w:name w:val="Abstract text"/>
    <w:basedOn w:val="Normal"/>
    <w:rsid w:val="0067724F"/>
    <w:pPr>
      <w:spacing w:before="240" w:after="0" w:line="480" w:lineRule="auto"/>
    </w:pPr>
    <w:rPr>
      <w:rFonts w:ascii="Times New Roman" w:eastAsia="Times New Roman" w:hAnsi="Times New Roman" w:cs="Times New Roman"/>
      <w:sz w:val="24"/>
      <w:szCs w:val="20"/>
      <w:lang w:val="en-US" w:eastAsia="en-CA"/>
    </w:rPr>
  </w:style>
  <w:style w:type="paragraph" w:customStyle="1" w:styleId="Abstract">
    <w:name w:val="Abstract"/>
    <w:basedOn w:val="Abstracttitle"/>
    <w:next w:val="Abstracttext"/>
    <w:rsid w:val="0067724F"/>
    <w:pPr>
      <w:jc w:val="left"/>
    </w:pPr>
    <w:rPr>
      <w:szCs w:val="32"/>
    </w:rPr>
  </w:style>
  <w:style w:type="paragraph" w:customStyle="1" w:styleId="Abstracttitle">
    <w:name w:val="Abstract title"/>
    <w:basedOn w:val="Normal"/>
    <w:rsid w:val="0067724F"/>
    <w:pPr>
      <w:spacing w:before="240" w:after="0" w:line="360" w:lineRule="auto"/>
      <w:jc w:val="center"/>
    </w:pPr>
    <w:rPr>
      <w:rFonts w:ascii="Arial" w:eastAsia="Times New Roman" w:hAnsi="Arial" w:cs="Times New Roman"/>
      <w:sz w:val="32"/>
      <w:szCs w:val="28"/>
      <w:lang w:val="en-US" w:eastAsia="en-CA"/>
    </w:rPr>
  </w:style>
  <w:style w:type="paragraph" w:customStyle="1" w:styleId="AbstractUofT">
    <w:name w:val="Abstract U of T"/>
    <w:basedOn w:val="Normal"/>
    <w:rsid w:val="0067724F"/>
    <w:pPr>
      <w:spacing w:before="240" w:after="0" w:line="240" w:lineRule="auto"/>
      <w:jc w:val="center"/>
    </w:pPr>
    <w:rPr>
      <w:rFonts w:ascii="Times New Roman" w:eastAsia="Times New Roman" w:hAnsi="Times New Roman" w:cs="Times New Roman"/>
      <w:sz w:val="24"/>
      <w:szCs w:val="20"/>
      <w:lang w:val="en-US" w:eastAsia="en-CA"/>
    </w:rPr>
  </w:style>
  <w:style w:type="paragraph" w:customStyle="1" w:styleId="Chapter">
    <w:name w:val="Chapter"/>
    <w:basedOn w:val="Normal"/>
    <w:next w:val="Normal"/>
    <w:rsid w:val="002723A7"/>
    <w:pPr>
      <w:pageBreakBefore/>
      <w:spacing w:before="240" w:after="240" w:line="240" w:lineRule="auto"/>
      <w:jc w:val="center"/>
      <w:outlineLvl w:val="0"/>
    </w:pPr>
    <w:rPr>
      <w:rFonts w:ascii="Arial" w:eastAsia="Times New Roman" w:hAnsi="Arial" w:cs="Times New Roman"/>
      <w:sz w:val="32"/>
      <w:szCs w:val="28"/>
      <w:lang w:val="en-US" w:eastAsia="en-CA"/>
    </w:rPr>
  </w:style>
  <w:style w:type="character" w:customStyle="1" w:styleId="Heading1Char">
    <w:name w:val="Heading 1 Char"/>
    <w:basedOn w:val="DefaultParagraphFont"/>
    <w:link w:val="Heading1"/>
    <w:uiPriority w:val="9"/>
    <w:rsid w:val="002723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637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7714A"/>
    <w:pPr>
      <w:ind w:left="720"/>
      <w:contextualSpacing/>
    </w:pPr>
  </w:style>
  <w:style w:type="character" w:customStyle="1" w:styleId="Heading3Char">
    <w:name w:val="Heading 3 Char"/>
    <w:basedOn w:val="DefaultParagraphFont"/>
    <w:link w:val="Heading3"/>
    <w:uiPriority w:val="9"/>
    <w:rsid w:val="003771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771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7714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7714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7714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771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714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37714A"/>
    <w:pPr>
      <w:numPr>
        <w:numId w:val="0"/>
      </w:numPr>
      <w:outlineLvl w:val="9"/>
    </w:pPr>
    <w:rPr>
      <w:lang w:val="en-US"/>
    </w:rPr>
  </w:style>
  <w:style w:type="paragraph" w:styleId="TOC1">
    <w:name w:val="toc 1"/>
    <w:basedOn w:val="Normal"/>
    <w:next w:val="Normal"/>
    <w:autoRedefine/>
    <w:uiPriority w:val="39"/>
    <w:unhideWhenUsed/>
    <w:rsid w:val="0037714A"/>
    <w:pPr>
      <w:spacing w:after="100"/>
    </w:pPr>
  </w:style>
  <w:style w:type="paragraph" w:styleId="TOC2">
    <w:name w:val="toc 2"/>
    <w:basedOn w:val="Normal"/>
    <w:next w:val="Normal"/>
    <w:autoRedefine/>
    <w:uiPriority w:val="39"/>
    <w:unhideWhenUsed/>
    <w:rsid w:val="0037714A"/>
    <w:pPr>
      <w:spacing w:after="100"/>
      <w:ind w:left="220"/>
    </w:pPr>
  </w:style>
  <w:style w:type="character" w:styleId="Hyperlink">
    <w:name w:val="Hyperlink"/>
    <w:basedOn w:val="DefaultParagraphFont"/>
    <w:uiPriority w:val="99"/>
    <w:unhideWhenUsed/>
    <w:rsid w:val="0037714A"/>
    <w:rPr>
      <w:color w:val="0563C1" w:themeColor="hyperlink"/>
      <w:u w:val="single"/>
    </w:rPr>
  </w:style>
  <w:style w:type="paragraph" w:styleId="Header">
    <w:name w:val="header"/>
    <w:basedOn w:val="Normal"/>
    <w:link w:val="HeaderChar"/>
    <w:uiPriority w:val="99"/>
    <w:unhideWhenUsed/>
    <w:rsid w:val="00377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14A"/>
  </w:style>
  <w:style w:type="paragraph" w:styleId="Footer">
    <w:name w:val="footer"/>
    <w:basedOn w:val="Normal"/>
    <w:link w:val="FooterChar"/>
    <w:uiPriority w:val="99"/>
    <w:unhideWhenUsed/>
    <w:rsid w:val="00377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14A"/>
  </w:style>
  <w:style w:type="paragraph" w:customStyle="1" w:styleId="EndNoteBibliographyTitle">
    <w:name w:val="EndNote Bibliography Title"/>
    <w:basedOn w:val="Normal"/>
    <w:link w:val="EndNoteBibliographyTitleChar"/>
    <w:rsid w:val="000A27E1"/>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0A27E1"/>
    <w:rPr>
      <w:rFonts w:ascii="Arial" w:hAnsi="Arial" w:cs="Arial"/>
      <w:noProof/>
      <w:lang w:val="en-US"/>
    </w:rPr>
  </w:style>
  <w:style w:type="paragraph" w:customStyle="1" w:styleId="EndNoteBibliography">
    <w:name w:val="EndNote Bibliography"/>
    <w:basedOn w:val="Normal"/>
    <w:link w:val="EndNoteBibliographyChar"/>
    <w:rsid w:val="00AB493A"/>
    <w:pPr>
      <w:spacing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AB493A"/>
    <w:rPr>
      <w:rFonts w:ascii="Arial" w:hAnsi="Arial" w:cs="Arial"/>
      <w:noProof/>
      <w:lang w:val="en-US"/>
    </w:rPr>
  </w:style>
  <w:style w:type="paragraph" w:styleId="TOC3">
    <w:name w:val="toc 3"/>
    <w:basedOn w:val="Normal"/>
    <w:next w:val="Normal"/>
    <w:autoRedefine/>
    <w:uiPriority w:val="39"/>
    <w:unhideWhenUsed/>
    <w:rsid w:val="004110D2"/>
    <w:pPr>
      <w:spacing w:after="100"/>
      <w:ind w:left="440"/>
    </w:pPr>
  </w:style>
  <w:style w:type="paragraph" w:styleId="BodyText">
    <w:name w:val="Body Text"/>
    <w:basedOn w:val="Normal"/>
    <w:link w:val="BodyTextChar"/>
    <w:rsid w:val="00F20350"/>
    <w:pPr>
      <w:spacing w:before="240" w:after="0" w:line="360" w:lineRule="auto"/>
    </w:pPr>
    <w:rPr>
      <w:rFonts w:ascii="Times New Roman" w:eastAsia="Times New Roman" w:hAnsi="Times New Roman" w:cs="Times New Roman"/>
      <w:sz w:val="24"/>
      <w:szCs w:val="20"/>
      <w:lang w:val="en-US" w:eastAsia="en-CA"/>
    </w:rPr>
  </w:style>
  <w:style w:type="character" w:customStyle="1" w:styleId="BodyTextChar">
    <w:name w:val="Body Text Char"/>
    <w:basedOn w:val="DefaultParagraphFont"/>
    <w:link w:val="BodyText"/>
    <w:rsid w:val="00F20350"/>
    <w:rPr>
      <w:rFonts w:ascii="Times New Roman" w:eastAsia="Times New Roman" w:hAnsi="Times New Roman" w:cs="Times New Roman"/>
      <w:sz w:val="24"/>
      <w:szCs w:val="20"/>
      <w:lang w:val="en-US" w:eastAsia="en-CA"/>
    </w:rPr>
  </w:style>
  <w:style w:type="paragraph" w:styleId="BalloonText">
    <w:name w:val="Balloon Text"/>
    <w:basedOn w:val="Normal"/>
    <w:link w:val="BalloonTextChar"/>
    <w:uiPriority w:val="99"/>
    <w:semiHidden/>
    <w:unhideWhenUsed/>
    <w:rsid w:val="004C0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32"/>
    <w:rPr>
      <w:rFonts w:ascii="Segoe UI" w:hAnsi="Segoe UI" w:cs="Segoe UI"/>
      <w:sz w:val="18"/>
      <w:szCs w:val="18"/>
    </w:rPr>
  </w:style>
  <w:style w:type="paragraph" w:styleId="NormalWeb">
    <w:name w:val="Normal (Web)"/>
    <w:basedOn w:val="Normal"/>
    <w:uiPriority w:val="99"/>
    <w:semiHidden/>
    <w:unhideWhenUsed/>
    <w:rsid w:val="00186252"/>
    <w:pPr>
      <w:spacing w:before="100" w:beforeAutospacing="1" w:after="100" w:afterAutospacing="1" w:line="240" w:lineRule="auto"/>
      <w:jc w:val="left"/>
    </w:pPr>
    <w:rPr>
      <w:rFonts w:ascii="Times New Roman" w:eastAsiaTheme="minorEastAsia" w:hAnsi="Times New Roman" w:cs="Times New Roman"/>
      <w:sz w:val="24"/>
      <w:szCs w:val="24"/>
      <w:lang w:eastAsia="en-CA"/>
    </w:rPr>
  </w:style>
  <w:style w:type="paragraph" w:styleId="Caption">
    <w:name w:val="caption"/>
    <w:basedOn w:val="Normal"/>
    <w:next w:val="Normal"/>
    <w:uiPriority w:val="35"/>
    <w:unhideWhenUsed/>
    <w:qFormat/>
    <w:rsid w:val="00186252"/>
    <w:pPr>
      <w:spacing w:after="200" w:line="240" w:lineRule="auto"/>
      <w:jc w:val="left"/>
    </w:pPr>
    <w:rPr>
      <w:i/>
      <w:iCs/>
      <w:color w:val="44546A" w:themeColor="text2"/>
      <w:sz w:val="18"/>
      <w:szCs w:val="18"/>
      <w:lang w:val="en-US"/>
    </w:rPr>
  </w:style>
  <w:style w:type="paragraph" w:styleId="TableofFigures">
    <w:name w:val="table of figures"/>
    <w:basedOn w:val="Normal"/>
    <w:next w:val="Normal"/>
    <w:uiPriority w:val="99"/>
    <w:unhideWhenUsed/>
    <w:rsid w:val="004721D6"/>
    <w:pPr>
      <w:spacing w:after="0"/>
      <w:ind w:left="440" w:hanging="440"/>
      <w:jc w:val="left"/>
    </w:pPr>
    <w:rPr>
      <w:rFonts w:cstheme="minorHAnsi"/>
      <w:caps/>
      <w:sz w:val="20"/>
      <w:szCs w:val="20"/>
    </w:rPr>
  </w:style>
  <w:style w:type="table" w:styleId="TableGrid">
    <w:name w:val="Table Grid"/>
    <w:basedOn w:val="TableNormal"/>
    <w:uiPriority w:val="39"/>
    <w:rsid w:val="004F79C7"/>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link w:val="AppendixChar"/>
    <w:qFormat/>
    <w:rsid w:val="009E3D9A"/>
    <w:rPr>
      <w:rFonts w:ascii="Times New Roman" w:hAnsi="Times New Roman"/>
      <w:sz w:val="24"/>
    </w:rPr>
  </w:style>
  <w:style w:type="paragraph" w:customStyle="1" w:styleId="AppendixHeadings">
    <w:name w:val="Appendix Headings"/>
    <w:basedOn w:val="Normal"/>
    <w:link w:val="AppendixHeadingsChar"/>
    <w:qFormat/>
    <w:rsid w:val="009E3D9A"/>
    <w:pPr>
      <w:ind w:left="432"/>
      <w:jc w:val="left"/>
    </w:pPr>
    <w:rPr>
      <w:rFonts w:ascii="Times New Roman" w:hAnsi="Times New Roman"/>
      <w:sz w:val="24"/>
    </w:rPr>
  </w:style>
  <w:style w:type="character" w:customStyle="1" w:styleId="AppendixChar">
    <w:name w:val="Appendix Char"/>
    <w:basedOn w:val="Heading1Char"/>
    <w:link w:val="Appendix"/>
    <w:rsid w:val="009E3D9A"/>
    <w:rPr>
      <w:rFonts w:ascii="Times New Roman" w:eastAsiaTheme="majorEastAsia" w:hAnsi="Times New Roman" w:cstheme="majorBidi"/>
      <w:color w:val="2E74B5" w:themeColor="accent1" w:themeShade="BF"/>
      <w:sz w:val="24"/>
      <w:szCs w:val="32"/>
    </w:rPr>
  </w:style>
  <w:style w:type="character" w:customStyle="1" w:styleId="AppendixHeadingsChar">
    <w:name w:val="Appendix Headings Char"/>
    <w:basedOn w:val="DefaultParagraphFont"/>
    <w:link w:val="AppendixHeadings"/>
    <w:rsid w:val="009E3D9A"/>
    <w:rPr>
      <w:rFonts w:ascii="Times New Roman" w:hAnsi="Times New Roman"/>
      <w:sz w:val="24"/>
    </w:rPr>
  </w:style>
  <w:style w:type="character" w:styleId="CommentReference">
    <w:name w:val="annotation reference"/>
    <w:basedOn w:val="DefaultParagraphFont"/>
    <w:uiPriority w:val="99"/>
    <w:semiHidden/>
    <w:unhideWhenUsed/>
    <w:rsid w:val="008F080A"/>
    <w:rPr>
      <w:sz w:val="16"/>
      <w:szCs w:val="16"/>
    </w:rPr>
  </w:style>
  <w:style w:type="paragraph" w:styleId="CommentText">
    <w:name w:val="annotation text"/>
    <w:basedOn w:val="Normal"/>
    <w:link w:val="CommentTextChar"/>
    <w:uiPriority w:val="99"/>
    <w:semiHidden/>
    <w:unhideWhenUsed/>
    <w:rsid w:val="008F080A"/>
    <w:pPr>
      <w:spacing w:line="240" w:lineRule="auto"/>
    </w:pPr>
    <w:rPr>
      <w:sz w:val="20"/>
      <w:szCs w:val="20"/>
    </w:rPr>
  </w:style>
  <w:style w:type="character" w:customStyle="1" w:styleId="CommentTextChar">
    <w:name w:val="Comment Text Char"/>
    <w:basedOn w:val="DefaultParagraphFont"/>
    <w:link w:val="CommentText"/>
    <w:uiPriority w:val="99"/>
    <w:semiHidden/>
    <w:rsid w:val="008F080A"/>
    <w:rPr>
      <w:sz w:val="20"/>
      <w:szCs w:val="20"/>
    </w:rPr>
  </w:style>
  <w:style w:type="paragraph" w:styleId="CommentSubject">
    <w:name w:val="annotation subject"/>
    <w:basedOn w:val="CommentText"/>
    <w:next w:val="CommentText"/>
    <w:link w:val="CommentSubjectChar"/>
    <w:uiPriority w:val="99"/>
    <w:semiHidden/>
    <w:unhideWhenUsed/>
    <w:rsid w:val="008F080A"/>
    <w:rPr>
      <w:b/>
      <w:bCs/>
    </w:rPr>
  </w:style>
  <w:style w:type="character" w:customStyle="1" w:styleId="CommentSubjectChar">
    <w:name w:val="Comment Subject Char"/>
    <w:basedOn w:val="CommentTextChar"/>
    <w:link w:val="CommentSubject"/>
    <w:uiPriority w:val="99"/>
    <w:semiHidden/>
    <w:rsid w:val="008F080A"/>
    <w:rPr>
      <w:b/>
      <w:bCs/>
      <w:sz w:val="20"/>
      <w:szCs w:val="20"/>
    </w:rPr>
  </w:style>
  <w:style w:type="paragraph" w:styleId="Revision">
    <w:name w:val="Revision"/>
    <w:hidden/>
    <w:uiPriority w:val="99"/>
    <w:semiHidden/>
    <w:rsid w:val="00255C09"/>
    <w:pPr>
      <w:spacing w:after="0" w:line="240" w:lineRule="auto"/>
      <w:jc w:val="left"/>
    </w:pPr>
  </w:style>
  <w:style w:type="table" w:customStyle="1" w:styleId="PlainTable1">
    <w:name w:val="Plain Table 1"/>
    <w:basedOn w:val="TableNormal"/>
    <w:uiPriority w:val="41"/>
    <w:rsid w:val="009D2B1F"/>
    <w:pPr>
      <w:spacing w:after="0" w:line="240" w:lineRule="auto"/>
      <w:jc w:val="left"/>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BD1E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723A7"/>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A637C"/>
    <w:pPr>
      <w:keepNext/>
      <w:keepLines/>
      <w:numPr>
        <w:ilvl w:val="1"/>
        <w:numId w:val="1"/>
      </w:numPr>
      <w:spacing w:before="120" w:after="2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7714A"/>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7714A"/>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7714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7714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7714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7714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714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24F"/>
    <w:pPr>
      <w:spacing w:after="0" w:line="240" w:lineRule="auto"/>
    </w:pPr>
  </w:style>
  <w:style w:type="paragraph" w:customStyle="1" w:styleId="Abstracttext">
    <w:name w:val="Abstract text"/>
    <w:basedOn w:val="Normal"/>
    <w:rsid w:val="0067724F"/>
    <w:pPr>
      <w:spacing w:before="240" w:after="0" w:line="480" w:lineRule="auto"/>
    </w:pPr>
    <w:rPr>
      <w:rFonts w:ascii="Times New Roman" w:eastAsia="Times New Roman" w:hAnsi="Times New Roman" w:cs="Times New Roman"/>
      <w:sz w:val="24"/>
      <w:szCs w:val="20"/>
      <w:lang w:val="en-US" w:eastAsia="en-CA"/>
    </w:rPr>
  </w:style>
  <w:style w:type="paragraph" w:customStyle="1" w:styleId="Abstract">
    <w:name w:val="Abstract"/>
    <w:basedOn w:val="Abstracttitle"/>
    <w:next w:val="Abstracttext"/>
    <w:rsid w:val="0067724F"/>
    <w:pPr>
      <w:jc w:val="left"/>
    </w:pPr>
    <w:rPr>
      <w:szCs w:val="32"/>
    </w:rPr>
  </w:style>
  <w:style w:type="paragraph" w:customStyle="1" w:styleId="Abstracttitle">
    <w:name w:val="Abstract title"/>
    <w:basedOn w:val="Normal"/>
    <w:rsid w:val="0067724F"/>
    <w:pPr>
      <w:spacing w:before="240" w:after="0" w:line="360" w:lineRule="auto"/>
      <w:jc w:val="center"/>
    </w:pPr>
    <w:rPr>
      <w:rFonts w:ascii="Arial" w:eastAsia="Times New Roman" w:hAnsi="Arial" w:cs="Times New Roman"/>
      <w:sz w:val="32"/>
      <w:szCs w:val="28"/>
      <w:lang w:val="en-US" w:eastAsia="en-CA"/>
    </w:rPr>
  </w:style>
  <w:style w:type="paragraph" w:customStyle="1" w:styleId="AbstractUofT">
    <w:name w:val="Abstract U of T"/>
    <w:basedOn w:val="Normal"/>
    <w:rsid w:val="0067724F"/>
    <w:pPr>
      <w:spacing w:before="240" w:after="0" w:line="240" w:lineRule="auto"/>
      <w:jc w:val="center"/>
    </w:pPr>
    <w:rPr>
      <w:rFonts w:ascii="Times New Roman" w:eastAsia="Times New Roman" w:hAnsi="Times New Roman" w:cs="Times New Roman"/>
      <w:sz w:val="24"/>
      <w:szCs w:val="20"/>
      <w:lang w:val="en-US" w:eastAsia="en-CA"/>
    </w:rPr>
  </w:style>
  <w:style w:type="paragraph" w:customStyle="1" w:styleId="Chapter">
    <w:name w:val="Chapter"/>
    <w:basedOn w:val="Normal"/>
    <w:next w:val="Normal"/>
    <w:rsid w:val="002723A7"/>
    <w:pPr>
      <w:pageBreakBefore/>
      <w:spacing w:before="240" w:after="240" w:line="240" w:lineRule="auto"/>
      <w:jc w:val="center"/>
      <w:outlineLvl w:val="0"/>
    </w:pPr>
    <w:rPr>
      <w:rFonts w:ascii="Arial" w:eastAsia="Times New Roman" w:hAnsi="Arial" w:cs="Times New Roman"/>
      <w:sz w:val="32"/>
      <w:szCs w:val="28"/>
      <w:lang w:val="en-US" w:eastAsia="en-CA"/>
    </w:rPr>
  </w:style>
  <w:style w:type="character" w:customStyle="1" w:styleId="Heading1Char">
    <w:name w:val="Heading 1 Char"/>
    <w:basedOn w:val="DefaultParagraphFont"/>
    <w:link w:val="Heading1"/>
    <w:uiPriority w:val="9"/>
    <w:rsid w:val="002723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A637C"/>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7714A"/>
    <w:pPr>
      <w:ind w:left="720"/>
      <w:contextualSpacing/>
    </w:pPr>
  </w:style>
  <w:style w:type="character" w:customStyle="1" w:styleId="Heading3Char">
    <w:name w:val="Heading 3 Char"/>
    <w:basedOn w:val="DefaultParagraphFont"/>
    <w:link w:val="Heading3"/>
    <w:uiPriority w:val="9"/>
    <w:rsid w:val="003771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771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7714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7714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7714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7714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714A"/>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37714A"/>
    <w:pPr>
      <w:numPr>
        <w:numId w:val="0"/>
      </w:numPr>
      <w:outlineLvl w:val="9"/>
    </w:pPr>
    <w:rPr>
      <w:lang w:val="en-US"/>
    </w:rPr>
  </w:style>
  <w:style w:type="paragraph" w:styleId="TOC1">
    <w:name w:val="toc 1"/>
    <w:basedOn w:val="Normal"/>
    <w:next w:val="Normal"/>
    <w:autoRedefine/>
    <w:uiPriority w:val="39"/>
    <w:unhideWhenUsed/>
    <w:rsid w:val="0037714A"/>
    <w:pPr>
      <w:spacing w:after="100"/>
    </w:pPr>
  </w:style>
  <w:style w:type="paragraph" w:styleId="TOC2">
    <w:name w:val="toc 2"/>
    <w:basedOn w:val="Normal"/>
    <w:next w:val="Normal"/>
    <w:autoRedefine/>
    <w:uiPriority w:val="39"/>
    <w:unhideWhenUsed/>
    <w:rsid w:val="0037714A"/>
    <w:pPr>
      <w:spacing w:after="100"/>
      <w:ind w:left="220"/>
    </w:pPr>
  </w:style>
  <w:style w:type="character" w:styleId="Hyperlink">
    <w:name w:val="Hyperlink"/>
    <w:basedOn w:val="DefaultParagraphFont"/>
    <w:uiPriority w:val="99"/>
    <w:unhideWhenUsed/>
    <w:rsid w:val="0037714A"/>
    <w:rPr>
      <w:color w:val="0563C1" w:themeColor="hyperlink"/>
      <w:u w:val="single"/>
    </w:rPr>
  </w:style>
  <w:style w:type="paragraph" w:styleId="Header">
    <w:name w:val="header"/>
    <w:basedOn w:val="Normal"/>
    <w:link w:val="HeaderChar"/>
    <w:uiPriority w:val="99"/>
    <w:unhideWhenUsed/>
    <w:rsid w:val="00377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14A"/>
  </w:style>
  <w:style w:type="paragraph" w:styleId="Footer">
    <w:name w:val="footer"/>
    <w:basedOn w:val="Normal"/>
    <w:link w:val="FooterChar"/>
    <w:uiPriority w:val="99"/>
    <w:unhideWhenUsed/>
    <w:rsid w:val="00377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14A"/>
  </w:style>
  <w:style w:type="paragraph" w:customStyle="1" w:styleId="EndNoteBibliographyTitle">
    <w:name w:val="EndNote Bibliography Title"/>
    <w:basedOn w:val="Normal"/>
    <w:link w:val="EndNoteBibliographyTitleChar"/>
    <w:rsid w:val="000A27E1"/>
    <w:pPr>
      <w:spacing w:after="0"/>
      <w:jc w:val="center"/>
    </w:pPr>
    <w:rPr>
      <w:rFonts w:ascii="Arial" w:hAnsi="Arial" w:cs="Arial"/>
      <w:noProof/>
      <w:lang w:val="en-US"/>
    </w:rPr>
  </w:style>
  <w:style w:type="character" w:customStyle="1" w:styleId="EndNoteBibliographyTitleChar">
    <w:name w:val="EndNote Bibliography Title Char"/>
    <w:basedOn w:val="DefaultParagraphFont"/>
    <w:link w:val="EndNoteBibliographyTitle"/>
    <w:rsid w:val="000A27E1"/>
    <w:rPr>
      <w:rFonts w:ascii="Arial" w:hAnsi="Arial" w:cs="Arial"/>
      <w:noProof/>
      <w:lang w:val="en-US"/>
    </w:rPr>
  </w:style>
  <w:style w:type="paragraph" w:customStyle="1" w:styleId="EndNoteBibliography">
    <w:name w:val="EndNote Bibliography"/>
    <w:basedOn w:val="Normal"/>
    <w:link w:val="EndNoteBibliographyChar"/>
    <w:rsid w:val="00AB493A"/>
    <w:pPr>
      <w:spacing w:line="240" w:lineRule="auto"/>
    </w:pPr>
    <w:rPr>
      <w:rFonts w:ascii="Arial" w:hAnsi="Arial" w:cs="Arial"/>
      <w:noProof/>
      <w:lang w:val="en-US"/>
    </w:rPr>
  </w:style>
  <w:style w:type="character" w:customStyle="1" w:styleId="EndNoteBibliographyChar">
    <w:name w:val="EndNote Bibliography Char"/>
    <w:basedOn w:val="DefaultParagraphFont"/>
    <w:link w:val="EndNoteBibliography"/>
    <w:rsid w:val="00AB493A"/>
    <w:rPr>
      <w:rFonts w:ascii="Arial" w:hAnsi="Arial" w:cs="Arial"/>
      <w:noProof/>
      <w:lang w:val="en-US"/>
    </w:rPr>
  </w:style>
  <w:style w:type="paragraph" w:styleId="TOC3">
    <w:name w:val="toc 3"/>
    <w:basedOn w:val="Normal"/>
    <w:next w:val="Normal"/>
    <w:autoRedefine/>
    <w:uiPriority w:val="39"/>
    <w:unhideWhenUsed/>
    <w:rsid w:val="004110D2"/>
    <w:pPr>
      <w:spacing w:after="100"/>
      <w:ind w:left="440"/>
    </w:pPr>
  </w:style>
  <w:style w:type="paragraph" w:styleId="BodyText">
    <w:name w:val="Body Text"/>
    <w:basedOn w:val="Normal"/>
    <w:link w:val="BodyTextChar"/>
    <w:rsid w:val="00F20350"/>
    <w:pPr>
      <w:spacing w:before="240" w:after="0" w:line="360" w:lineRule="auto"/>
    </w:pPr>
    <w:rPr>
      <w:rFonts w:ascii="Times New Roman" w:eastAsia="Times New Roman" w:hAnsi="Times New Roman" w:cs="Times New Roman"/>
      <w:sz w:val="24"/>
      <w:szCs w:val="20"/>
      <w:lang w:val="en-US" w:eastAsia="en-CA"/>
    </w:rPr>
  </w:style>
  <w:style w:type="character" w:customStyle="1" w:styleId="BodyTextChar">
    <w:name w:val="Body Text Char"/>
    <w:basedOn w:val="DefaultParagraphFont"/>
    <w:link w:val="BodyText"/>
    <w:rsid w:val="00F20350"/>
    <w:rPr>
      <w:rFonts w:ascii="Times New Roman" w:eastAsia="Times New Roman" w:hAnsi="Times New Roman" w:cs="Times New Roman"/>
      <w:sz w:val="24"/>
      <w:szCs w:val="20"/>
      <w:lang w:val="en-US" w:eastAsia="en-CA"/>
    </w:rPr>
  </w:style>
  <w:style w:type="paragraph" w:styleId="BalloonText">
    <w:name w:val="Balloon Text"/>
    <w:basedOn w:val="Normal"/>
    <w:link w:val="BalloonTextChar"/>
    <w:uiPriority w:val="99"/>
    <w:semiHidden/>
    <w:unhideWhenUsed/>
    <w:rsid w:val="004C02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232"/>
    <w:rPr>
      <w:rFonts w:ascii="Segoe UI" w:hAnsi="Segoe UI" w:cs="Segoe UI"/>
      <w:sz w:val="18"/>
      <w:szCs w:val="18"/>
    </w:rPr>
  </w:style>
  <w:style w:type="paragraph" w:styleId="NormalWeb">
    <w:name w:val="Normal (Web)"/>
    <w:basedOn w:val="Normal"/>
    <w:uiPriority w:val="99"/>
    <w:semiHidden/>
    <w:unhideWhenUsed/>
    <w:rsid w:val="00186252"/>
    <w:pPr>
      <w:spacing w:before="100" w:beforeAutospacing="1" w:after="100" w:afterAutospacing="1" w:line="240" w:lineRule="auto"/>
      <w:jc w:val="left"/>
    </w:pPr>
    <w:rPr>
      <w:rFonts w:ascii="Times New Roman" w:eastAsiaTheme="minorEastAsia" w:hAnsi="Times New Roman" w:cs="Times New Roman"/>
      <w:sz w:val="24"/>
      <w:szCs w:val="24"/>
      <w:lang w:eastAsia="en-CA"/>
    </w:rPr>
  </w:style>
  <w:style w:type="paragraph" w:styleId="Caption">
    <w:name w:val="caption"/>
    <w:basedOn w:val="Normal"/>
    <w:next w:val="Normal"/>
    <w:uiPriority w:val="35"/>
    <w:unhideWhenUsed/>
    <w:qFormat/>
    <w:rsid w:val="00186252"/>
    <w:pPr>
      <w:spacing w:after="200" w:line="240" w:lineRule="auto"/>
      <w:jc w:val="left"/>
    </w:pPr>
    <w:rPr>
      <w:i/>
      <w:iCs/>
      <w:color w:val="44546A" w:themeColor="text2"/>
      <w:sz w:val="18"/>
      <w:szCs w:val="18"/>
      <w:lang w:val="en-US"/>
    </w:rPr>
  </w:style>
  <w:style w:type="paragraph" w:styleId="TableofFigures">
    <w:name w:val="table of figures"/>
    <w:basedOn w:val="Normal"/>
    <w:next w:val="Normal"/>
    <w:uiPriority w:val="99"/>
    <w:unhideWhenUsed/>
    <w:rsid w:val="004721D6"/>
    <w:pPr>
      <w:spacing w:after="0"/>
      <w:ind w:left="440" w:hanging="440"/>
      <w:jc w:val="left"/>
    </w:pPr>
    <w:rPr>
      <w:rFonts w:cstheme="minorHAnsi"/>
      <w:caps/>
      <w:sz w:val="20"/>
      <w:szCs w:val="20"/>
    </w:rPr>
  </w:style>
  <w:style w:type="table" w:styleId="TableGrid">
    <w:name w:val="Table Grid"/>
    <w:basedOn w:val="TableNormal"/>
    <w:uiPriority w:val="39"/>
    <w:rsid w:val="004F79C7"/>
    <w:pPr>
      <w:spacing w:after="0"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link w:val="AppendixChar"/>
    <w:qFormat/>
    <w:rsid w:val="009E3D9A"/>
    <w:rPr>
      <w:rFonts w:ascii="Times New Roman" w:hAnsi="Times New Roman"/>
      <w:sz w:val="24"/>
    </w:rPr>
  </w:style>
  <w:style w:type="paragraph" w:customStyle="1" w:styleId="AppendixHeadings">
    <w:name w:val="Appendix Headings"/>
    <w:basedOn w:val="Normal"/>
    <w:link w:val="AppendixHeadingsChar"/>
    <w:qFormat/>
    <w:rsid w:val="009E3D9A"/>
    <w:pPr>
      <w:ind w:left="432"/>
      <w:jc w:val="left"/>
    </w:pPr>
    <w:rPr>
      <w:rFonts w:ascii="Times New Roman" w:hAnsi="Times New Roman"/>
      <w:sz w:val="24"/>
    </w:rPr>
  </w:style>
  <w:style w:type="character" w:customStyle="1" w:styleId="AppendixChar">
    <w:name w:val="Appendix Char"/>
    <w:basedOn w:val="Heading1Char"/>
    <w:link w:val="Appendix"/>
    <w:rsid w:val="009E3D9A"/>
    <w:rPr>
      <w:rFonts w:ascii="Times New Roman" w:eastAsiaTheme="majorEastAsia" w:hAnsi="Times New Roman" w:cstheme="majorBidi"/>
      <w:color w:val="2E74B5" w:themeColor="accent1" w:themeShade="BF"/>
      <w:sz w:val="24"/>
      <w:szCs w:val="32"/>
    </w:rPr>
  </w:style>
  <w:style w:type="character" w:customStyle="1" w:styleId="AppendixHeadingsChar">
    <w:name w:val="Appendix Headings Char"/>
    <w:basedOn w:val="DefaultParagraphFont"/>
    <w:link w:val="AppendixHeadings"/>
    <w:rsid w:val="009E3D9A"/>
    <w:rPr>
      <w:rFonts w:ascii="Times New Roman" w:hAnsi="Times New Roman"/>
      <w:sz w:val="24"/>
    </w:rPr>
  </w:style>
  <w:style w:type="character" w:styleId="CommentReference">
    <w:name w:val="annotation reference"/>
    <w:basedOn w:val="DefaultParagraphFont"/>
    <w:uiPriority w:val="99"/>
    <w:semiHidden/>
    <w:unhideWhenUsed/>
    <w:rsid w:val="008F080A"/>
    <w:rPr>
      <w:sz w:val="16"/>
      <w:szCs w:val="16"/>
    </w:rPr>
  </w:style>
  <w:style w:type="paragraph" w:styleId="CommentText">
    <w:name w:val="annotation text"/>
    <w:basedOn w:val="Normal"/>
    <w:link w:val="CommentTextChar"/>
    <w:uiPriority w:val="99"/>
    <w:semiHidden/>
    <w:unhideWhenUsed/>
    <w:rsid w:val="008F080A"/>
    <w:pPr>
      <w:spacing w:line="240" w:lineRule="auto"/>
    </w:pPr>
    <w:rPr>
      <w:sz w:val="20"/>
      <w:szCs w:val="20"/>
    </w:rPr>
  </w:style>
  <w:style w:type="character" w:customStyle="1" w:styleId="CommentTextChar">
    <w:name w:val="Comment Text Char"/>
    <w:basedOn w:val="DefaultParagraphFont"/>
    <w:link w:val="CommentText"/>
    <w:uiPriority w:val="99"/>
    <w:semiHidden/>
    <w:rsid w:val="008F080A"/>
    <w:rPr>
      <w:sz w:val="20"/>
      <w:szCs w:val="20"/>
    </w:rPr>
  </w:style>
  <w:style w:type="paragraph" w:styleId="CommentSubject">
    <w:name w:val="annotation subject"/>
    <w:basedOn w:val="CommentText"/>
    <w:next w:val="CommentText"/>
    <w:link w:val="CommentSubjectChar"/>
    <w:uiPriority w:val="99"/>
    <w:semiHidden/>
    <w:unhideWhenUsed/>
    <w:rsid w:val="008F080A"/>
    <w:rPr>
      <w:b/>
      <w:bCs/>
    </w:rPr>
  </w:style>
  <w:style w:type="character" w:customStyle="1" w:styleId="CommentSubjectChar">
    <w:name w:val="Comment Subject Char"/>
    <w:basedOn w:val="CommentTextChar"/>
    <w:link w:val="CommentSubject"/>
    <w:uiPriority w:val="99"/>
    <w:semiHidden/>
    <w:rsid w:val="008F080A"/>
    <w:rPr>
      <w:b/>
      <w:bCs/>
      <w:sz w:val="20"/>
      <w:szCs w:val="20"/>
    </w:rPr>
  </w:style>
  <w:style w:type="paragraph" w:styleId="Revision">
    <w:name w:val="Revision"/>
    <w:hidden/>
    <w:uiPriority w:val="99"/>
    <w:semiHidden/>
    <w:rsid w:val="00255C09"/>
    <w:pPr>
      <w:spacing w:after="0" w:line="240" w:lineRule="auto"/>
      <w:jc w:val="left"/>
    </w:pPr>
  </w:style>
  <w:style w:type="table" w:customStyle="1" w:styleId="PlainTable1">
    <w:name w:val="Plain Table 1"/>
    <w:basedOn w:val="TableNormal"/>
    <w:uiPriority w:val="41"/>
    <w:rsid w:val="009D2B1F"/>
    <w:pPr>
      <w:spacing w:after="0" w:line="240" w:lineRule="auto"/>
      <w:jc w:val="left"/>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BD1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05786">
      <w:bodyDiv w:val="1"/>
      <w:marLeft w:val="0"/>
      <w:marRight w:val="0"/>
      <w:marTop w:val="0"/>
      <w:marBottom w:val="0"/>
      <w:divBdr>
        <w:top w:val="none" w:sz="0" w:space="0" w:color="auto"/>
        <w:left w:val="none" w:sz="0" w:space="0" w:color="auto"/>
        <w:bottom w:val="none" w:sz="0" w:space="0" w:color="auto"/>
        <w:right w:val="none" w:sz="0" w:space="0" w:color="auto"/>
      </w:divBdr>
    </w:div>
    <w:div w:id="217667096">
      <w:bodyDiv w:val="1"/>
      <w:marLeft w:val="0"/>
      <w:marRight w:val="0"/>
      <w:marTop w:val="0"/>
      <w:marBottom w:val="0"/>
      <w:divBdr>
        <w:top w:val="none" w:sz="0" w:space="0" w:color="auto"/>
        <w:left w:val="none" w:sz="0" w:space="0" w:color="auto"/>
        <w:bottom w:val="none" w:sz="0" w:space="0" w:color="auto"/>
        <w:right w:val="none" w:sz="0" w:space="0" w:color="auto"/>
      </w:divBdr>
    </w:div>
    <w:div w:id="937568790">
      <w:bodyDiv w:val="1"/>
      <w:marLeft w:val="0"/>
      <w:marRight w:val="0"/>
      <w:marTop w:val="0"/>
      <w:marBottom w:val="0"/>
      <w:divBdr>
        <w:top w:val="none" w:sz="0" w:space="0" w:color="auto"/>
        <w:left w:val="none" w:sz="0" w:space="0" w:color="auto"/>
        <w:bottom w:val="none" w:sz="0" w:space="0" w:color="auto"/>
        <w:right w:val="none" w:sz="0" w:space="0" w:color="auto"/>
      </w:divBdr>
    </w:div>
    <w:div w:id="1537159439">
      <w:bodyDiv w:val="1"/>
      <w:marLeft w:val="0"/>
      <w:marRight w:val="0"/>
      <w:marTop w:val="0"/>
      <w:marBottom w:val="0"/>
      <w:divBdr>
        <w:top w:val="none" w:sz="0" w:space="0" w:color="auto"/>
        <w:left w:val="none" w:sz="0" w:space="0" w:color="auto"/>
        <w:bottom w:val="none" w:sz="0" w:space="0" w:color="auto"/>
        <w:right w:val="none" w:sz="0" w:space="0" w:color="auto"/>
      </w:divBdr>
      <w:divsChild>
        <w:div w:id="660306141">
          <w:marLeft w:val="0"/>
          <w:marRight w:val="0"/>
          <w:marTop w:val="0"/>
          <w:marBottom w:val="0"/>
          <w:divBdr>
            <w:top w:val="none" w:sz="0" w:space="0" w:color="auto"/>
            <w:left w:val="none" w:sz="0" w:space="0" w:color="auto"/>
            <w:bottom w:val="none" w:sz="0" w:space="0" w:color="auto"/>
            <w:right w:val="none" w:sz="0" w:space="0" w:color="auto"/>
          </w:divBdr>
          <w:divsChild>
            <w:div w:id="2108109852">
              <w:marLeft w:val="0"/>
              <w:marRight w:val="0"/>
              <w:marTop w:val="0"/>
              <w:marBottom w:val="0"/>
              <w:divBdr>
                <w:top w:val="none" w:sz="0" w:space="0" w:color="auto"/>
                <w:left w:val="none" w:sz="0" w:space="0" w:color="auto"/>
                <w:bottom w:val="none" w:sz="0" w:space="0" w:color="auto"/>
                <w:right w:val="none" w:sz="0" w:space="0" w:color="auto"/>
              </w:divBdr>
              <w:divsChild>
                <w:div w:id="94979707">
                  <w:marLeft w:val="0"/>
                  <w:marRight w:val="0"/>
                  <w:marTop w:val="0"/>
                  <w:marBottom w:val="0"/>
                  <w:divBdr>
                    <w:top w:val="none" w:sz="0" w:space="0" w:color="auto"/>
                    <w:left w:val="none" w:sz="0" w:space="0" w:color="auto"/>
                    <w:bottom w:val="none" w:sz="0" w:space="0" w:color="auto"/>
                    <w:right w:val="none" w:sz="0" w:space="0" w:color="auto"/>
                  </w:divBdr>
                  <w:divsChild>
                    <w:div w:id="153970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02047">
      <w:bodyDiv w:val="1"/>
      <w:marLeft w:val="0"/>
      <w:marRight w:val="0"/>
      <w:marTop w:val="0"/>
      <w:marBottom w:val="0"/>
      <w:divBdr>
        <w:top w:val="none" w:sz="0" w:space="0" w:color="auto"/>
        <w:left w:val="none" w:sz="0" w:space="0" w:color="auto"/>
        <w:bottom w:val="none" w:sz="0" w:space="0" w:color="auto"/>
        <w:right w:val="none" w:sz="0" w:space="0" w:color="auto"/>
      </w:divBdr>
    </w:div>
    <w:div w:id="199460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emf"/><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www.accessdata.fda.gov/scripts/cder/daf/" TargetMode="External"/><Relationship Id="rId14" Type="http://schemas.openxmlformats.org/officeDocument/2006/relationships/theme" Target="theme/theme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5CA81-168F-4040-AB99-D5D4D2E8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Kavisha</dc:creator>
  <cp:lastModifiedBy>MPABLEO</cp:lastModifiedBy>
  <cp:revision>8</cp:revision>
  <cp:lastPrinted>2018-12-29T17:46:00Z</cp:lastPrinted>
  <dcterms:created xsi:type="dcterms:W3CDTF">2018-12-28T16:14:00Z</dcterms:created>
  <dcterms:modified xsi:type="dcterms:W3CDTF">2018-12-29T18:07:00Z</dcterms:modified>
</cp:coreProperties>
</file>