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D7D2E" w14:textId="77777777" w:rsidR="00ED3696" w:rsidRDefault="00ED3696" w:rsidP="00AA73EF">
      <w:pPr>
        <w:spacing w:line="360" w:lineRule="auto"/>
        <w:rPr>
          <w:sz w:val="24"/>
          <w:szCs w:val="24"/>
        </w:rPr>
      </w:pPr>
      <w:r>
        <w:rPr>
          <w:sz w:val="24"/>
          <w:szCs w:val="24"/>
        </w:rPr>
        <w:t>Appendix</w:t>
      </w:r>
    </w:p>
    <w:p w14:paraId="62C66FBF" w14:textId="46280CCD" w:rsidR="004F75EC" w:rsidRDefault="004F75EC" w:rsidP="00AA73EF">
      <w:pPr>
        <w:spacing w:line="360" w:lineRule="auto"/>
        <w:rPr>
          <w:sz w:val="24"/>
          <w:szCs w:val="24"/>
        </w:rPr>
      </w:pPr>
      <w:r w:rsidRPr="00450C89">
        <w:rPr>
          <w:sz w:val="24"/>
          <w:szCs w:val="24"/>
        </w:rPr>
        <w:t xml:space="preserve">Reassurance was coded into affective and cognitive elements. The scheme was based on previous work by Holt and </w:t>
      </w:r>
      <w:proofErr w:type="spellStart"/>
      <w:r w:rsidRPr="00450C89">
        <w:rPr>
          <w:sz w:val="24"/>
          <w:szCs w:val="24"/>
        </w:rPr>
        <w:t>Pincus</w:t>
      </w:r>
      <w:proofErr w:type="spellEnd"/>
      <w:r w:rsidRPr="00450C89">
        <w:rPr>
          <w:sz w:val="24"/>
          <w:szCs w:val="24"/>
        </w:rPr>
        <w:t xml:space="preserve"> (2016). </w:t>
      </w:r>
      <w:r w:rsidR="003C1B4B">
        <w:rPr>
          <w:sz w:val="24"/>
          <w:szCs w:val="24"/>
        </w:rPr>
        <w:t xml:space="preserve">Only </w:t>
      </w:r>
      <w:r w:rsidRPr="00450C89">
        <w:rPr>
          <w:sz w:val="24"/>
          <w:szCs w:val="24"/>
        </w:rPr>
        <w:t>“explicit”</w:t>
      </w:r>
      <w:r>
        <w:rPr>
          <w:sz w:val="24"/>
          <w:szCs w:val="24"/>
        </w:rPr>
        <w:t>, verbal</w:t>
      </w:r>
      <w:r w:rsidRPr="00450C89">
        <w:rPr>
          <w:sz w:val="24"/>
          <w:szCs w:val="24"/>
        </w:rPr>
        <w:t xml:space="preserve"> forms of reassurance</w:t>
      </w:r>
      <w:r w:rsidR="003C1B4B">
        <w:rPr>
          <w:sz w:val="24"/>
          <w:szCs w:val="24"/>
        </w:rPr>
        <w:t xml:space="preserve"> were coded</w:t>
      </w:r>
      <w:r w:rsidRPr="00450C89">
        <w:rPr>
          <w:sz w:val="24"/>
          <w:szCs w:val="24"/>
        </w:rPr>
        <w:t xml:space="preserve">. </w:t>
      </w:r>
      <w:r w:rsidR="003C1B4B">
        <w:rPr>
          <w:sz w:val="24"/>
          <w:szCs w:val="24"/>
        </w:rPr>
        <w:t xml:space="preserve">It is acknowledged that non-verbal expressions of the face or postural movements, say with the hands, for example, can signal reassurance.  </w:t>
      </w:r>
    </w:p>
    <w:p w14:paraId="71B9E21A" w14:textId="5B711C25" w:rsidR="004F75EC" w:rsidRPr="00450C89" w:rsidRDefault="004F75EC" w:rsidP="004F75EC">
      <w:pPr>
        <w:spacing w:line="360" w:lineRule="auto"/>
        <w:rPr>
          <w:sz w:val="24"/>
          <w:szCs w:val="24"/>
        </w:rPr>
      </w:pPr>
      <w:r w:rsidRPr="00450C89">
        <w:rPr>
          <w:sz w:val="24"/>
          <w:szCs w:val="24"/>
        </w:rPr>
        <w:t xml:space="preserve">Reassurance was coded if it arose in response to a concern, question or emotional cue. Affective reassurance referred to expressing empathy, encouragement and generic, emotional reassurance. Cognitive reassurance referred to the provision of information, advice and explanations regarding any element of treatment, cancer, future care and prevention. </w:t>
      </w:r>
      <w:r>
        <w:rPr>
          <w:sz w:val="24"/>
          <w:szCs w:val="24"/>
        </w:rPr>
        <w:t xml:space="preserve">Full definitions and examples of these terms </w:t>
      </w:r>
      <w:r w:rsidR="00AA73EF">
        <w:rPr>
          <w:sz w:val="24"/>
          <w:szCs w:val="24"/>
        </w:rPr>
        <w:t>are presented</w:t>
      </w:r>
      <w:r w:rsidR="003C1B4B">
        <w:rPr>
          <w:sz w:val="24"/>
          <w:szCs w:val="24"/>
        </w:rPr>
        <w:t xml:space="preserve"> below</w:t>
      </w:r>
      <w:r>
        <w:rPr>
          <w:sz w:val="24"/>
          <w:szCs w:val="24"/>
        </w:rPr>
        <w:t>.</w:t>
      </w:r>
    </w:p>
    <w:p w14:paraId="0323F8FC" w14:textId="5EEFDD92" w:rsidR="004F75EC" w:rsidRPr="00450C89" w:rsidRDefault="004F75EC" w:rsidP="004F75EC">
      <w:pPr>
        <w:spacing w:line="360" w:lineRule="auto"/>
        <w:rPr>
          <w:sz w:val="24"/>
          <w:szCs w:val="24"/>
        </w:rPr>
      </w:pPr>
      <w:r>
        <w:rPr>
          <w:sz w:val="24"/>
          <w:szCs w:val="24"/>
        </w:rPr>
        <w:t>Coding was competed</w:t>
      </w:r>
      <w:r w:rsidRPr="00450C89">
        <w:rPr>
          <w:sz w:val="24"/>
          <w:szCs w:val="24"/>
        </w:rPr>
        <w:t xml:space="preserve"> using a turn style basis: </w:t>
      </w:r>
      <w:r>
        <w:rPr>
          <w:sz w:val="24"/>
          <w:szCs w:val="24"/>
        </w:rPr>
        <w:t xml:space="preserve">that is, </w:t>
      </w:r>
      <w:r w:rsidRPr="00450C89">
        <w:rPr>
          <w:sz w:val="24"/>
          <w:szCs w:val="24"/>
        </w:rPr>
        <w:t>one stream of speech was one “turn”. A new turn began when the speaker change</w:t>
      </w:r>
      <w:r>
        <w:rPr>
          <w:sz w:val="24"/>
          <w:szCs w:val="24"/>
        </w:rPr>
        <w:t>d, or when 5 seconds had elapsed</w:t>
      </w:r>
      <w:r w:rsidRPr="00450C89">
        <w:rPr>
          <w:sz w:val="24"/>
          <w:szCs w:val="24"/>
        </w:rPr>
        <w:t xml:space="preserve"> with no speech by anyone. </w:t>
      </w:r>
      <w:r>
        <w:rPr>
          <w:sz w:val="24"/>
          <w:szCs w:val="24"/>
        </w:rPr>
        <w:t>In this instance, the end time for the turn was following the last word spoken.</w:t>
      </w:r>
      <w:r w:rsidR="00ED3696" w:rsidRPr="00ED3696">
        <w:rPr>
          <w:sz w:val="24"/>
          <w:szCs w:val="24"/>
        </w:rPr>
        <w:t xml:space="preserve"> </w:t>
      </w:r>
      <w:r w:rsidR="00ED3696">
        <w:rPr>
          <w:sz w:val="24"/>
          <w:szCs w:val="24"/>
        </w:rPr>
        <w:t xml:space="preserve"> </w:t>
      </w:r>
      <w:r w:rsidR="00ED3696" w:rsidRPr="003C1B4B">
        <w:rPr>
          <w:sz w:val="24"/>
          <w:szCs w:val="24"/>
        </w:rPr>
        <w:t>Only one code</w:t>
      </w:r>
      <w:r w:rsidR="00ED3696">
        <w:rPr>
          <w:sz w:val="24"/>
          <w:szCs w:val="24"/>
        </w:rPr>
        <w:t xml:space="preserve"> was</w:t>
      </w:r>
      <w:r w:rsidR="00ED3696" w:rsidRPr="003C1B4B">
        <w:rPr>
          <w:sz w:val="24"/>
          <w:szCs w:val="24"/>
        </w:rPr>
        <w:t xml:space="preserve"> assigned per turn</w:t>
      </w:r>
      <w:r w:rsidR="00ED3696">
        <w:rPr>
          <w:sz w:val="24"/>
          <w:szCs w:val="24"/>
        </w:rPr>
        <w:t xml:space="preserve">.  </w:t>
      </w:r>
    </w:p>
    <w:p w14:paraId="161380A4" w14:textId="0EF6EFF8" w:rsidR="004F75EC" w:rsidRPr="003F5A4D" w:rsidRDefault="004F75EC" w:rsidP="003C1B4B">
      <w:pPr>
        <w:spacing w:line="360" w:lineRule="auto"/>
        <w:rPr>
          <w:sz w:val="24"/>
          <w:szCs w:val="24"/>
        </w:rPr>
      </w:pPr>
      <w:r w:rsidRPr="003F5A4D">
        <w:rPr>
          <w:sz w:val="24"/>
          <w:szCs w:val="24"/>
        </w:rPr>
        <w:t xml:space="preserve">Patient response was coded as positive or neutral, based on the interpretation by the </w:t>
      </w:r>
      <w:r w:rsidR="003C1B4B">
        <w:rPr>
          <w:sz w:val="24"/>
          <w:szCs w:val="24"/>
        </w:rPr>
        <w:t>coder (AB) under supervision of the principal investigator of the project sited in the regional cancer centre, namely GH</w:t>
      </w:r>
      <w:r w:rsidRPr="003F5A4D">
        <w:rPr>
          <w:sz w:val="24"/>
          <w:szCs w:val="24"/>
        </w:rPr>
        <w:t>. The patient was given up to 5 seconds to respon</w:t>
      </w:r>
      <w:r w:rsidR="003C1B4B">
        <w:rPr>
          <w:sz w:val="24"/>
          <w:szCs w:val="24"/>
        </w:rPr>
        <w:t>d to the reassuring statement.  I</w:t>
      </w:r>
      <w:r w:rsidRPr="003F5A4D">
        <w:rPr>
          <w:sz w:val="24"/>
          <w:szCs w:val="24"/>
        </w:rPr>
        <w:t xml:space="preserve">f there was no response within this time frame, the response was coded as neutral. A positive response was one that was irrefutably positive in nature, dependent on speech content and tone. </w:t>
      </w:r>
      <w:r w:rsidR="003C1B4B">
        <w:rPr>
          <w:sz w:val="24"/>
          <w:szCs w:val="24"/>
        </w:rPr>
        <w:t>R</w:t>
      </w:r>
      <w:r w:rsidRPr="003F5A4D">
        <w:rPr>
          <w:sz w:val="24"/>
          <w:szCs w:val="24"/>
        </w:rPr>
        <w:t>esponse</w:t>
      </w:r>
      <w:r w:rsidR="003C1B4B">
        <w:rPr>
          <w:sz w:val="24"/>
          <w:szCs w:val="24"/>
        </w:rPr>
        <w:t>s that were considered equivocal from detailed inspection by coder and supervisor were</w:t>
      </w:r>
      <w:r w:rsidRPr="003F5A4D">
        <w:rPr>
          <w:sz w:val="24"/>
          <w:szCs w:val="24"/>
        </w:rPr>
        <w:t xml:space="preserve"> coded as neutral.</w:t>
      </w:r>
      <w:r w:rsidR="003C1B4B">
        <w:rPr>
          <w:sz w:val="24"/>
          <w:szCs w:val="24"/>
        </w:rPr>
        <w:t xml:space="preserve">  </w:t>
      </w:r>
      <w:r w:rsidR="00ED3696">
        <w:rPr>
          <w:sz w:val="24"/>
          <w:szCs w:val="24"/>
        </w:rPr>
        <w:t xml:space="preserve">In addition, instances where patient questions or </w:t>
      </w:r>
      <w:r w:rsidR="00ED3696" w:rsidRPr="003C1B4B">
        <w:rPr>
          <w:sz w:val="24"/>
          <w:szCs w:val="24"/>
        </w:rPr>
        <w:t xml:space="preserve">patient silences were </w:t>
      </w:r>
      <w:r w:rsidR="00ED3696">
        <w:rPr>
          <w:sz w:val="24"/>
          <w:szCs w:val="24"/>
        </w:rPr>
        <w:t xml:space="preserve">responses to reassuring statement of radiographer were </w:t>
      </w:r>
      <w:r w:rsidR="00ED3696" w:rsidRPr="003C1B4B">
        <w:rPr>
          <w:sz w:val="24"/>
          <w:szCs w:val="24"/>
        </w:rPr>
        <w:t>coded as neutral responses when given following a reassuring statement</w:t>
      </w:r>
      <w:r w:rsidR="00ED3696">
        <w:rPr>
          <w:sz w:val="24"/>
          <w:szCs w:val="24"/>
        </w:rPr>
        <w:t xml:space="preserve">. </w:t>
      </w:r>
    </w:p>
    <w:p w14:paraId="106C2D66" w14:textId="77777777" w:rsidR="00ED3696" w:rsidRDefault="004F75EC" w:rsidP="00ED3696">
      <w:pPr>
        <w:spacing w:after="0" w:line="360" w:lineRule="auto"/>
        <w:rPr>
          <w:sz w:val="24"/>
          <w:szCs w:val="24"/>
        </w:rPr>
      </w:pPr>
      <w:r w:rsidRPr="00E7021B">
        <w:rPr>
          <w:sz w:val="24"/>
          <w:szCs w:val="24"/>
        </w:rPr>
        <w:t>Intra-</w:t>
      </w:r>
      <w:proofErr w:type="spellStart"/>
      <w:r w:rsidRPr="00E7021B">
        <w:rPr>
          <w:sz w:val="24"/>
          <w:szCs w:val="24"/>
        </w:rPr>
        <w:t>rater</w:t>
      </w:r>
      <w:proofErr w:type="spellEnd"/>
      <w:r w:rsidRPr="00E7021B">
        <w:rPr>
          <w:sz w:val="24"/>
          <w:szCs w:val="24"/>
        </w:rPr>
        <w:t xml:space="preserve"> reliability </w:t>
      </w:r>
      <w:r w:rsidR="00AA73EF">
        <w:rPr>
          <w:sz w:val="24"/>
          <w:szCs w:val="24"/>
        </w:rPr>
        <w:t>was checked using the Kappa statistic</w:t>
      </w:r>
      <w:r w:rsidRPr="00E7021B">
        <w:rPr>
          <w:sz w:val="24"/>
          <w:szCs w:val="24"/>
        </w:rPr>
        <w:t>. 10% of coded videos were recoded</w:t>
      </w:r>
      <w:r>
        <w:rPr>
          <w:sz w:val="24"/>
          <w:szCs w:val="24"/>
        </w:rPr>
        <w:t xml:space="preserve"> four weeks following initial coding</w:t>
      </w:r>
      <w:r w:rsidRPr="00E7021B">
        <w:rPr>
          <w:sz w:val="24"/>
          <w:szCs w:val="24"/>
        </w:rPr>
        <w:t xml:space="preserve">. The coding demonstrated high </w:t>
      </w:r>
      <w:r w:rsidR="00AA73EF">
        <w:rPr>
          <w:sz w:val="24"/>
          <w:szCs w:val="24"/>
        </w:rPr>
        <w:t>reliability (0.78).</w:t>
      </w:r>
    </w:p>
    <w:p w14:paraId="71BC49FD" w14:textId="77777777" w:rsidR="00ED3696" w:rsidRDefault="00ED3696" w:rsidP="00ED3696">
      <w:pPr>
        <w:spacing w:after="0" w:line="360" w:lineRule="auto"/>
        <w:rPr>
          <w:sz w:val="24"/>
          <w:szCs w:val="24"/>
        </w:rPr>
      </w:pPr>
    </w:p>
    <w:p w14:paraId="061F388B" w14:textId="77777777" w:rsidR="00AA73EF" w:rsidRDefault="00AA73EF" w:rsidP="00AA73EF">
      <w:pPr>
        <w:rPr>
          <w:sz w:val="24"/>
          <w:szCs w:val="24"/>
        </w:rPr>
      </w:pPr>
      <w:r>
        <w:rPr>
          <w:sz w:val="24"/>
          <w:szCs w:val="24"/>
        </w:rPr>
        <w:t xml:space="preserve">The following behaviours were taken from the cognitive and affective reassurance maps from Holt and </w:t>
      </w:r>
      <w:proofErr w:type="spellStart"/>
      <w:r>
        <w:rPr>
          <w:sz w:val="24"/>
          <w:szCs w:val="24"/>
        </w:rPr>
        <w:t>Pincus</w:t>
      </w:r>
      <w:proofErr w:type="spellEnd"/>
      <w:r>
        <w:rPr>
          <w:sz w:val="24"/>
          <w:szCs w:val="24"/>
        </w:rPr>
        <w:t xml:space="preserve"> (2016) to form the scheme:</w:t>
      </w:r>
    </w:p>
    <w:p w14:paraId="76C8D0C2" w14:textId="2B1E5E04" w:rsidR="00AA73EF" w:rsidRPr="00354611" w:rsidRDefault="00AA73EF" w:rsidP="00AA73EF">
      <w:pPr>
        <w:pStyle w:val="ListParagraph"/>
        <w:numPr>
          <w:ilvl w:val="0"/>
          <w:numId w:val="3"/>
        </w:numPr>
        <w:rPr>
          <w:sz w:val="24"/>
          <w:szCs w:val="24"/>
        </w:rPr>
      </w:pPr>
      <w:r w:rsidRPr="00354611">
        <w:rPr>
          <w:sz w:val="24"/>
          <w:szCs w:val="24"/>
        </w:rPr>
        <w:t>Information (</w:t>
      </w:r>
      <w:r w:rsidR="00ED3696">
        <w:rPr>
          <w:sz w:val="24"/>
          <w:szCs w:val="24"/>
        </w:rPr>
        <w:t xml:space="preserve">see </w:t>
      </w:r>
      <w:r w:rsidRPr="00354611">
        <w:rPr>
          <w:sz w:val="24"/>
          <w:szCs w:val="24"/>
        </w:rPr>
        <w:t xml:space="preserve">criteria in </w:t>
      </w:r>
      <w:r w:rsidR="00ED3696">
        <w:rPr>
          <w:sz w:val="24"/>
          <w:szCs w:val="24"/>
        </w:rPr>
        <w:t>coding table</w:t>
      </w:r>
      <w:r w:rsidRPr="00354611">
        <w:rPr>
          <w:sz w:val="24"/>
          <w:szCs w:val="24"/>
        </w:rPr>
        <w:t>)</w:t>
      </w:r>
    </w:p>
    <w:p w14:paraId="10FD9F63" w14:textId="5142DDDB" w:rsidR="00AA73EF" w:rsidRPr="00354611" w:rsidRDefault="00AA73EF" w:rsidP="00AA73EF">
      <w:pPr>
        <w:pStyle w:val="ListParagraph"/>
        <w:numPr>
          <w:ilvl w:val="0"/>
          <w:numId w:val="3"/>
        </w:numPr>
        <w:rPr>
          <w:sz w:val="24"/>
          <w:szCs w:val="24"/>
        </w:rPr>
      </w:pPr>
      <w:r w:rsidRPr="00354611">
        <w:rPr>
          <w:sz w:val="24"/>
          <w:szCs w:val="24"/>
        </w:rPr>
        <w:t>Generic reassurance (</w:t>
      </w:r>
      <w:r w:rsidR="00ED3696">
        <w:rPr>
          <w:sz w:val="24"/>
          <w:szCs w:val="24"/>
        </w:rPr>
        <w:t xml:space="preserve">see </w:t>
      </w:r>
      <w:r w:rsidR="00ED3696" w:rsidRPr="00354611">
        <w:rPr>
          <w:sz w:val="24"/>
          <w:szCs w:val="24"/>
        </w:rPr>
        <w:t xml:space="preserve">criteria in </w:t>
      </w:r>
      <w:r w:rsidR="00ED3696">
        <w:rPr>
          <w:sz w:val="24"/>
          <w:szCs w:val="24"/>
        </w:rPr>
        <w:t>coding table</w:t>
      </w:r>
      <w:r w:rsidRPr="00354611">
        <w:rPr>
          <w:sz w:val="24"/>
          <w:szCs w:val="24"/>
        </w:rPr>
        <w:t>)</w:t>
      </w:r>
    </w:p>
    <w:p w14:paraId="6CD844A5" w14:textId="77777777" w:rsidR="00AA73EF" w:rsidRPr="00354611" w:rsidRDefault="00AA73EF" w:rsidP="00AA73EF">
      <w:pPr>
        <w:pStyle w:val="ListParagraph"/>
        <w:numPr>
          <w:ilvl w:val="0"/>
          <w:numId w:val="3"/>
        </w:numPr>
        <w:rPr>
          <w:sz w:val="24"/>
          <w:szCs w:val="24"/>
        </w:rPr>
      </w:pPr>
      <w:r w:rsidRPr="00354611">
        <w:rPr>
          <w:sz w:val="24"/>
          <w:szCs w:val="24"/>
        </w:rPr>
        <w:lastRenderedPageBreak/>
        <w:t>Empathy/acknowledgement of concerns</w:t>
      </w:r>
    </w:p>
    <w:p w14:paraId="3FCE6A2C" w14:textId="77777777" w:rsidR="00AA73EF" w:rsidRPr="00354611" w:rsidRDefault="00AA73EF" w:rsidP="00AA73EF">
      <w:pPr>
        <w:pStyle w:val="ListParagraph"/>
        <w:numPr>
          <w:ilvl w:val="0"/>
          <w:numId w:val="3"/>
        </w:numPr>
        <w:rPr>
          <w:sz w:val="24"/>
          <w:szCs w:val="24"/>
        </w:rPr>
      </w:pPr>
      <w:r w:rsidRPr="00354611">
        <w:rPr>
          <w:sz w:val="24"/>
          <w:szCs w:val="24"/>
        </w:rPr>
        <w:t>Encouragement/Empowerment (combined to form one code)</w:t>
      </w:r>
    </w:p>
    <w:p w14:paraId="0D818383" w14:textId="5064773A" w:rsidR="00AA73EF" w:rsidRDefault="00AA73EF" w:rsidP="00AA73EF">
      <w:pPr>
        <w:rPr>
          <w:sz w:val="24"/>
          <w:szCs w:val="24"/>
        </w:rPr>
      </w:pPr>
      <w:r>
        <w:rPr>
          <w:sz w:val="24"/>
          <w:szCs w:val="24"/>
        </w:rPr>
        <w:t>Following a trial run of this scheme, 2 new codes were added</w:t>
      </w:r>
      <w:r w:rsidR="00ED3696">
        <w:rPr>
          <w:sz w:val="24"/>
          <w:szCs w:val="24"/>
        </w:rPr>
        <w:t xml:space="preserve"> (see </w:t>
      </w:r>
      <w:r w:rsidR="00ED3696" w:rsidRPr="00354611">
        <w:rPr>
          <w:sz w:val="24"/>
          <w:szCs w:val="24"/>
        </w:rPr>
        <w:t xml:space="preserve">criteria in </w:t>
      </w:r>
      <w:r w:rsidR="00ED3696">
        <w:rPr>
          <w:sz w:val="24"/>
          <w:szCs w:val="24"/>
        </w:rPr>
        <w:t>coding table)</w:t>
      </w:r>
      <w:r>
        <w:rPr>
          <w:sz w:val="24"/>
          <w:szCs w:val="24"/>
        </w:rPr>
        <w:t>:</w:t>
      </w:r>
    </w:p>
    <w:p w14:paraId="3C9EE77F" w14:textId="77777777" w:rsidR="00AA73EF" w:rsidRPr="008F0D71" w:rsidRDefault="00AA73EF" w:rsidP="00AA73EF">
      <w:pPr>
        <w:pStyle w:val="ListParagraph"/>
        <w:numPr>
          <w:ilvl w:val="0"/>
          <w:numId w:val="4"/>
        </w:numPr>
        <w:rPr>
          <w:sz w:val="24"/>
          <w:szCs w:val="24"/>
        </w:rPr>
      </w:pPr>
      <w:r w:rsidRPr="008F0D71">
        <w:rPr>
          <w:sz w:val="24"/>
          <w:szCs w:val="24"/>
        </w:rPr>
        <w:t>Further tests</w:t>
      </w:r>
    </w:p>
    <w:p w14:paraId="3723C1BD" w14:textId="77777777" w:rsidR="00AA73EF" w:rsidRDefault="00AA73EF" w:rsidP="00AA73EF">
      <w:pPr>
        <w:pStyle w:val="ListParagraph"/>
        <w:numPr>
          <w:ilvl w:val="0"/>
          <w:numId w:val="4"/>
        </w:numPr>
        <w:rPr>
          <w:sz w:val="24"/>
          <w:szCs w:val="24"/>
        </w:rPr>
      </w:pPr>
      <w:r w:rsidRPr="008F0D71">
        <w:rPr>
          <w:sz w:val="24"/>
          <w:szCs w:val="24"/>
        </w:rPr>
        <w:t>Advice giving</w:t>
      </w:r>
    </w:p>
    <w:p w14:paraId="3ED9C8C4" w14:textId="43F7D62D" w:rsidR="00EA3BBA" w:rsidRDefault="00AA73EF" w:rsidP="00C16979">
      <w:pPr>
        <w:rPr>
          <w:sz w:val="24"/>
          <w:szCs w:val="24"/>
        </w:rPr>
      </w:pPr>
      <w:r>
        <w:rPr>
          <w:sz w:val="24"/>
          <w:szCs w:val="24"/>
        </w:rPr>
        <w:t xml:space="preserve">Advice giving has previously been identified as a form of cognitive reassurance by </w:t>
      </w:r>
      <w:proofErr w:type="spellStart"/>
      <w:r>
        <w:rPr>
          <w:sz w:val="24"/>
          <w:szCs w:val="24"/>
        </w:rPr>
        <w:t>Pincus</w:t>
      </w:r>
      <w:proofErr w:type="spellEnd"/>
      <w:r>
        <w:rPr>
          <w:sz w:val="24"/>
          <w:szCs w:val="24"/>
        </w:rPr>
        <w:t xml:space="preserve"> et al (2013), and was deemed suitable for this population</w:t>
      </w:r>
      <w:r w:rsidR="00C16979">
        <w:rPr>
          <w:sz w:val="24"/>
          <w:szCs w:val="24"/>
        </w:rPr>
        <w:t>.</w:t>
      </w:r>
    </w:p>
    <w:p w14:paraId="5E071F09" w14:textId="10CA6037" w:rsidR="00C16979" w:rsidRPr="00EA3BBA" w:rsidRDefault="00C16979" w:rsidP="00C16979">
      <w:pPr>
        <w:rPr>
          <w:b/>
          <w:sz w:val="24"/>
          <w:szCs w:val="24"/>
        </w:rPr>
      </w:pPr>
      <w:r w:rsidRPr="00EA3BBA">
        <w:rPr>
          <w:b/>
          <w:sz w:val="24"/>
          <w:szCs w:val="24"/>
        </w:rPr>
        <w:t>Reassurance coding scheme with examples</w:t>
      </w:r>
    </w:p>
    <w:p w14:paraId="43316BBB" w14:textId="77777777" w:rsidR="00C16979" w:rsidRDefault="00C16979" w:rsidP="00C16979">
      <w:pPr>
        <w:pStyle w:val="NoSpacing"/>
      </w:pPr>
    </w:p>
    <w:p w14:paraId="59FEB029" w14:textId="77777777" w:rsidR="00C16979" w:rsidRDefault="00C16979" w:rsidP="00C16979">
      <w:pPr>
        <w:pStyle w:val="NoSpacing"/>
      </w:pPr>
      <w:r>
        <w:t>Style             Codes                                                                                Examples</w:t>
      </w:r>
    </w:p>
    <w:p w14:paraId="1AB8FCD3" w14:textId="77777777" w:rsidR="00C16979" w:rsidRDefault="00C16979" w:rsidP="00C16979">
      <w:pPr>
        <w:pStyle w:val="NoSpacing"/>
      </w:pPr>
      <w:r>
        <w:rPr>
          <w:noProof/>
          <w:lang w:eastAsia="en-GB"/>
        </w:rPr>
        <mc:AlternateContent>
          <mc:Choice Requires="wps">
            <w:drawing>
              <wp:anchor distT="4294967294" distB="4294967294" distL="114300" distR="114300" simplePos="0" relativeHeight="251659264" behindDoc="0" locked="0" layoutInCell="1" allowOverlap="1" wp14:anchorId="7ACEFAB1" wp14:editId="71744EFC">
                <wp:simplePos x="0" y="0"/>
                <wp:positionH relativeFrom="column">
                  <wp:posOffset>-9525</wp:posOffset>
                </wp:positionH>
                <wp:positionV relativeFrom="paragraph">
                  <wp:posOffset>17144</wp:posOffset>
                </wp:positionV>
                <wp:extent cx="58007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E74BE" id="_x0000_t32" coordsize="21600,21600" o:spt="32" o:oned="t" path="m,l21600,21600e" filled="f">
                <v:path arrowok="t" fillok="f" o:connecttype="none"/>
                <o:lock v:ext="edit" shapetype="t"/>
              </v:shapetype>
              <v:shape id="Straight Arrow Connector 6" o:spid="_x0000_s1026" type="#_x0000_t32" style="position:absolute;margin-left:-.75pt;margin-top:1.35pt;width:45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f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NlHD/M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"/>
            </w:pict>
          </mc:Fallback>
        </mc:AlternateContent>
      </w:r>
    </w:p>
    <w:p w14:paraId="45C7DBA8" w14:textId="1E9E0C11" w:rsidR="00C16979" w:rsidRDefault="00C16979" w:rsidP="00C16979">
      <w:pPr>
        <w:pStyle w:val="NoSpacing"/>
      </w:pPr>
      <w:r>
        <w:t xml:space="preserve">Affective    </w:t>
      </w:r>
      <w:r w:rsidR="00AB4703">
        <w:t xml:space="preserve"> </w:t>
      </w:r>
      <w:r>
        <w:t xml:space="preserve">Acknowledgment and Empathy                               </w:t>
      </w:r>
      <w:proofErr w:type="gramStart"/>
      <w:r>
        <w:t xml:space="preserve">   “</w:t>
      </w:r>
      <w:proofErr w:type="gramEnd"/>
      <w:r>
        <w:t>I can totally understand that”</w:t>
      </w:r>
    </w:p>
    <w:p w14:paraId="1F428DEE" w14:textId="2DDCDBAB" w:rsidR="00C16979" w:rsidRDefault="00C16979" w:rsidP="00C16979">
      <w:pPr>
        <w:pStyle w:val="NoSpacing"/>
      </w:pPr>
      <w:r>
        <w:t xml:space="preserve">                     </w:t>
      </w:r>
      <w:r>
        <w:rPr>
          <w:i/>
        </w:rPr>
        <w:t xml:space="preserve">Statements clearly indicating that the                     </w:t>
      </w:r>
      <w:proofErr w:type="gramStart"/>
      <w:r>
        <w:rPr>
          <w:i/>
        </w:rPr>
        <w:t xml:space="preserve">   </w:t>
      </w:r>
      <w:r>
        <w:t>“</w:t>
      </w:r>
      <w:proofErr w:type="gramEnd"/>
      <w:r>
        <w:t xml:space="preserve">you just want it done and dealt with </w:t>
      </w:r>
    </w:p>
    <w:p w14:paraId="574BAB64" w14:textId="77777777" w:rsidR="00C16979" w:rsidRDefault="00C16979" w:rsidP="00C16979">
      <w:pPr>
        <w:pStyle w:val="NoSpacing"/>
      </w:pPr>
      <w:r>
        <w:rPr>
          <w:i/>
        </w:rPr>
        <w:t xml:space="preserve">                     provider is aware and accepting of the                         </w:t>
      </w:r>
      <w:r>
        <w:t>as quickly as possible”</w:t>
      </w:r>
    </w:p>
    <w:p w14:paraId="0CFB038F" w14:textId="77777777" w:rsidR="00C16979" w:rsidRDefault="00C16979" w:rsidP="00C16979">
      <w:pPr>
        <w:pStyle w:val="NoSpacing"/>
      </w:pPr>
      <w:r>
        <w:rPr>
          <w:i/>
        </w:rPr>
        <w:t xml:space="preserve">                     concerns/issues of the </w:t>
      </w:r>
      <w:proofErr w:type="gramStart"/>
      <w:r>
        <w:rPr>
          <w:i/>
        </w:rPr>
        <w:t xml:space="preserve">patient;   </w:t>
      </w:r>
      <w:proofErr w:type="gramEnd"/>
      <w:r>
        <w:rPr>
          <w:i/>
        </w:rPr>
        <w:t xml:space="preserve">                                  </w:t>
      </w:r>
      <w:r>
        <w:t>“It’s a long road isn’t it, I know”</w:t>
      </w:r>
    </w:p>
    <w:p w14:paraId="14C42B77" w14:textId="77777777" w:rsidR="00C16979" w:rsidRDefault="00C16979" w:rsidP="00C16979">
      <w:pPr>
        <w:pStyle w:val="NoSpacing"/>
        <w:rPr>
          <w:i/>
        </w:rPr>
      </w:pPr>
      <w:r>
        <w:rPr>
          <w:i/>
        </w:rPr>
        <w:t xml:space="preserve">                     statements portraying empathy</w:t>
      </w:r>
    </w:p>
    <w:p w14:paraId="44C435A5" w14:textId="77777777" w:rsidR="00C16979" w:rsidRDefault="00C16979" w:rsidP="00C16979">
      <w:pPr>
        <w:pStyle w:val="NoSpacing"/>
        <w:rPr>
          <w:i/>
        </w:rPr>
      </w:pPr>
    </w:p>
    <w:p w14:paraId="364AC45F" w14:textId="77777777" w:rsidR="00C16979" w:rsidRDefault="00C16979" w:rsidP="00C16979">
      <w:pPr>
        <w:pStyle w:val="NoSpacing"/>
      </w:pPr>
      <w:r>
        <w:rPr>
          <w:i/>
        </w:rPr>
        <w:t xml:space="preserve">                      </w:t>
      </w:r>
      <w:r>
        <w:t xml:space="preserve">Generic Reassurance                                                   </w:t>
      </w:r>
      <w:proofErr w:type="gramStart"/>
      <w:r>
        <w:t xml:space="preserve">   “</w:t>
      </w:r>
      <w:proofErr w:type="gramEnd"/>
      <w:r>
        <w:t>but you’re nearly there”</w:t>
      </w:r>
    </w:p>
    <w:p w14:paraId="6D5C4AA6" w14:textId="77777777" w:rsidR="00C16979" w:rsidRDefault="00C16979" w:rsidP="00C16979">
      <w:pPr>
        <w:pStyle w:val="NoSpacing"/>
      </w:pPr>
      <w:r>
        <w:rPr>
          <w:i/>
        </w:rPr>
        <w:t xml:space="preserve">                      General</w:t>
      </w:r>
      <w:r>
        <w:t xml:space="preserve"> </w:t>
      </w:r>
      <w:r>
        <w:rPr>
          <w:i/>
        </w:rPr>
        <w:t xml:space="preserve">statements made to emotionally               </w:t>
      </w:r>
      <w:proofErr w:type="gramStart"/>
      <w:r>
        <w:rPr>
          <w:i/>
        </w:rPr>
        <w:t xml:space="preserve">   </w:t>
      </w:r>
      <w:r>
        <w:t>“</w:t>
      </w:r>
      <w:proofErr w:type="gramEnd"/>
      <w:r>
        <w:t>you managed pretty well last time</w:t>
      </w:r>
    </w:p>
    <w:p w14:paraId="08A8AFDB" w14:textId="77777777" w:rsidR="00C16979" w:rsidRDefault="00C16979" w:rsidP="00C16979">
      <w:pPr>
        <w:pStyle w:val="NoSpacing"/>
      </w:pPr>
      <w:r>
        <w:rPr>
          <w:i/>
        </w:rPr>
        <w:t xml:space="preserve">                      reassure (simple and </w:t>
      </w:r>
      <w:proofErr w:type="gramStart"/>
      <w:r>
        <w:rPr>
          <w:i/>
        </w:rPr>
        <w:t xml:space="preserve">complex)   </w:t>
      </w:r>
      <w:proofErr w:type="gramEnd"/>
      <w:r>
        <w:rPr>
          <w:i/>
        </w:rPr>
        <w:t xml:space="preserve">                                    </w:t>
      </w:r>
      <w:r>
        <w:t>around, we’ve got no reason to</w:t>
      </w:r>
    </w:p>
    <w:p w14:paraId="4A6F0740" w14:textId="77777777" w:rsidR="00C16979" w:rsidRDefault="00C16979" w:rsidP="00C16979">
      <w:pPr>
        <w:pStyle w:val="NoSpacing"/>
      </w:pPr>
      <w:r>
        <w:rPr>
          <w:i/>
        </w:rPr>
        <w:t xml:space="preserve">                                                                                                                   </w:t>
      </w:r>
      <w:r>
        <w:t>believe you won’t manage this time”</w:t>
      </w:r>
    </w:p>
    <w:p w14:paraId="2075FFEA" w14:textId="77777777" w:rsidR="00C16979" w:rsidRDefault="00C16979" w:rsidP="00C16979">
      <w:pPr>
        <w:pStyle w:val="NoSpacing"/>
        <w:rPr>
          <w:i/>
        </w:rPr>
      </w:pPr>
      <w:r>
        <w:rPr>
          <w:i/>
        </w:rPr>
        <w:t xml:space="preserve">                    </w:t>
      </w:r>
    </w:p>
    <w:p w14:paraId="69E7696E" w14:textId="77777777" w:rsidR="00C16979" w:rsidRDefault="00C16979" w:rsidP="00C16979">
      <w:pPr>
        <w:pStyle w:val="NoSpacing"/>
      </w:pPr>
      <w:r>
        <w:rPr>
          <w:i/>
        </w:rPr>
        <w:t xml:space="preserve">                     </w:t>
      </w:r>
      <w:r>
        <w:t xml:space="preserve">Encouragement/Empowerment                                </w:t>
      </w:r>
      <w:proofErr w:type="gramStart"/>
      <w:r>
        <w:t xml:space="preserve">   “</w:t>
      </w:r>
      <w:proofErr w:type="gramEnd"/>
      <w:r>
        <w:t xml:space="preserve">perfect. good. Well you’re doing </w:t>
      </w:r>
    </w:p>
    <w:p w14:paraId="6DC48E5B" w14:textId="77777777" w:rsidR="00C16979" w:rsidRDefault="00C16979" w:rsidP="00C16979">
      <w:pPr>
        <w:pStyle w:val="NoSpacing"/>
      </w:pPr>
      <w:r>
        <w:t xml:space="preserve">                      </w:t>
      </w:r>
      <w:r>
        <w:rPr>
          <w:i/>
        </w:rPr>
        <w:t xml:space="preserve">Encouraging patient actions and                                   </w:t>
      </w:r>
      <w:r>
        <w:t>everything right”</w:t>
      </w:r>
    </w:p>
    <w:p w14:paraId="28961A64" w14:textId="77777777" w:rsidR="00C16979" w:rsidRDefault="00C16979" w:rsidP="00C16979">
      <w:pPr>
        <w:pStyle w:val="NoSpacing"/>
        <w:rPr>
          <w:i/>
        </w:rPr>
      </w:pPr>
      <w:r>
        <w:rPr>
          <w:i/>
        </w:rPr>
        <w:t xml:space="preserve">                      provide patient with a sense of control                    </w:t>
      </w:r>
      <w:proofErr w:type="gramStart"/>
      <w:r>
        <w:rPr>
          <w:i/>
        </w:rPr>
        <w:t xml:space="preserve">   </w:t>
      </w:r>
      <w:r>
        <w:t>“</w:t>
      </w:r>
      <w:proofErr w:type="gramEnd"/>
      <w:r>
        <w:t>well you know better than anyone</w:t>
      </w:r>
    </w:p>
    <w:p w14:paraId="217F465F" w14:textId="77777777" w:rsidR="00C16979" w:rsidRDefault="00C16979" w:rsidP="00C16979">
      <w:pPr>
        <w:pStyle w:val="NoSpacing"/>
      </w:pPr>
      <w:r>
        <w:rPr>
          <w:i/>
        </w:rPr>
        <w:t xml:space="preserve">                                                                                                                   </w:t>
      </w:r>
      <w:r>
        <w:t>else what you feel up to doing”</w:t>
      </w:r>
    </w:p>
    <w:p w14:paraId="2ABB6E66" w14:textId="77777777" w:rsidR="00C16979" w:rsidRDefault="00C16979" w:rsidP="00C16979">
      <w:pPr>
        <w:pStyle w:val="NoSpacing"/>
        <w:rPr>
          <w:i/>
        </w:rPr>
      </w:pPr>
      <w:r>
        <w:rPr>
          <w:i/>
        </w:rPr>
        <w:t xml:space="preserve">                     </w:t>
      </w:r>
    </w:p>
    <w:p w14:paraId="73870842" w14:textId="77777777" w:rsidR="00C16979" w:rsidRDefault="00C16979" w:rsidP="00C16979">
      <w:pPr>
        <w:pStyle w:val="NoSpacing"/>
      </w:pPr>
      <w:r>
        <w:rPr>
          <w:i/>
        </w:rPr>
        <w:t xml:space="preserve">                       </w:t>
      </w:r>
      <w:r>
        <w:t xml:space="preserve">Uncertainty is not an issue                                       </w:t>
      </w:r>
      <w:proofErr w:type="gramStart"/>
      <w:r>
        <w:t xml:space="preserve">   “</w:t>
      </w:r>
      <w:proofErr w:type="gramEnd"/>
      <w:r>
        <w:t xml:space="preserve">I don’t know the stats on that myself </w:t>
      </w:r>
    </w:p>
    <w:p w14:paraId="1E54B793" w14:textId="77777777" w:rsidR="00C16979" w:rsidRDefault="00C16979" w:rsidP="00C16979">
      <w:pPr>
        <w:pStyle w:val="NoSpacing"/>
      </w:pPr>
      <w:r>
        <w:t xml:space="preserve">                       </w:t>
      </w:r>
      <w:r>
        <w:rPr>
          <w:i/>
        </w:rPr>
        <w:t xml:space="preserve">Statements that acknowledge uncertainty                 </w:t>
      </w:r>
      <w:r>
        <w:t>...but they always drum into us...</w:t>
      </w:r>
    </w:p>
    <w:p w14:paraId="331355F3" w14:textId="77777777" w:rsidR="00C16979" w:rsidRDefault="00C16979" w:rsidP="00C16979">
      <w:pPr>
        <w:pStyle w:val="NoSpacing"/>
      </w:pPr>
      <w:r>
        <w:rPr>
          <w:i/>
        </w:rPr>
        <w:t xml:space="preserve">                      But detract from its negativity                                       </w:t>
      </w:r>
      <w:r>
        <w:t>so it’s got to have some effect”</w:t>
      </w:r>
    </w:p>
    <w:p w14:paraId="07D51310" w14:textId="77777777" w:rsidR="00C16979" w:rsidRDefault="00C16979" w:rsidP="00C16979">
      <w:pPr>
        <w:pStyle w:val="NoSpacing"/>
        <w:rPr>
          <w:i/>
        </w:rPr>
      </w:pPr>
      <w:r>
        <w:rPr>
          <w:noProof/>
          <w:lang w:eastAsia="en-GB"/>
        </w:rPr>
        <mc:AlternateContent>
          <mc:Choice Requires="wps">
            <w:drawing>
              <wp:anchor distT="0" distB="0" distL="114300" distR="114300" simplePos="0" relativeHeight="251660288" behindDoc="0" locked="0" layoutInCell="1" allowOverlap="1" wp14:anchorId="16070EF6" wp14:editId="27D5BF1F">
                <wp:simplePos x="0" y="0"/>
                <wp:positionH relativeFrom="column">
                  <wp:posOffset>-9525</wp:posOffset>
                </wp:positionH>
                <wp:positionV relativeFrom="paragraph">
                  <wp:posOffset>26035</wp:posOffset>
                </wp:positionV>
                <wp:extent cx="5800725" cy="635"/>
                <wp:effectExtent l="0" t="0" r="2857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ABEFC" id="Straight Arrow Connector 4" o:spid="_x0000_s1026" type="#_x0000_t32" style="position:absolute;margin-left:-.75pt;margin-top:2.05pt;width:45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M3JgIAAEw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"/>
            </w:pict>
          </mc:Fallback>
        </mc:AlternateContent>
      </w:r>
    </w:p>
    <w:p w14:paraId="144900BE" w14:textId="77777777" w:rsidR="00C16979" w:rsidRDefault="00C16979" w:rsidP="00C16979">
      <w:pPr>
        <w:pStyle w:val="NoSpacing"/>
      </w:pPr>
      <w:r>
        <w:t xml:space="preserve">Cognitive      Information/Explanations                                           </w:t>
      </w:r>
      <w:proofErr w:type="gramStart"/>
      <w:r>
        <w:t xml:space="preserve">   “</w:t>
      </w:r>
      <w:proofErr w:type="gramEnd"/>
      <w:r>
        <w:t>that’s just because they’ve taken</w:t>
      </w:r>
    </w:p>
    <w:p w14:paraId="4FAE27C7" w14:textId="77777777" w:rsidR="00C16979" w:rsidRDefault="00C16979" w:rsidP="00C16979">
      <w:pPr>
        <w:pStyle w:val="NoSpacing"/>
      </w:pPr>
      <w:r>
        <w:t xml:space="preserve">                       </w:t>
      </w:r>
      <w:r>
        <w:rPr>
          <w:i/>
        </w:rPr>
        <w:t xml:space="preserve">Provision of information or explanations                      </w:t>
      </w:r>
      <w:r>
        <w:t>some tissue from the breast”</w:t>
      </w:r>
    </w:p>
    <w:p w14:paraId="6738E451" w14:textId="30419CDA" w:rsidR="00C16979" w:rsidRDefault="00C16979" w:rsidP="00C16979">
      <w:pPr>
        <w:pStyle w:val="NoSpacing"/>
      </w:pPr>
      <w:r>
        <w:rPr>
          <w:i/>
        </w:rPr>
        <w:t xml:space="preserve">                      </w:t>
      </w:r>
      <w:r w:rsidR="00AB4703">
        <w:rPr>
          <w:i/>
        </w:rPr>
        <w:t xml:space="preserve"> </w:t>
      </w:r>
      <w:r>
        <w:rPr>
          <w:i/>
        </w:rPr>
        <w:t xml:space="preserve">Regarding any element of the treatment                  </w:t>
      </w:r>
      <w:proofErr w:type="gramStart"/>
      <w:r>
        <w:rPr>
          <w:i/>
        </w:rPr>
        <w:t xml:space="preserve">   </w:t>
      </w:r>
      <w:r>
        <w:t>“</w:t>
      </w:r>
      <w:proofErr w:type="gramEnd"/>
      <w:r>
        <w:t>you’ always get these twinges and</w:t>
      </w:r>
    </w:p>
    <w:p w14:paraId="0C9BEE44" w14:textId="77777777" w:rsidR="00C16979" w:rsidRDefault="00C16979" w:rsidP="00C16979">
      <w:pPr>
        <w:pStyle w:val="NoSpacing"/>
      </w:pPr>
      <w:r>
        <w:t xml:space="preserve">                </w:t>
      </w:r>
      <w:r>
        <w:rPr>
          <w:i/>
        </w:rPr>
        <w:t xml:space="preserve">       or cancer                                                                            </w:t>
      </w:r>
      <w:r>
        <w:t>aches and pains after any operation,</w:t>
      </w:r>
    </w:p>
    <w:p w14:paraId="55105D53" w14:textId="77777777" w:rsidR="00C16979" w:rsidRDefault="00C16979" w:rsidP="00C16979">
      <w:pPr>
        <w:pStyle w:val="NoSpacing"/>
      </w:pPr>
      <w:r>
        <w:t xml:space="preserve">                                                                                                                    and they can last up to two years”</w:t>
      </w:r>
    </w:p>
    <w:p w14:paraId="6FD922F3" w14:textId="77777777" w:rsidR="00C16979" w:rsidRDefault="00C16979" w:rsidP="00C16979">
      <w:pPr>
        <w:pStyle w:val="NoSpacing"/>
        <w:rPr>
          <w:i/>
        </w:rPr>
      </w:pPr>
      <w:r>
        <w:rPr>
          <w:i/>
        </w:rPr>
        <w:t xml:space="preserve">                    </w:t>
      </w:r>
    </w:p>
    <w:p w14:paraId="781EB065" w14:textId="77777777" w:rsidR="00C16979" w:rsidRDefault="00C16979" w:rsidP="00C16979">
      <w:pPr>
        <w:pStyle w:val="NoSpacing"/>
      </w:pPr>
      <w:r>
        <w:rPr>
          <w:i/>
        </w:rPr>
        <w:t xml:space="preserve">                       </w:t>
      </w:r>
      <w:r>
        <w:t xml:space="preserve">Advice                                                                            </w:t>
      </w:r>
      <w:proofErr w:type="gramStart"/>
      <w:r>
        <w:t xml:space="preserve">   “</w:t>
      </w:r>
      <w:proofErr w:type="gramEnd"/>
      <w:r>
        <w:t xml:space="preserve">if you really wanted to go (swim) </w:t>
      </w:r>
    </w:p>
    <w:p w14:paraId="4C621717" w14:textId="77777777" w:rsidR="00C16979" w:rsidRDefault="00C16979" w:rsidP="00C16979">
      <w:pPr>
        <w:pStyle w:val="NoSpacing"/>
      </w:pPr>
      <w:r>
        <w:t xml:space="preserve">                       </w:t>
      </w:r>
      <w:r>
        <w:rPr>
          <w:i/>
        </w:rPr>
        <w:t xml:space="preserve">Suggestions given regarding behaviour                     </w:t>
      </w:r>
      <w:r>
        <w:t xml:space="preserve"> …maybe say keep it to once a week”</w:t>
      </w:r>
    </w:p>
    <w:p w14:paraId="6A1CA5B2" w14:textId="77777777" w:rsidR="00C16979" w:rsidRDefault="00C16979" w:rsidP="00C16979">
      <w:pPr>
        <w:pStyle w:val="NoSpacing"/>
        <w:rPr>
          <w:i/>
        </w:rPr>
      </w:pPr>
      <w:r>
        <w:rPr>
          <w:i/>
        </w:rPr>
        <w:t xml:space="preserve">                </w:t>
      </w:r>
    </w:p>
    <w:p w14:paraId="680D7D6C" w14:textId="77777777" w:rsidR="00C16979" w:rsidRDefault="00C16979" w:rsidP="00C16979">
      <w:pPr>
        <w:pStyle w:val="NoSpacing"/>
      </w:pPr>
      <w:r>
        <w:t xml:space="preserve">                        Further tests                                                                 </w:t>
      </w:r>
      <w:proofErr w:type="gramStart"/>
      <w:r>
        <w:t xml:space="preserve">   “</w:t>
      </w:r>
      <w:proofErr w:type="gramEnd"/>
      <w:r>
        <w:t xml:space="preserve">I think it’s worthwhile getting you </w:t>
      </w:r>
    </w:p>
    <w:p w14:paraId="68917751" w14:textId="77777777" w:rsidR="00C16979" w:rsidRDefault="00C16979" w:rsidP="00C16979">
      <w:pPr>
        <w:pStyle w:val="NoSpacing"/>
      </w:pPr>
      <w:r>
        <w:t xml:space="preserve">                        </w:t>
      </w:r>
      <w:r>
        <w:rPr>
          <w:i/>
        </w:rPr>
        <w:t xml:space="preserve">Providing negative results/organising                        </w:t>
      </w:r>
      <w:r>
        <w:t xml:space="preserve">  seen by one of the doctors, just</w:t>
      </w:r>
    </w:p>
    <w:p w14:paraId="2F9B4B86" w14:textId="77777777" w:rsidR="00C16979" w:rsidRDefault="00C16979" w:rsidP="00C16979">
      <w:pPr>
        <w:pStyle w:val="NoSpacing"/>
      </w:pPr>
      <w:r>
        <w:rPr>
          <w:i/>
        </w:rPr>
        <w:t xml:space="preserve">                        follow up tests                                                                  </w:t>
      </w:r>
      <w:r>
        <w:rPr>
          <w:iCs/>
        </w:rPr>
        <w:t>to sound your chest”</w:t>
      </w:r>
    </w:p>
    <w:p w14:paraId="73AD1923" w14:textId="77777777" w:rsidR="00C16979" w:rsidRDefault="00C16979" w:rsidP="00C16979">
      <w:pPr>
        <w:spacing w:line="360" w:lineRule="auto"/>
        <w:rPr>
          <w:sz w:val="24"/>
          <w:szCs w:val="24"/>
        </w:rPr>
      </w:pPr>
      <w:r>
        <w:rPr>
          <w:noProof/>
          <w:lang w:eastAsia="en-GB"/>
        </w:rPr>
        <mc:AlternateContent>
          <mc:Choice Requires="wps">
            <w:drawing>
              <wp:anchor distT="4294967294" distB="4294967294" distL="114300" distR="114300" simplePos="0" relativeHeight="251661312" behindDoc="0" locked="0" layoutInCell="1" allowOverlap="1" wp14:anchorId="4E11D43D" wp14:editId="1D08090B">
                <wp:simplePos x="0" y="0"/>
                <wp:positionH relativeFrom="column">
                  <wp:posOffset>-9525</wp:posOffset>
                </wp:positionH>
                <wp:positionV relativeFrom="paragraph">
                  <wp:posOffset>77469</wp:posOffset>
                </wp:positionV>
                <wp:extent cx="58007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88D88" id="Straight Arrow Connector 3" o:spid="_x0000_s1026" type="#_x0000_t32" style="position:absolute;margin-left:-.75pt;margin-top:6.1pt;width:456.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"/>
            </w:pict>
          </mc:Fallback>
        </mc:AlternateContent>
      </w:r>
    </w:p>
    <w:p w14:paraId="42890390" w14:textId="1D5C840E" w:rsidR="00AA73EF" w:rsidRPr="00447342" w:rsidRDefault="00AA73EF" w:rsidP="00AA73EF">
      <w:pPr>
        <w:autoSpaceDE w:val="0"/>
        <w:autoSpaceDN w:val="0"/>
        <w:adjustRightInd w:val="0"/>
        <w:spacing w:after="0" w:line="360" w:lineRule="auto"/>
        <w:ind w:left="720" w:hanging="720"/>
        <w:rPr>
          <w:rFonts w:eastAsiaTheme="minorEastAsia" w:cstheme="minorHAnsi"/>
          <w:sz w:val="24"/>
          <w:szCs w:val="24"/>
          <w:lang w:eastAsia="zh-CN"/>
        </w:rPr>
      </w:pPr>
      <w:r w:rsidRPr="00447342">
        <w:rPr>
          <w:rFonts w:eastAsiaTheme="minorEastAsia" w:cstheme="minorHAnsi"/>
          <w:sz w:val="24"/>
          <w:szCs w:val="24"/>
          <w:lang w:eastAsia="zh-CN"/>
        </w:rPr>
        <w:lastRenderedPageBreak/>
        <w:t xml:space="preserve">Holt, N. &amp; </w:t>
      </w:r>
      <w:proofErr w:type="spellStart"/>
      <w:r w:rsidRPr="00447342">
        <w:rPr>
          <w:rFonts w:eastAsiaTheme="minorEastAsia" w:cstheme="minorHAnsi"/>
          <w:sz w:val="24"/>
          <w:szCs w:val="24"/>
          <w:lang w:eastAsia="zh-CN"/>
        </w:rPr>
        <w:t>Pincus</w:t>
      </w:r>
      <w:proofErr w:type="spellEnd"/>
      <w:r w:rsidRPr="00447342">
        <w:rPr>
          <w:rFonts w:eastAsiaTheme="minorEastAsia" w:cstheme="minorHAnsi"/>
          <w:sz w:val="24"/>
          <w:szCs w:val="24"/>
          <w:lang w:eastAsia="zh-CN"/>
        </w:rPr>
        <w:t xml:space="preserve">, T. (2016). Developing and testing a measure of consultation-based reassurance for people with low back pain in primary care: a cross-sectional study. </w:t>
      </w:r>
      <w:r w:rsidRPr="00447342">
        <w:rPr>
          <w:rFonts w:eastAsiaTheme="minorEastAsia" w:cstheme="minorHAnsi"/>
          <w:i/>
          <w:iCs/>
          <w:sz w:val="24"/>
          <w:szCs w:val="24"/>
          <w:lang w:eastAsia="zh-CN"/>
        </w:rPr>
        <w:t>BMC Musculoskeletal Disorders, 17</w:t>
      </w:r>
      <w:r w:rsidRPr="00447342">
        <w:rPr>
          <w:rFonts w:eastAsiaTheme="minorEastAsia" w:cstheme="minorHAnsi"/>
          <w:sz w:val="24"/>
          <w:szCs w:val="24"/>
          <w:lang w:eastAsia="zh-CN"/>
        </w:rPr>
        <w:t xml:space="preserve">(277). doi:10.1186/s12891-016-1144-2 </w:t>
      </w:r>
    </w:p>
    <w:p w14:paraId="1D5A8E25" w14:textId="0FEFFA9A" w:rsidR="00AA73EF" w:rsidRDefault="00AA73EF" w:rsidP="00AA73EF">
      <w:pPr>
        <w:autoSpaceDE w:val="0"/>
        <w:autoSpaceDN w:val="0"/>
        <w:adjustRightInd w:val="0"/>
        <w:spacing w:after="0" w:line="360" w:lineRule="auto"/>
        <w:ind w:left="720" w:hanging="720"/>
        <w:rPr>
          <w:rStyle w:val="Hyperlink"/>
          <w:sz w:val="24"/>
          <w:szCs w:val="24"/>
        </w:rPr>
      </w:pPr>
      <w:proofErr w:type="spellStart"/>
      <w:r w:rsidRPr="00447342">
        <w:rPr>
          <w:rFonts w:eastAsiaTheme="minorEastAsia" w:cstheme="minorHAnsi"/>
          <w:sz w:val="24"/>
          <w:szCs w:val="24"/>
          <w:lang w:eastAsia="zh-CN"/>
        </w:rPr>
        <w:t>Pincus</w:t>
      </w:r>
      <w:proofErr w:type="spellEnd"/>
      <w:r w:rsidRPr="00447342">
        <w:rPr>
          <w:rFonts w:eastAsiaTheme="minorEastAsia" w:cstheme="minorHAnsi"/>
          <w:sz w:val="24"/>
          <w:szCs w:val="24"/>
          <w:lang w:eastAsia="zh-CN"/>
        </w:rPr>
        <w:t>, T., Holt, N., Vogel, S., Underwood, M., Savage, R., Walsh</w:t>
      </w:r>
      <w:bookmarkStart w:id="0" w:name="_GoBack"/>
      <w:bookmarkEnd w:id="0"/>
      <w:r w:rsidRPr="00447342">
        <w:rPr>
          <w:rFonts w:eastAsiaTheme="minorEastAsia" w:cstheme="minorHAnsi"/>
          <w:sz w:val="24"/>
          <w:szCs w:val="24"/>
          <w:lang w:eastAsia="zh-CN"/>
        </w:rPr>
        <w:t xml:space="preserve">, D.A. &amp; Taylor, S.J.C. (2013). Cognitive and affective reassurance and patient outcomes in primary care: A systematic review. </w:t>
      </w:r>
      <w:r w:rsidRPr="00447342">
        <w:rPr>
          <w:rFonts w:eastAsiaTheme="minorEastAsia" w:cstheme="minorHAnsi"/>
          <w:i/>
          <w:iCs/>
          <w:sz w:val="24"/>
          <w:szCs w:val="24"/>
          <w:lang w:eastAsia="zh-CN"/>
        </w:rPr>
        <w:t>Pain, 154</w:t>
      </w:r>
      <w:r w:rsidRPr="00447342">
        <w:rPr>
          <w:rFonts w:eastAsiaTheme="minorEastAsia" w:cstheme="minorHAnsi"/>
          <w:sz w:val="24"/>
          <w:szCs w:val="24"/>
          <w:lang w:eastAsia="zh-CN"/>
        </w:rPr>
        <w:t>(11), 2407-2416. doi:</w:t>
      </w:r>
      <w:hyperlink r:id="rId5" w:tgtFrame="_blank" w:tooltip="Persistent link using digital object identifier" w:history="1">
        <w:r w:rsidRPr="00155C2F">
          <w:rPr>
            <w:rFonts w:eastAsiaTheme="minorEastAsia" w:cstheme="minorHAnsi"/>
            <w:lang w:eastAsia="zh-CN"/>
          </w:rPr>
          <w:t>10.1016/j.pain.2013.07.019</w:t>
        </w:r>
      </w:hyperlink>
    </w:p>
    <w:p w14:paraId="046DB0BA" w14:textId="7F218DAF" w:rsidR="00C16979" w:rsidRDefault="00C16979" w:rsidP="00AA73EF">
      <w:pPr>
        <w:autoSpaceDE w:val="0"/>
        <w:autoSpaceDN w:val="0"/>
        <w:adjustRightInd w:val="0"/>
        <w:spacing w:after="0" w:line="360" w:lineRule="auto"/>
        <w:ind w:left="720" w:hanging="720"/>
        <w:rPr>
          <w:rStyle w:val="Hyperlink"/>
          <w:sz w:val="24"/>
          <w:szCs w:val="24"/>
        </w:rPr>
      </w:pPr>
    </w:p>
    <w:p w14:paraId="454562AB" w14:textId="11E709C6" w:rsidR="00C16979" w:rsidRDefault="00C16979" w:rsidP="00AA73EF">
      <w:pPr>
        <w:autoSpaceDE w:val="0"/>
        <w:autoSpaceDN w:val="0"/>
        <w:adjustRightInd w:val="0"/>
        <w:spacing w:after="0" w:line="360" w:lineRule="auto"/>
        <w:ind w:left="720" w:hanging="720"/>
        <w:rPr>
          <w:rStyle w:val="Hyperlink"/>
          <w:sz w:val="24"/>
          <w:szCs w:val="24"/>
        </w:rPr>
      </w:pPr>
    </w:p>
    <w:p w14:paraId="2750FE0E" w14:textId="77777777" w:rsidR="00C16979" w:rsidRDefault="00C16979" w:rsidP="00C16979">
      <w:pPr>
        <w:rPr>
          <w:sz w:val="24"/>
          <w:szCs w:val="24"/>
        </w:rPr>
      </w:pPr>
    </w:p>
    <w:p w14:paraId="4FC23AA5" w14:textId="77777777" w:rsidR="00C16979" w:rsidRDefault="00C16979" w:rsidP="00C16979">
      <w:pPr>
        <w:rPr>
          <w:sz w:val="24"/>
          <w:szCs w:val="24"/>
        </w:rPr>
      </w:pPr>
    </w:p>
    <w:p w14:paraId="5778C9DE" w14:textId="77777777" w:rsidR="00C16979" w:rsidRDefault="00C16979" w:rsidP="00C16979">
      <w:pPr>
        <w:rPr>
          <w:sz w:val="24"/>
          <w:szCs w:val="24"/>
        </w:rPr>
      </w:pPr>
    </w:p>
    <w:p w14:paraId="275B03E2" w14:textId="77777777" w:rsidR="00C16979" w:rsidRDefault="00C16979" w:rsidP="00C16979">
      <w:pPr>
        <w:rPr>
          <w:sz w:val="24"/>
          <w:szCs w:val="24"/>
        </w:rPr>
      </w:pPr>
    </w:p>
    <w:p w14:paraId="3AA19788" w14:textId="77777777" w:rsidR="00C16979" w:rsidRDefault="00C16979" w:rsidP="00C16979">
      <w:pPr>
        <w:rPr>
          <w:sz w:val="24"/>
          <w:szCs w:val="24"/>
        </w:rPr>
      </w:pPr>
    </w:p>
    <w:p w14:paraId="61FAAF6E" w14:textId="77777777" w:rsidR="00C16979" w:rsidRDefault="00C16979" w:rsidP="00C16979">
      <w:pPr>
        <w:rPr>
          <w:sz w:val="24"/>
          <w:szCs w:val="24"/>
        </w:rPr>
      </w:pPr>
    </w:p>
    <w:p w14:paraId="636EDB83" w14:textId="77777777" w:rsidR="00C16979" w:rsidRDefault="00C16979" w:rsidP="00C16979">
      <w:pPr>
        <w:rPr>
          <w:sz w:val="24"/>
          <w:szCs w:val="24"/>
        </w:rPr>
      </w:pPr>
    </w:p>
    <w:sectPr w:rsidR="00C16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73BC7"/>
    <w:multiLevelType w:val="hybridMultilevel"/>
    <w:tmpl w:val="042A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A01A5"/>
    <w:multiLevelType w:val="hybridMultilevel"/>
    <w:tmpl w:val="AAE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14419"/>
    <w:multiLevelType w:val="hybridMultilevel"/>
    <w:tmpl w:val="6FD0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632A4"/>
    <w:multiLevelType w:val="hybridMultilevel"/>
    <w:tmpl w:val="F2BA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EC"/>
    <w:rsid w:val="000E4B6F"/>
    <w:rsid w:val="00155C2F"/>
    <w:rsid w:val="002C38D0"/>
    <w:rsid w:val="003C1B4B"/>
    <w:rsid w:val="004F75EC"/>
    <w:rsid w:val="008E2959"/>
    <w:rsid w:val="00AA73EF"/>
    <w:rsid w:val="00AB4703"/>
    <w:rsid w:val="00C16979"/>
    <w:rsid w:val="00C7394D"/>
    <w:rsid w:val="00EA3BBA"/>
    <w:rsid w:val="00ED3696"/>
    <w:rsid w:val="00F571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DEC7"/>
  <w15:chartTrackingRefBased/>
  <w15:docId w15:val="{E1BF8018-220E-4FB3-BE89-11CDA1B5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EC"/>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EF"/>
    <w:rPr>
      <w:strike w:val="0"/>
      <w:dstrike w:val="0"/>
      <w:color w:val="007398"/>
      <w:u w:val="none"/>
      <w:effect w:val="none"/>
    </w:rPr>
  </w:style>
  <w:style w:type="paragraph" w:styleId="ListParagraph">
    <w:name w:val="List Paragraph"/>
    <w:basedOn w:val="Normal"/>
    <w:uiPriority w:val="34"/>
    <w:qFormat/>
    <w:rsid w:val="00AA73EF"/>
    <w:pPr>
      <w:ind w:left="720"/>
      <w:contextualSpacing/>
    </w:pPr>
  </w:style>
  <w:style w:type="character" w:styleId="CommentReference">
    <w:name w:val="annotation reference"/>
    <w:basedOn w:val="DefaultParagraphFont"/>
    <w:uiPriority w:val="99"/>
    <w:semiHidden/>
    <w:unhideWhenUsed/>
    <w:rsid w:val="00AA73EF"/>
    <w:rPr>
      <w:sz w:val="16"/>
      <w:szCs w:val="16"/>
    </w:rPr>
  </w:style>
  <w:style w:type="paragraph" w:styleId="CommentText">
    <w:name w:val="annotation text"/>
    <w:basedOn w:val="Normal"/>
    <w:link w:val="CommentTextChar"/>
    <w:uiPriority w:val="99"/>
    <w:semiHidden/>
    <w:unhideWhenUsed/>
    <w:rsid w:val="00AA73EF"/>
    <w:pPr>
      <w:spacing w:line="240" w:lineRule="auto"/>
    </w:pPr>
    <w:rPr>
      <w:sz w:val="20"/>
      <w:szCs w:val="20"/>
    </w:rPr>
  </w:style>
  <w:style w:type="character" w:customStyle="1" w:styleId="CommentTextChar">
    <w:name w:val="Comment Text Char"/>
    <w:basedOn w:val="DefaultParagraphFont"/>
    <w:link w:val="CommentText"/>
    <w:uiPriority w:val="99"/>
    <w:semiHidden/>
    <w:rsid w:val="00AA73E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A73EF"/>
    <w:rPr>
      <w:b/>
      <w:bCs/>
    </w:rPr>
  </w:style>
  <w:style w:type="character" w:customStyle="1" w:styleId="CommentSubjectChar">
    <w:name w:val="Comment Subject Char"/>
    <w:basedOn w:val="CommentTextChar"/>
    <w:link w:val="CommentSubject"/>
    <w:uiPriority w:val="99"/>
    <w:semiHidden/>
    <w:rsid w:val="00AA73EF"/>
    <w:rPr>
      <w:rFonts w:eastAsiaTheme="minorHAnsi"/>
      <w:b/>
      <w:bCs/>
      <w:sz w:val="20"/>
      <w:szCs w:val="20"/>
      <w:lang w:eastAsia="en-US"/>
    </w:rPr>
  </w:style>
  <w:style w:type="paragraph" w:styleId="BalloonText">
    <w:name w:val="Balloon Text"/>
    <w:basedOn w:val="Normal"/>
    <w:link w:val="BalloonTextChar"/>
    <w:uiPriority w:val="99"/>
    <w:semiHidden/>
    <w:unhideWhenUsed/>
    <w:rsid w:val="00AA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EF"/>
    <w:rPr>
      <w:rFonts w:ascii="Segoe UI" w:eastAsiaTheme="minorHAnsi" w:hAnsi="Segoe UI" w:cs="Segoe UI"/>
      <w:sz w:val="18"/>
      <w:szCs w:val="18"/>
      <w:lang w:eastAsia="en-US"/>
    </w:rPr>
  </w:style>
  <w:style w:type="paragraph" w:styleId="NoSpacing">
    <w:name w:val="No Spacing"/>
    <w:uiPriority w:val="1"/>
    <w:qFormat/>
    <w:rsid w:val="00C1697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pain.2013.07.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5645</Characters>
  <Application>Microsoft Office Word</Application>
  <DocSecurity>0</DocSecurity>
  <Lines>108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Humphris</dc:creator>
  <cp:keywords/>
  <dc:description/>
  <cp:lastModifiedBy>Valentin Popov</cp:lastModifiedBy>
  <cp:revision>3</cp:revision>
  <dcterms:created xsi:type="dcterms:W3CDTF">2018-09-26T11:34:00Z</dcterms:created>
  <dcterms:modified xsi:type="dcterms:W3CDTF">2018-09-26T11:34:00Z</dcterms:modified>
</cp:coreProperties>
</file>