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BC" w:rsidRPr="00970D14" w:rsidRDefault="0097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2 - Q</w:t>
      </w:r>
      <w:bookmarkStart w:id="0" w:name="_GoBack"/>
      <w:bookmarkEnd w:id="0"/>
      <w:r w:rsidRPr="00970D14">
        <w:rPr>
          <w:rFonts w:ascii="Times New Roman" w:hAnsi="Times New Roman" w:cs="Times New Roman"/>
        </w:rPr>
        <w:t>uestionnaire content and logic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04"/>
        <w:gridCol w:w="4212"/>
      </w:tblGrid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81143343"/>
            <w:r w:rsidRPr="00A91A71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b/>
                <w:sz w:val="20"/>
                <w:szCs w:val="20"/>
              </w:rPr>
              <w:t>Answers and format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What is your position? (e.g. consultant paediatrician):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text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What is the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location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of your unit?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text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Which of the following best describes your clinical setting: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Neonatal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  <w:p w:rsidR="00970D14" w:rsidRPr="00A91A71" w:rsidRDefault="00970D14" w:rsidP="00E5358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Paediatric Intensive Care Unit </w:t>
            </w:r>
          </w:p>
          <w:p w:rsidR="00970D14" w:rsidRPr="00A91A71" w:rsidRDefault="00970D14" w:rsidP="00E5358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Principle Oncology/Haematology unit</w:t>
            </w:r>
          </w:p>
          <w:p w:rsidR="00970D14" w:rsidRPr="00A91A71" w:rsidRDefault="00970D14" w:rsidP="00E5358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Shared Care Oncology/Haematology unit</w:t>
            </w:r>
          </w:p>
          <w:p w:rsidR="00970D14" w:rsidRPr="00A91A71" w:rsidRDefault="00970D14" w:rsidP="00E5358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Other (please state)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Does your unit have a written protocol or guideline for treating extravasation injuries? 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If 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ask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D14" w:rsidRPr="00663078" w:rsidRDefault="00970D14" w:rsidP="00E5358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Does the protocol or guideline contain a staging system for grading severity of extravasation injury?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Pr="00A91A71" w:rsidRDefault="00970D14" w:rsidP="00E5358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970D14" w:rsidRPr="00A91A71" w:rsidRDefault="00970D14" w:rsidP="00E5358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Pr="00663078" w:rsidRDefault="00970D14" w:rsidP="00E5358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Does your unit have a list of treatments/interventions which may cause serious problems when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extravasated</w:t>
            </w:r>
            <w:proofErr w:type="spellEnd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Pr="00A91A71" w:rsidRDefault="00970D14" w:rsidP="00E5358A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9">
              <w:rPr>
                <w:rFonts w:ascii="Times New Roman" w:hAnsi="Times New Roman" w:cs="Times New Roman"/>
                <w:sz w:val="20"/>
                <w:szCs w:val="20"/>
              </w:rPr>
              <w:t>Please consider the list below of possible treatments for extravasation injuries. How frequently is each of them used in your unit?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Elevation of affected area</w:t>
            </w: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Warm compress</w:t>
            </w:r>
          </w:p>
          <w:p w:rsidR="00970D14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Cold compress </w:t>
            </w: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Analgesia</w:t>
            </w: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t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opical cream or ointment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(please state)</w:t>
            </w: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Occlusive dressing</w:t>
            </w: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Saline irrigation </w:t>
            </w:r>
            <w:r w:rsidRPr="00663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without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hyaluronidase</w:t>
            </w:r>
          </w:p>
          <w:p w:rsidR="00970D14" w:rsidRPr="00A91A71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Saline irrigation </w:t>
            </w:r>
            <w:r w:rsidRPr="006630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with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hyaluronidase</w:t>
            </w:r>
          </w:p>
          <w:p w:rsidR="00970D14" w:rsidRDefault="00970D14" w:rsidP="00E5358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Antidotes to specific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infusates</w:t>
            </w:r>
            <w:proofErr w:type="spellEnd"/>
          </w:p>
          <w:p w:rsidR="00970D14" w:rsidRPr="00A91A71" w:rsidRDefault="00970D14" w:rsidP="00E5358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</w:tcPr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each, choose one of:</w:t>
            </w:r>
          </w:p>
          <w:p w:rsidR="00970D14" w:rsidRPr="00A91A71" w:rsidRDefault="00970D14" w:rsidP="00E5358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</w:p>
          <w:p w:rsidR="00970D14" w:rsidRPr="00A91A71" w:rsidRDefault="00970D14" w:rsidP="00E5358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</w:p>
          <w:p w:rsidR="00970D14" w:rsidRPr="00A91A71" w:rsidRDefault="00970D14" w:rsidP="00E5358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</w:p>
          <w:p w:rsidR="00970D14" w:rsidRDefault="00970D14" w:rsidP="00E5358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8D4">
              <w:rPr>
                <w:rFonts w:ascii="Times New Roman" w:hAnsi="Times New Roman" w:cs="Times New Roman"/>
                <w:sz w:val="20"/>
                <w:szCs w:val="20"/>
              </w:rPr>
              <w:t>Rarely</w:t>
            </w:r>
          </w:p>
          <w:p w:rsidR="00970D14" w:rsidRDefault="00970D14" w:rsidP="00E5358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  <w:p w:rsidR="00970D14" w:rsidRPr="00E528D4" w:rsidRDefault="00970D14" w:rsidP="00E5358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know</w:t>
            </w:r>
          </w:p>
          <w:p w:rsidR="00970D14" w:rsidRPr="00A91A71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4" w:rsidRPr="00A91A71" w:rsidTr="00E5358A">
        <w:tc>
          <w:tcPr>
            <w:tcW w:w="4934" w:type="dxa"/>
          </w:tcPr>
          <w:p w:rsidR="00970D14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8D4">
              <w:rPr>
                <w:rFonts w:ascii="Times New Roman" w:hAnsi="Times New Roman" w:cs="Times New Roman"/>
                <w:sz w:val="20"/>
                <w:szCs w:val="20"/>
              </w:rPr>
              <w:t>Apart from plastic surgery, are there any other interventions you would use for extravasation injuries which were not listed in the previous question?</w:t>
            </w:r>
          </w:p>
          <w:p w:rsidR="00970D14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663078" w:rsidRDefault="00970D14" w:rsidP="00E535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 p</w:t>
            </w:r>
            <w:r w:rsidRPr="008C3439">
              <w:rPr>
                <w:rFonts w:ascii="Times New Roman" w:hAnsi="Times New Roman" w:cs="Times New Roman"/>
                <w:sz w:val="20"/>
                <w:szCs w:val="20"/>
              </w:rPr>
              <w:t>lease list the other intervention(s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and indicate frequency of use. </w:t>
            </w:r>
            <w:r w:rsidRPr="00663078">
              <w:rPr>
                <w:rFonts w:ascii="Times New Roman" w:hAnsi="Times New Roman" w:cs="Times New Roman"/>
                <w:b/>
                <w:sz w:val="20"/>
                <w:szCs w:val="20"/>
              </w:rPr>
              <w:t>Please note that our study does not cover preventative interventions.</w:t>
            </w:r>
          </w:p>
          <w:p w:rsidR="00970D14" w:rsidRPr="00E528D4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8" w:type="dxa"/>
          </w:tcPr>
          <w:p w:rsidR="00970D14" w:rsidRPr="00E528D4" w:rsidRDefault="00970D14" w:rsidP="00E5358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528D4">
              <w:rPr>
                <w:rFonts w:cs="Times New Roman"/>
                <w:sz w:val="20"/>
                <w:szCs w:val="20"/>
              </w:rPr>
              <w:t>Yes</w:t>
            </w:r>
          </w:p>
          <w:p w:rsidR="00970D14" w:rsidRPr="008C3439" w:rsidRDefault="00970D14" w:rsidP="00E5358A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E528D4">
              <w:rPr>
                <w:rFonts w:cs="Times New Roman"/>
                <w:sz w:val="20"/>
                <w:szCs w:val="20"/>
              </w:rPr>
              <w:t>No</w:t>
            </w:r>
          </w:p>
          <w:p w:rsidR="00970D14" w:rsidRDefault="00970D14" w:rsidP="00E5358A">
            <w:pPr>
              <w:rPr>
                <w:rFonts w:cs="Times New Roman"/>
                <w:sz w:val="20"/>
                <w:szCs w:val="20"/>
              </w:rPr>
            </w:pPr>
          </w:p>
          <w:p w:rsidR="00970D14" w:rsidRDefault="00970D14" w:rsidP="00E5358A">
            <w:pPr>
              <w:rPr>
                <w:rFonts w:cs="Times New Roman"/>
                <w:sz w:val="20"/>
                <w:szCs w:val="20"/>
              </w:rPr>
            </w:pPr>
          </w:p>
          <w:p w:rsidR="00970D14" w:rsidRPr="00663078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78">
              <w:rPr>
                <w:rFonts w:ascii="Times New Roman" w:hAnsi="Times New Roman" w:cs="Times New Roman"/>
                <w:sz w:val="20"/>
                <w:szCs w:val="20"/>
              </w:rPr>
              <w:t>Free text along with one of:</w:t>
            </w:r>
          </w:p>
          <w:p w:rsidR="00970D14" w:rsidRPr="008C3439" w:rsidRDefault="00970D14" w:rsidP="00E5358A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C3439">
              <w:rPr>
                <w:rFonts w:cs="Times New Roman"/>
                <w:sz w:val="20"/>
                <w:szCs w:val="20"/>
              </w:rPr>
              <w:t>Always</w:t>
            </w:r>
          </w:p>
          <w:p w:rsidR="00970D14" w:rsidRPr="008C3439" w:rsidRDefault="00970D14" w:rsidP="00E5358A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C3439">
              <w:rPr>
                <w:rFonts w:cs="Times New Roman"/>
                <w:sz w:val="20"/>
                <w:szCs w:val="20"/>
              </w:rPr>
              <w:t>Usually</w:t>
            </w:r>
          </w:p>
          <w:p w:rsidR="00970D14" w:rsidRPr="008C3439" w:rsidRDefault="00970D14" w:rsidP="00E5358A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C3439">
              <w:rPr>
                <w:rFonts w:cs="Times New Roman"/>
                <w:sz w:val="20"/>
                <w:szCs w:val="20"/>
              </w:rPr>
              <w:t>Sometimes</w:t>
            </w:r>
          </w:p>
          <w:p w:rsidR="00970D14" w:rsidRPr="008C3439" w:rsidRDefault="00970D14" w:rsidP="00E5358A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8C3439">
              <w:rPr>
                <w:rFonts w:cs="Times New Roman"/>
                <w:sz w:val="20"/>
                <w:szCs w:val="20"/>
              </w:rPr>
              <w:t>Rarely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Please select the type of access site most associated with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extravastion</w:t>
            </w:r>
            <w:proofErr w:type="spellEnd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injuries in your unit’s patients: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Peripheral line (hands, feet)</w:t>
            </w:r>
          </w:p>
          <w:p w:rsidR="00970D14" w:rsidRPr="00A91A71" w:rsidRDefault="00970D14" w:rsidP="00E535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Peripheral central line</w:t>
            </w:r>
          </w:p>
          <w:p w:rsidR="00970D14" w:rsidRPr="00A91A71" w:rsidRDefault="00970D14" w:rsidP="00E535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Central line</w:t>
            </w:r>
          </w:p>
          <w:p w:rsidR="00970D14" w:rsidRDefault="00970D14" w:rsidP="00E535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Other (please state)</w:t>
            </w:r>
          </w:p>
          <w:p w:rsidR="00970D14" w:rsidRPr="00663078" w:rsidRDefault="00970D14" w:rsidP="00E535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know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Please select the type of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infusate</w:t>
            </w:r>
            <w:proofErr w:type="spellEnd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which causes the largest proportion of all the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extravastion</w:t>
            </w:r>
            <w:proofErr w:type="spellEnd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juries in your unit’s patients.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</w:tcPr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 xml:space="preserve">More than one option maybe selected if the proportion of injuries is around the same for 2 or more types of </w:t>
            </w:r>
            <w:proofErr w:type="spellStart"/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infusate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Parenteral nutrition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Contrast agent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Calcium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Vesicant chemotherapies 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Non-vesicant chemotherapies</w:t>
            </w:r>
          </w:p>
          <w:p w:rsidR="00970D14" w:rsidRPr="00A91A71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Inotropes or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pressors</w:t>
            </w:r>
            <w:proofErr w:type="spellEnd"/>
          </w:p>
          <w:p w:rsidR="00970D14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(please state)</w:t>
            </w:r>
          </w:p>
          <w:p w:rsidR="00970D14" w:rsidRPr="006F7DDE" w:rsidRDefault="00970D14" w:rsidP="00E5358A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know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8C3439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 proportion of the extravasation injuries in your unit would you estimate is caused by extravasation of infused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[insert above response]</w:t>
            </w:r>
          </w:p>
        </w:tc>
        <w:tc>
          <w:tcPr>
            <w:tcW w:w="4308" w:type="dxa"/>
          </w:tcPr>
          <w:p w:rsidR="00970D14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75-100%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50-74%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25-49%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11-24%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1-10%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Not sure, but more than 50%</w:t>
            </w:r>
          </w:p>
          <w:p w:rsidR="00970D14" w:rsidRPr="00A91A71" w:rsidRDefault="00970D14" w:rsidP="00E5358A">
            <w:pPr>
              <w:numPr>
                <w:ilvl w:val="0"/>
                <w:numId w:val="4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Not sure, but less than 50%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6F7DDE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Approximately what proportion of extravasations injuries that you have actively treated have resulted in a need for plastic surgery at any stage?</w:t>
            </w:r>
          </w:p>
        </w:tc>
        <w:tc>
          <w:tcPr>
            <w:tcW w:w="4308" w:type="dxa"/>
          </w:tcPr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More than 50%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25-50%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5-24%</w:t>
            </w:r>
          </w:p>
          <w:p w:rsidR="00970D14" w:rsidRPr="006F7DDE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Less than 5%</w:t>
            </w:r>
          </w:p>
          <w:p w:rsidR="00970D14" w:rsidRPr="00A91A71" w:rsidRDefault="00970D14" w:rsidP="00E5358A">
            <w:pPr>
              <w:numPr>
                <w:ilvl w:val="0"/>
                <w:numId w:val="4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Don’t know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In the last 10 years did any of the extravasation injuries which </w:t>
            </w:r>
            <w:proofErr w:type="spellStart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occured</w:t>
            </w:r>
            <w:proofErr w:type="spellEnd"/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 in your unit result in litigation?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If Yes, please state how many cases resulted in litigation: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Default="00970D14" w:rsidP="00E535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1</w:t>
            </w: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2</w:t>
            </w: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3</w:t>
            </w: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4</w:t>
            </w: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5</w:t>
            </w: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6 or more</w:t>
            </w:r>
          </w:p>
          <w:p w:rsidR="00970D14" w:rsidRPr="006F7DDE" w:rsidRDefault="00970D14" w:rsidP="00E5358A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>Don’t know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Regarding a future research study in this area, do you think a randomised trial design can be successfully undertaken to compare different treatments for extravasation injuries in babies and young children? 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If yes:</w:t>
            </w:r>
          </w:p>
          <w:p w:rsidR="00970D14" w:rsidRDefault="00970D14" w:rsidP="00E5358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6F7DDE">
              <w:rPr>
                <w:rFonts w:cs="Times New Roman"/>
                <w:sz w:val="20"/>
                <w:szCs w:val="20"/>
              </w:rPr>
              <w:t xml:space="preserve">Please tell us which treatment(s) you would most like to see studied in a randomised trial (state one or two treatments): </w:t>
            </w:r>
          </w:p>
          <w:p w:rsidR="00970D14" w:rsidRPr="006F7DDE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If no:</w:t>
            </w:r>
          </w:p>
          <w:p w:rsidR="00970D14" w:rsidRPr="00A91A71" w:rsidRDefault="00970D14" w:rsidP="00E535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It would be helpful if you could say why a randomised trial design might not be viable. If you have any thoughts on alternative study designs, which you think might be more appropriate, please also state them here.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Default="00970D14" w:rsidP="00E5358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text</w:t>
            </w: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text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Are you aware of any summary data on the effectiveness or safety of treatments for extravasation injury which we are unlikely to have identified in our searches of literature 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tabases (e.g. unpublished data)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If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display “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We would be very grateful if you could email details on the summary data to mark.corbett@york.ac.uk within the next three weeks.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Pr="00A91A71" w:rsidRDefault="00970D14" w:rsidP="00E5358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If you have any comments or suggestions about our study which haven't been covered in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 survey please add them here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text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Would you like to receive an email notification when our final report is published online (it will be open-access)?</w:t>
            </w: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 xml:space="preserve">If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display “</w:t>
            </w:r>
            <w:r w:rsidRPr="006F7DDE">
              <w:rPr>
                <w:rFonts w:ascii="Times New Roman" w:hAnsi="Times New Roman" w:cs="Times New Roman"/>
                <w:sz w:val="20"/>
                <w:szCs w:val="20"/>
              </w:rPr>
              <w:t>Please tell us the email address you would like the link sending 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970D14" w:rsidRPr="00A91A71" w:rsidRDefault="00970D14" w:rsidP="00E5358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thanks</w:t>
            </w:r>
          </w:p>
          <w:p w:rsidR="00970D14" w:rsidRPr="00A91A71" w:rsidRDefault="00970D14" w:rsidP="00E5358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text</w:t>
            </w:r>
          </w:p>
        </w:tc>
      </w:tr>
      <w:tr w:rsidR="00970D14" w:rsidRPr="00A91A71" w:rsidTr="00E5358A">
        <w:tc>
          <w:tcPr>
            <w:tcW w:w="4934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 message: </w:t>
            </w:r>
            <w:r w:rsidRPr="00A91A71">
              <w:rPr>
                <w:rFonts w:ascii="Times New Roman" w:hAnsi="Times New Roman" w:cs="Times New Roman"/>
                <w:sz w:val="20"/>
                <w:szCs w:val="20"/>
              </w:rPr>
              <w:t>Thank you very much for completing the survey.</w:t>
            </w:r>
          </w:p>
        </w:tc>
        <w:tc>
          <w:tcPr>
            <w:tcW w:w="4308" w:type="dxa"/>
          </w:tcPr>
          <w:p w:rsidR="00970D14" w:rsidRPr="00A91A71" w:rsidRDefault="00970D14" w:rsidP="00E53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970D14" w:rsidRDefault="00970D14"/>
    <w:sectPr w:rsidR="00970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BDB"/>
    <w:multiLevelType w:val="hybridMultilevel"/>
    <w:tmpl w:val="26642A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644"/>
    <w:multiLevelType w:val="hybridMultilevel"/>
    <w:tmpl w:val="E48C4E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6D75"/>
    <w:multiLevelType w:val="hybridMultilevel"/>
    <w:tmpl w:val="EBE67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578D"/>
    <w:multiLevelType w:val="hybridMultilevel"/>
    <w:tmpl w:val="14B0F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4C9D"/>
    <w:multiLevelType w:val="hybridMultilevel"/>
    <w:tmpl w:val="E6DA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E03"/>
    <w:multiLevelType w:val="hybridMultilevel"/>
    <w:tmpl w:val="D428B4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2BCD"/>
    <w:multiLevelType w:val="hybridMultilevel"/>
    <w:tmpl w:val="6E92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A1B"/>
    <w:multiLevelType w:val="hybridMultilevel"/>
    <w:tmpl w:val="02A4AF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06BF"/>
    <w:multiLevelType w:val="hybridMultilevel"/>
    <w:tmpl w:val="02C2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0295"/>
    <w:multiLevelType w:val="hybridMultilevel"/>
    <w:tmpl w:val="7F10FE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279F"/>
    <w:multiLevelType w:val="hybridMultilevel"/>
    <w:tmpl w:val="973C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56CE1"/>
    <w:multiLevelType w:val="hybridMultilevel"/>
    <w:tmpl w:val="83AE42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0A63"/>
    <w:multiLevelType w:val="hybridMultilevel"/>
    <w:tmpl w:val="715A0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B249E"/>
    <w:multiLevelType w:val="hybridMultilevel"/>
    <w:tmpl w:val="E99CC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4986"/>
    <w:multiLevelType w:val="hybridMultilevel"/>
    <w:tmpl w:val="D1368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2129E"/>
    <w:multiLevelType w:val="hybridMultilevel"/>
    <w:tmpl w:val="E91EAE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C36B3"/>
    <w:multiLevelType w:val="hybridMultilevel"/>
    <w:tmpl w:val="FCD8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434ED"/>
    <w:multiLevelType w:val="hybridMultilevel"/>
    <w:tmpl w:val="5164B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4"/>
    <w:rsid w:val="003029BC"/>
    <w:rsid w:val="008B23A7"/>
    <w:rsid w:val="008B32B1"/>
    <w:rsid w:val="00970D14"/>
    <w:rsid w:val="00D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97D19-89BD-4945-A5F9-CBA4FD1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14"/>
    <w:pPr>
      <w:spacing w:before="120" w:after="240" w:line="360" w:lineRule="auto"/>
      <w:ind w:left="720"/>
      <w:contextualSpacing/>
    </w:pPr>
    <w:rPr>
      <w:rFonts w:ascii="Times New Roman" w:eastAsiaTheme="minorEastAsia" w:hAnsi="Times New Roman"/>
    </w:rPr>
  </w:style>
  <w:style w:type="table" w:customStyle="1" w:styleId="TableGrid2">
    <w:name w:val="Table Grid2"/>
    <w:basedOn w:val="TableNormal"/>
    <w:next w:val="TableGrid"/>
    <w:uiPriority w:val="39"/>
    <w:rsid w:val="00970D14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3F7C431.dotm</Template>
  <TotalTime>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Corbett</dc:creator>
  <cp:keywords/>
  <dc:description/>
  <cp:lastModifiedBy>Mark Corbett</cp:lastModifiedBy>
  <cp:revision>1</cp:revision>
  <dcterms:created xsi:type="dcterms:W3CDTF">2018-03-22T16:49:00Z</dcterms:created>
  <dcterms:modified xsi:type="dcterms:W3CDTF">2018-03-22T16:51:00Z</dcterms:modified>
</cp:coreProperties>
</file>