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841"/>
        <w:tblW w:w="9889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951"/>
        <w:gridCol w:w="709"/>
        <w:gridCol w:w="709"/>
        <w:gridCol w:w="992"/>
        <w:gridCol w:w="283"/>
        <w:gridCol w:w="778"/>
        <w:gridCol w:w="782"/>
        <w:gridCol w:w="992"/>
        <w:gridCol w:w="283"/>
        <w:gridCol w:w="743"/>
        <w:gridCol w:w="675"/>
        <w:gridCol w:w="992"/>
      </w:tblGrid>
      <w:tr w:rsidR="00BF5610" w:rsidRPr="00487EDD" w:rsidTr="00BF5610">
        <w:tc>
          <w:tcPr>
            <w:tcW w:w="1951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BF5610" w:rsidRPr="00487EDD" w:rsidRDefault="00BF5610" w:rsidP="007E186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BF5610" w:rsidRPr="00487EDD" w:rsidRDefault="00BF5610" w:rsidP="007E186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feathers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CD66b Non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CD66b IM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CD66bTC</w:t>
            </w:r>
          </w:p>
        </w:tc>
      </w:tr>
      <w:tr w:rsidR="00BF5610" w:rsidRPr="00487EDD" w:rsidTr="00BF5610">
        <w:tc>
          <w:tcPr>
            <w:tcW w:w="1951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Low N(%)</w:t>
            </w:r>
          </w:p>
        </w:tc>
        <w:tc>
          <w:tcPr>
            <w:tcW w:w="709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High N(%)</w:t>
            </w:r>
          </w:p>
        </w:tc>
        <w:tc>
          <w:tcPr>
            <w:tcW w:w="992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P</w:t>
            </w:r>
            <w:r w:rsidRPr="00487ED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value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Low N(%)</w:t>
            </w:r>
          </w:p>
        </w:tc>
        <w:tc>
          <w:tcPr>
            <w:tcW w:w="782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High N(%)</w:t>
            </w:r>
          </w:p>
        </w:tc>
        <w:tc>
          <w:tcPr>
            <w:tcW w:w="992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P</w:t>
            </w:r>
            <w:r w:rsidRPr="00487ED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value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Low N(%)</w:t>
            </w:r>
          </w:p>
        </w:tc>
        <w:tc>
          <w:tcPr>
            <w:tcW w:w="675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BF5610" w:rsidRPr="00487EDD" w:rsidRDefault="00BF5610" w:rsidP="007E186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High</w:t>
            </w:r>
          </w:p>
          <w:p w:rsidR="00BF5610" w:rsidRPr="00487EDD" w:rsidRDefault="00BF5610" w:rsidP="007E186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(%)</w:t>
            </w:r>
          </w:p>
        </w:tc>
        <w:tc>
          <w:tcPr>
            <w:tcW w:w="992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P</w:t>
            </w:r>
            <w:r w:rsidRPr="00487ED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value</w:t>
            </w:r>
          </w:p>
        </w:tc>
      </w:tr>
      <w:tr w:rsidR="00BF5610" w:rsidRPr="00487EDD" w:rsidTr="00BF5610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Age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0.144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0.516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0.358</w:t>
            </w: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&lt;70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127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≥70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0.437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0.129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0.831</w:t>
            </w: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Male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ASA status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0.862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0.185</w:t>
            </w: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&lt;3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138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≥3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autoSpaceDE w:val="0"/>
              <w:autoSpaceDN w:val="0"/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Tumor site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0.473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0.454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0.757</w:t>
            </w: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Upper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Middle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lower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autoSpaceDE w:val="0"/>
              <w:autoSpaceDN w:val="0"/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Tumor size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0.864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0.993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0.348</w:t>
            </w: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autoSpaceDE w:val="0"/>
              <w:autoSpaceDN w:val="0"/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&lt;5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autoSpaceDE w:val="0"/>
              <w:autoSpaceDN w:val="0"/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≥5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Pathological TNM stage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0.130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0.257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0.016</w:t>
            </w: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A61B40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Lauren classification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0.202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0.654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0.353</w:t>
            </w: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A61B40">
            <w:pPr>
              <w:spacing w:line="276" w:lineRule="auto"/>
              <w:ind w:firstLineChars="100" w:firstLine="21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Intestinal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A61B40">
            <w:pPr>
              <w:spacing w:line="276" w:lineRule="auto"/>
              <w:ind w:firstLineChars="100" w:firstLine="21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Diffuse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A61B40">
            <w:pPr>
              <w:spacing w:line="276" w:lineRule="auto"/>
              <w:ind w:firstLineChars="100" w:firstLine="21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Histological grade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0.271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0.236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0.520</w:t>
            </w: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G1/ G2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G3/Signet ring cell/ </w:t>
            </w:r>
            <w:proofErr w:type="spellStart"/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Mucinous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108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Lymphovascular</w:t>
            </w:r>
            <w:proofErr w:type="spellEnd"/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invasion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0.972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&lt;0.001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0.008</w:t>
            </w: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Perineural</w:t>
            </w:r>
            <w:proofErr w:type="spellEnd"/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invasion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0.293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0.025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&lt;0.001</w:t>
            </w: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127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5-Fu</w:t>
            </w:r>
            <w:r w:rsidRPr="00487EDD">
              <w:rPr>
                <w:rFonts w:ascii="Times New Roman" w:eastAsia="宋体" w:hAnsi="Times New Roman" w:cs="Times New Roman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0.611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0.163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0.408</w:t>
            </w: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F5610" w:rsidRPr="00487EDD" w:rsidTr="00BF5610"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87EDD">
              <w:rPr>
                <w:rFonts w:ascii="Times New Roman" w:eastAsia="宋体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5610" w:rsidRPr="00487EDD" w:rsidRDefault="00BF5610" w:rsidP="007E1863">
            <w:pPr>
              <w:spacing w:line="276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</w:tbl>
    <w:p w:rsidR="0010405D" w:rsidRDefault="0010405D" w:rsidP="00BF5610">
      <w:pPr>
        <w:spacing w:line="276" w:lineRule="auto"/>
        <w:jc w:val="both"/>
        <w:rPr>
          <w:rFonts w:ascii="Times New Roman" w:eastAsia="宋体" w:hAnsi="Times New Roman" w:cs="Times New Roman"/>
          <w:b/>
          <w:sz w:val="21"/>
          <w:szCs w:val="21"/>
        </w:rPr>
      </w:pPr>
      <w:r w:rsidRPr="00A32A56">
        <w:rPr>
          <w:rFonts w:ascii="Times New Roman" w:eastAsia="宋体" w:hAnsi="Times New Roman" w:cs="Times New Roman"/>
          <w:b/>
          <w:sz w:val="21"/>
          <w:szCs w:val="21"/>
        </w:rPr>
        <w:t>Table-1</w:t>
      </w:r>
      <w:r w:rsidRPr="00A32A56">
        <w:rPr>
          <w:rFonts w:ascii="Times New Roman" w:eastAsia="宋体" w:hAnsi="Times New Roman" w:cs="Times New Roman" w:hint="eastAsia"/>
          <w:b/>
          <w:sz w:val="21"/>
          <w:szCs w:val="21"/>
        </w:rPr>
        <w:t xml:space="preserve">. </w:t>
      </w:r>
      <w:r w:rsidRPr="00A32A56">
        <w:rPr>
          <w:rFonts w:ascii="Times New Roman" w:eastAsia="宋体" w:hAnsi="Times New Roman" w:cs="Times New Roman"/>
          <w:b/>
          <w:sz w:val="21"/>
          <w:szCs w:val="21"/>
        </w:rPr>
        <w:t>Association of CD66b+</w:t>
      </w:r>
      <w:r w:rsidRPr="00A32A56">
        <w:rPr>
          <w:rFonts w:ascii="Times New Roman" w:eastAsia="宋体" w:hAnsi="Times New Roman" w:cs="Times New Roman" w:hint="eastAsia"/>
          <w:b/>
          <w:sz w:val="21"/>
          <w:szCs w:val="21"/>
        </w:rPr>
        <w:t>c</w:t>
      </w:r>
      <w:r w:rsidRPr="00A32A56">
        <w:rPr>
          <w:rFonts w:ascii="Times New Roman" w:eastAsia="宋体" w:hAnsi="Times New Roman" w:cs="Times New Roman"/>
          <w:b/>
          <w:sz w:val="21"/>
          <w:szCs w:val="21"/>
        </w:rPr>
        <w:t xml:space="preserve">ells </w:t>
      </w:r>
      <w:r w:rsidRPr="00A32A56">
        <w:rPr>
          <w:rFonts w:ascii="Times New Roman" w:eastAsia="宋体" w:hAnsi="Times New Roman" w:cs="Times New Roman" w:hint="eastAsia"/>
          <w:b/>
          <w:sz w:val="21"/>
          <w:szCs w:val="21"/>
        </w:rPr>
        <w:t xml:space="preserve">with </w:t>
      </w:r>
      <w:proofErr w:type="spellStart"/>
      <w:r w:rsidRPr="00A32A56">
        <w:rPr>
          <w:rFonts w:ascii="Times New Roman" w:eastAsia="宋体" w:hAnsi="Times New Roman" w:cs="Times New Roman" w:hint="eastAsia"/>
          <w:b/>
          <w:sz w:val="21"/>
          <w:szCs w:val="21"/>
        </w:rPr>
        <w:t>c</w:t>
      </w:r>
      <w:r w:rsidRPr="00A32A56">
        <w:rPr>
          <w:rFonts w:ascii="Times New Roman" w:eastAsia="宋体" w:hAnsi="Times New Roman" w:cs="Times New Roman"/>
          <w:b/>
          <w:sz w:val="21"/>
          <w:szCs w:val="21"/>
        </w:rPr>
        <w:t>linicopathological</w:t>
      </w:r>
      <w:proofErr w:type="spellEnd"/>
      <w:r w:rsidRPr="00A32A56">
        <w:rPr>
          <w:rFonts w:ascii="Times New Roman" w:eastAsia="宋体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1"/>
          <w:szCs w:val="21"/>
        </w:rPr>
        <w:t xml:space="preserve">feathers </w:t>
      </w:r>
      <w:r w:rsidRPr="00A32A56">
        <w:rPr>
          <w:rFonts w:ascii="Times New Roman" w:eastAsia="宋体" w:hAnsi="Times New Roman" w:cs="Times New Roman"/>
          <w:b/>
          <w:sz w:val="21"/>
          <w:szCs w:val="21"/>
        </w:rPr>
        <w:t>in</w:t>
      </w:r>
      <w:r w:rsidRPr="00A32A56">
        <w:rPr>
          <w:rFonts w:ascii="Times New Roman" w:eastAsia="宋体" w:hAnsi="Times New Roman" w:cs="Times New Roman" w:hint="eastAsia"/>
          <w:b/>
          <w:sz w:val="21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1"/>
          <w:szCs w:val="21"/>
        </w:rPr>
        <w:t>Non</w:t>
      </w:r>
      <w:r w:rsidRPr="00A32A56">
        <w:rPr>
          <w:rFonts w:ascii="Times New Roman" w:eastAsia="宋体" w:hAnsi="Times New Roman" w:cs="Times New Roman" w:hint="eastAsia"/>
          <w:b/>
          <w:sz w:val="21"/>
          <w:szCs w:val="21"/>
        </w:rPr>
        <w:t>,</w:t>
      </w:r>
      <w:r w:rsidRPr="00A32A56">
        <w:rPr>
          <w:rFonts w:ascii="Times New Roman" w:eastAsia="宋体" w:hAnsi="Times New Roman" w:cs="Times New Roman"/>
          <w:b/>
          <w:sz w:val="21"/>
          <w:szCs w:val="21"/>
        </w:rPr>
        <w:t xml:space="preserve"> IM and</w:t>
      </w:r>
      <w:r>
        <w:rPr>
          <w:rFonts w:ascii="Times New Roman" w:eastAsia="宋体" w:hAnsi="Times New Roman" w:cs="Times New Roman" w:hint="eastAsia"/>
          <w:b/>
          <w:sz w:val="21"/>
          <w:szCs w:val="21"/>
        </w:rPr>
        <w:t xml:space="preserve"> </w:t>
      </w:r>
      <w:r w:rsidRPr="00A32A56">
        <w:rPr>
          <w:rFonts w:ascii="Times New Roman" w:eastAsia="宋体" w:hAnsi="Times New Roman" w:cs="Times New Roman" w:hint="eastAsia"/>
          <w:b/>
          <w:sz w:val="21"/>
          <w:szCs w:val="21"/>
        </w:rPr>
        <w:t>T</w:t>
      </w:r>
      <w:r>
        <w:rPr>
          <w:rFonts w:ascii="Times New Roman" w:eastAsia="宋体" w:hAnsi="Times New Roman" w:cs="Times New Roman" w:hint="eastAsia"/>
          <w:b/>
          <w:sz w:val="21"/>
          <w:szCs w:val="21"/>
        </w:rPr>
        <w:t>C</w:t>
      </w:r>
      <w:r w:rsidRPr="00A32A56">
        <w:rPr>
          <w:rFonts w:ascii="Times New Roman" w:eastAsia="宋体" w:hAnsi="Times New Roman" w:cs="Times New Roman" w:hint="eastAsia"/>
          <w:b/>
          <w:sz w:val="21"/>
          <w:szCs w:val="21"/>
        </w:rPr>
        <w:t xml:space="preserve"> of gastric cancer</w:t>
      </w:r>
    </w:p>
    <w:p w:rsidR="00BF5610" w:rsidRDefault="00BF5610" w:rsidP="00BF5610">
      <w:pPr>
        <w:spacing w:line="276" w:lineRule="auto"/>
        <w:rPr>
          <w:rFonts w:ascii="Times New Roman" w:eastAsia="宋体" w:hAnsi="Times New Roman" w:cs="Times New Roman"/>
          <w:b/>
          <w:sz w:val="21"/>
          <w:szCs w:val="21"/>
        </w:rPr>
      </w:pPr>
    </w:p>
    <w:p w:rsidR="0010405D" w:rsidRPr="00414EEA" w:rsidRDefault="0010405D" w:rsidP="007E1863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414EEA">
        <w:rPr>
          <w:rFonts w:ascii="Times New Roman" w:hAnsi="Times New Roman" w:cs="Times New Roman"/>
          <w:sz w:val="21"/>
          <w:szCs w:val="21"/>
        </w:rPr>
        <w:lastRenderedPageBreak/>
        <w:t>Note</w:t>
      </w:r>
      <w:r w:rsidRPr="00414EEA">
        <w:rPr>
          <w:rFonts w:ascii="Times New Roman" w:cs="Times New Roman" w:hint="eastAsia"/>
          <w:sz w:val="21"/>
          <w:szCs w:val="21"/>
        </w:rPr>
        <w:t xml:space="preserve">: </w:t>
      </w:r>
      <w:r w:rsidRPr="00414EEA">
        <w:rPr>
          <w:rFonts w:ascii="Times New Roman" w:hAnsi="Times New Roman" w:cs="Times New Roman"/>
          <w:sz w:val="21"/>
          <w:szCs w:val="21"/>
          <w:vertAlign w:val="superscript"/>
        </w:rPr>
        <w:t xml:space="preserve">a </w:t>
      </w:r>
      <w:proofErr w:type="spellStart"/>
      <w:r w:rsidRPr="00414EEA">
        <w:rPr>
          <w:rFonts w:ascii="Times New Roman" w:hAnsi="Times New Roman" w:cs="Times New Roman"/>
          <w:sz w:val="21"/>
          <w:szCs w:val="21"/>
        </w:rPr>
        <w:t>Fluoropyrimidine</w:t>
      </w:r>
      <w:proofErr w:type="spellEnd"/>
      <w:r w:rsidRPr="00414EEA">
        <w:rPr>
          <w:rFonts w:ascii="Times New Roman" w:hAnsi="Times New Roman" w:cs="Times New Roman"/>
          <w:sz w:val="21"/>
          <w:szCs w:val="21"/>
        </w:rPr>
        <w:t xml:space="preserve">-based adjuvant chemotherapy, mostly including </w:t>
      </w:r>
      <w:proofErr w:type="spellStart"/>
      <w:r w:rsidRPr="00414EEA">
        <w:rPr>
          <w:rFonts w:ascii="Times New Roman" w:hAnsi="Times New Roman" w:cs="Times New Roman"/>
          <w:sz w:val="21"/>
          <w:szCs w:val="21"/>
        </w:rPr>
        <w:t>capecitabine</w:t>
      </w:r>
      <w:proofErr w:type="spellEnd"/>
      <w:r w:rsidRPr="00414EEA">
        <w:rPr>
          <w:rFonts w:ascii="Times New Roman" w:hAnsi="Times New Roman" w:cs="Times New Roman"/>
          <w:sz w:val="21"/>
          <w:szCs w:val="21"/>
        </w:rPr>
        <w:t xml:space="preserve"> plus platinum, </w:t>
      </w:r>
      <w:proofErr w:type="spellStart"/>
      <w:r w:rsidRPr="00414EEA">
        <w:rPr>
          <w:rFonts w:ascii="Times New Roman" w:hAnsi="Times New Roman" w:cs="Times New Roman"/>
          <w:sz w:val="21"/>
          <w:szCs w:val="21"/>
        </w:rPr>
        <w:t>capecitabine</w:t>
      </w:r>
      <w:proofErr w:type="spellEnd"/>
      <w:r w:rsidRPr="00414EEA">
        <w:rPr>
          <w:rFonts w:ascii="Times New Roman" w:hAnsi="Times New Roman" w:cs="Times New Roman"/>
          <w:sz w:val="21"/>
          <w:szCs w:val="21"/>
        </w:rPr>
        <w:t xml:space="preserve"> alone, or S1 (combined </w:t>
      </w:r>
      <w:proofErr w:type="spellStart"/>
      <w:r w:rsidRPr="00414EEA">
        <w:rPr>
          <w:rFonts w:ascii="Times New Roman" w:hAnsi="Times New Roman" w:cs="Times New Roman"/>
          <w:sz w:val="21"/>
          <w:szCs w:val="21"/>
        </w:rPr>
        <w:t>tegafur</w:t>
      </w:r>
      <w:proofErr w:type="spellEnd"/>
      <w:r w:rsidRPr="00414EE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14EEA">
        <w:rPr>
          <w:rFonts w:ascii="Times New Roman" w:hAnsi="Times New Roman" w:cs="Times New Roman"/>
          <w:sz w:val="21"/>
          <w:szCs w:val="21"/>
        </w:rPr>
        <w:t>gimeracil</w:t>
      </w:r>
      <w:proofErr w:type="spellEnd"/>
      <w:r w:rsidRPr="00414EEA">
        <w:rPr>
          <w:rFonts w:ascii="Times New Roman" w:hAnsi="Times New Roman" w:cs="Times New Roman"/>
          <w:sz w:val="21"/>
          <w:szCs w:val="21"/>
        </w:rPr>
        <w:t xml:space="preserve">, and </w:t>
      </w:r>
      <w:proofErr w:type="spellStart"/>
      <w:r w:rsidRPr="00414EEA">
        <w:rPr>
          <w:rFonts w:ascii="Times New Roman" w:hAnsi="Times New Roman" w:cs="Times New Roman"/>
          <w:sz w:val="21"/>
          <w:szCs w:val="21"/>
        </w:rPr>
        <w:t>oteracil</w:t>
      </w:r>
      <w:proofErr w:type="spellEnd"/>
      <w:r w:rsidRPr="00414EEA">
        <w:rPr>
          <w:rFonts w:ascii="Times New Roman" w:hAnsi="Times New Roman" w:cs="Times New Roman"/>
          <w:sz w:val="21"/>
          <w:szCs w:val="21"/>
        </w:rPr>
        <w:t>), in patients at advanced stage or early stage tumors with lymph node metastasis in this retrospective study.</w:t>
      </w:r>
    </w:p>
    <w:p w:rsidR="004358AB" w:rsidRPr="007E1863" w:rsidRDefault="0010405D" w:rsidP="007E1863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7E1863">
        <w:rPr>
          <w:rFonts w:ascii="Times New Roman" w:hAnsi="Times New Roman" w:cs="Times New Roman"/>
          <w:sz w:val="21"/>
          <w:szCs w:val="21"/>
        </w:rPr>
        <w:t>Abbreviations:</w:t>
      </w:r>
      <w:r w:rsidR="007E1863" w:rsidRPr="007E1863">
        <w:rPr>
          <w:rFonts w:ascii="Times New Roman" w:hAnsi="Times New Roman" w:cs="Times New Roman"/>
          <w:sz w:val="21"/>
          <w:szCs w:val="21"/>
          <w:lang w:val="fr-FR"/>
        </w:rPr>
        <w:t xml:space="preserve"> Non: Nontumoral tissues; IM: invasive margin; TC: tumor center;</w:t>
      </w:r>
      <w:r w:rsidR="007E1863" w:rsidRPr="007E1863">
        <w:rPr>
          <w:rFonts w:ascii="Times New Roman" w:hAnsi="Times New Roman" w:cs="Times New Roman"/>
          <w:sz w:val="21"/>
          <w:szCs w:val="21"/>
        </w:rPr>
        <w:t xml:space="preserve"> </w:t>
      </w:r>
      <w:r w:rsidRPr="007E1863">
        <w:rPr>
          <w:rFonts w:ascii="Times New Roman" w:eastAsia="宋体" w:hAnsi="Times New Roman" w:cs="Times New Roman"/>
          <w:sz w:val="21"/>
          <w:szCs w:val="21"/>
          <w:lang w:val="fr-FR"/>
        </w:rPr>
        <w:t>ASA: American Society of Anesthesiology</w:t>
      </w:r>
      <w:r w:rsidR="007E1863" w:rsidRPr="007E1863">
        <w:rPr>
          <w:rFonts w:ascii="Times New Roman" w:hAnsi="Times New Roman" w:cs="Times New Roman"/>
          <w:sz w:val="21"/>
          <w:szCs w:val="21"/>
          <w:lang w:val="fr-FR"/>
        </w:rPr>
        <w:t>.</w:t>
      </w:r>
    </w:p>
    <w:sectPr w:rsidR="004358AB" w:rsidRPr="007E186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74" w:rsidRDefault="007D5E74" w:rsidP="0010405D">
      <w:pPr>
        <w:spacing w:after="0"/>
      </w:pPr>
      <w:r>
        <w:separator/>
      </w:r>
    </w:p>
  </w:endnote>
  <w:endnote w:type="continuationSeparator" w:id="0">
    <w:p w:rsidR="007D5E74" w:rsidRDefault="007D5E74" w:rsidP="001040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74" w:rsidRDefault="007D5E74" w:rsidP="0010405D">
      <w:pPr>
        <w:spacing w:after="0"/>
      </w:pPr>
      <w:r>
        <w:separator/>
      </w:r>
    </w:p>
  </w:footnote>
  <w:footnote w:type="continuationSeparator" w:id="0">
    <w:p w:rsidR="007D5E74" w:rsidRDefault="007D5E74" w:rsidP="0010405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405D"/>
    <w:rsid w:val="001A52DB"/>
    <w:rsid w:val="00323B43"/>
    <w:rsid w:val="003966F0"/>
    <w:rsid w:val="003B7274"/>
    <w:rsid w:val="003D37D8"/>
    <w:rsid w:val="00426133"/>
    <w:rsid w:val="004358AB"/>
    <w:rsid w:val="00487EDD"/>
    <w:rsid w:val="00644849"/>
    <w:rsid w:val="006B570C"/>
    <w:rsid w:val="00702D30"/>
    <w:rsid w:val="007D5E74"/>
    <w:rsid w:val="007E1863"/>
    <w:rsid w:val="00802849"/>
    <w:rsid w:val="008B7726"/>
    <w:rsid w:val="009F4732"/>
    <w:rsid w:val="00A61B40"/>
    <w:rsid w:val="00A667B9"/>
    <w:rsid w:val="00B94CCE"/>
    <w:rsid w:val="00BF5610"/>
    <w:rsid w:val="00C72C54"/>
    <w:rsid w:val="00C81CF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40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405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405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405D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104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2008-09-11T17:20:00Z</dcterms:created>
  <dcterms:modified xsi:type="dcterms:W3CDTF">2018-11-25T09:34:00Z</dcterms:modified>
</cp:coreProperties>
</file>