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83" w:rsidRDefault="00856083" w:rsidP="00856083">
      <w:pPr>
        <w:spacing w:line="240" w:lineRule="auto"/>
      </w:pPr>
      <w:r>
        <w:t xml:space="preserve">Table </w:t>
      </w:r>
      <w:r w:rsidR="00E26A79">
        <w:t>detailing</w:t>
      </w:r>
      <w:r w:rsidR="00576429">
        <w:t xml:space="preserve"> </w:t>
      </w:r>
      <w:r w:rsidR="00E26A79">
        <w:t>c</w:t>
      </w:r>
      <w:r>
        <w:t>haracteristics of research sites, date of data collection, maximum air temper</w:t>
      </w:r>
      <w:bookmarkStart w:id="0" w:name="_GoBack"/>
      <w:bookmarkEnd w:id="0"/>
      <w:r>
        <w:t>ature and total daily rainfall</w:t>
      </w:r>
    </w:p>
    <w:tbl>
      <w:tblPr>
        <w:tblStyle w:val="TableGrid"/>
        <w:tblW w:w="15163" w:type="dxa"/>
        <w:tblLook w:val="04A0" w:firstRow="1" w:lastRow="0" w:firstColumn="1" w:lastColumn="0" w:noHBand="0" w:noVBand="1"/>
      </w:tblPr>
      <w:tblGrid>
        <w:gridCol w:w="2122"/>
        <w:gridCol w:w="1417"/>
        <w:gridCol w:w="5670"/>
        <w:gridCol w:w="2552"/>
        <w:gridCol w:w="1985"/>
        <w:gridCol w:w="1417"/>
      </w:tblGrid>
      <w:tr w:rsidR="00856083" w:rsidTr="00496AF5">
        <w:tc>
          <w:tcPr>
            <w:tcW w:w="2122" w:type="dxa"/>
          </w:tcPr>
          <w:p w:rsidR="00856083" w:rsidRPr="00FB1A2C" w:rsidRDefault="00856083" w:rsidP="00496AF5">
            <w:pPr>
              <w:spacing w:line="240" w:lineRule="auto"/>
              <w:rPr>
                <w:b/>
              </w:rPr>
            </w:pPr>
            <w:r w:rsidRPr="00FB1A2C">
              <w:rPr>
                <w:b/>
              </w:rPr>
              <w:t xml:space="preserve">Name of site </w:t>
            </w:r>
          </w:p>
        </w:tc>
        <w:tc>
          <w:tcPr>
            <w:tcW w:w="1417" w:type="dxa"/>
          </w:tcPr>
          <w:p w:rsidR="00856083" w:rsidRPr="00FB1A2C" w:rsidRDefault="00856083" w:rsidP="00496AF5">
            <w:pPr>
              <w:spacing w:line="240" w:lineRule="auto"/>
              <w:rPr>
                <w:b/>
              </w:rPr>
            </w:pPr>
            <w:r>
              <w:rPr>
                <w:b/>
              </w:rPr>
              <w:t>Remoteness classification of site</w:t>
            </w:r>
          </w:p>
        </w:tc>
        <w:tc>
          <w:tcPr>
            <w:tcW w:w="5670" w:type="dxa"/>
          </w:tcPr>
          <w:p w:rsidR="00856083" w:rsidRPr="00FB1A2C" w:rsidRDefault="00856083" w:rsidP="00496AF5">
            <w:pPr>
              <w:spacing w:line="240" w:lineRule="auto"/>
              <w:rPr>
                <w:b/>
              </w:rPr>
            </w:pPr>
            <w:r w:rsidRPr="00FB1A2C">
              <w:rPr>
                <w:b/>
              </w:rPr>
              <w:t xml:space="preserve">Description of site characteristics </w:t>
            </w:r>
          </w:p>
        </w:tc>
        <w:tc>
          <w:tcPr>
            <w:tcW w:w="2552" w:type="dxa"/>
          </w:tcPr>
          <w:p w:rsidR="00856083" w:rsidRPr="00FB1A2C" w:rsidRDefault="00856083" w:rsidP="00496AF5">
            <w:pPr>
              <w:spacing w:line="240" w:lineRule="auto"/>
              <w:rPr>
                <w:b/>
              </w:rPr>
            </w:pPr>
            <w:r w:rsidRPr="00FB1A2C">
              <w:rPr>
                <w:b/>
              </w:rPr>
              <w:t>Date of data collection</w:t>
            </w:r>
          </w:p>
        </w:tc>
        <w:tc>
          <w:tcPr>
            <w:tcW w:w="1985" w:type="dxa"/>
          </w:tcPr>
          <w:p w:rsidR="00856083" w:rsidRPr="00FB1A2C" w:rsidRDefault="00856083" w:rsidP="00496AF5">
            <w:pPr>
              <w:spacing w:line="240" w:lineRule="auto"/>
              <w:rPr>
                <w:b/>
              </w:rPr>
            </w:pPr>
            <w:r>
              <w:rPr>
                <w:b/>
              </w:rPr>
              <w:t xml:space="preserve">Maximum daily air temperature (degrees </w:t>
            </w:r>
            <w:proofErr w:type="spellStart"/>
            <w:r>
              <w:rPr>
                <w:b/>
              </w:rPr>
              <w:t>celcius</w:t>
            </w:r>
            <w:proofErr w:type="spellEnd"/>
            <w:r>
              <w:rPr>
                <w:b/>
              </w:rPr>
              <w:t xml:space="preserve">) # </w:t>
            </w:r>
          </w:p>
        </w:tc>
        <w:tc>
          <w:tcPr>
            <w:tcW w:w="1417" w:type="dxa"/>
          </w:tcPr>
          <w:p w:rsidR="00856083" w:rsidRDefault="00856083" w:rsidP="00496AF5">
            <w:pPr>
              <w:spacing w:line="240" w:lineRule="auto"/>
              <w:rPr>
                <w:b/>
              </w:rPr>
            </w:pPr>
            <w:r>
              <w:rPr>
                <w:b/>
              </w:rPr>
              <w:t>Total daily rainfall (mm)</w:t>
            </w:r>
          </w:p>
        </w:tc>
      </w:tr>
      <w:tr w:rsidR="00856083" w:rsidTr="00496AF5">
        <w:tc>
          <w:tcPr>
            <w:tcW w:w="2122" w:type="dxa"/>
            <w:vMerge w:val="restart"/>
          </w:tcPr>
          <w:p w:rsidR="00856083" w:rsidRDefault="00856083" w:rsidP="00496AF5">
            <w:pPr>
              <w:spacing w:line="240" w:lineRule="auto"/>
            </w:pPr>
            <w:r>
              <w:t>Alligator Creek, Townsville, Queensland</w:t>
            </w:r>
          </w:p>
        </w:tc>
        <w:tc>
          <w:tcPr>
            <w:tcW w:w="1417" w:type="dxa"/>
            <w:vMerge w:val="restart"/>
          </w:tcPr>
          <w:p w:rsidR="00856083" w:rsidRDefault="00856083" w:rsidP="00496AF5">
            <w:pPr>
              <w:spacing w:line="240" w:lineRule="auto"/>
            </w:pPr>
            <w:r>
              <w:t>Outer Regional</w:t>
            </w:r>
          </w:p>
        </w:tc>
        <w:tc>
          <w:tcPr>
            <w:tcW w:w="5670" w:type="dxa"/>
            <w:vMerge w:val="restart"/>
          </w:tcPr>
          <w:p w:rsidR="00856083" w:rsidRDefault="00856083" w:rsidP="00496AF5">
            <w:pPr>
              <w:spacing w:line="240" w:lineRule="auto"/>
            </w:pPr>
            <w:r>
              <w:t xml:space="preserve">Located within Bowling Green National Park, no gates or fee to enter. Carpark, BBQ facilities, covered tables for eating, public toilet block, boardwalk area, </w:t>
            </w:r>
            <w:proofErr w:type="gramStart"/>
            <w:r>
              <w:t>beach</w:t>
            </w:r>
            <w:proofErr w:type="gramEnd"/>
            <w:r>
              <w:t xml:space="preserve"> entry. One camping area with facilities and three camping areas without facilities. There is safety signage warning of previous death and injury at the site &amp; disallowing glass.</w:t>
            </w:r>
          </w:p>
        </w:tc>
        <w:tc>
          <w:tcPr>
            <w:tcW w:w="2552" w:type="dxa"/>
          </w:tcPr>
          <w:p w:rsidR="00856083" w:rsidRDefault="00856083" w:rsidP="00496AF5">
            <w:pPr>
              <w:spacing w:line="240" w:lineRule="auto"/>
            </w:pPr>
            <w:r>
              <w:t>Friday 12</w:t>
            </w:r>
            <w:r w:rsidRPr="00713040">
              <w:rPr>
                <w:vertAlign w:val="superscript"/>
              </w:rPr>
              <w:t>th</w:t>
            </w:r>
            <w:r>
              <w:t xml:space="preserve"> January</w:t>
            </w:r>
          </w:p>
        </w:tc>
        <w:tc>
          <w:tcPr>
            <w:tcW w:w="1985" w:type="dxa"/>
          </w:tcPr>
          <w:p w:rsidR="00856083" w:rsidRDefault="00856083" w:rsidP="00496AF5">
            <w:pPr>
              <w:spacing w:line="240" w:lineRule="auto"/>
            </w:pPr>
            <w:r>
              <w:t>31.7</w:t>
            </w:r>
          </w:p>
        </w:tc>
        <w:tc>
          <w:tcPr>
            <w:tcW w:w="1417" w:type="dxa"/>
          </w:tcPr>
          <w:p w:rsidR="00856083" w:rsidRDefault="00856083" w:rsidP="00496AF5">
            <w:pPr>
              <w:spacing w:line="240" w:lineRule="auto"/>
            </w:pPr>
            <w:r>
              <w:t>0</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Saturday 13</w:t>
            </w:r>
            <w:r w:rsidRPr="00713040">
              <w:rPr>
                <w:vertAlign w:val="superscript"/>
              </w:rPr>
              <w:t>th</w:t>
            </w:r>
            <w:r>
              <w:t xml:space="preserve"> January</w:t>
            </w:r>
          </w:p>
        </w:tc>
        <w:tc>
          <w:tcPr>
            <w:tcW w:w="1985" w:type="dxa"/>
          </w:tcPr>
          <w:p w:rsidR="00856083" w:rsidRDefault="00856083" w:rsidP="00496AF5">
            <w:pPr>
              <w:spacing w:line="240" w:lineRule="auto"/>
            </w:pPr>
            <w:r>
              <w:t>31.5</w:t>
            </w:r>
          </w:p>
        </w:tc>
        <w:tc>
          <w:tcPr>
            <w:tcW w:w="1417" w:type="dxa"/>
          </w:tcPr>
          <w:p w:rsidR="00856083" w:rsidRDefault="00856083" w:rsidP="00496AF5">
            <w:pPr>
              <w:spacing w:line="240" w:lineRule="auto"/>
            </w:pPr>
            <w:r>
              <w:t>0</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Sunday 14</w:t>
            </w:r>
            <w:r w:rsidRPr="00713040">
              <w:rPr>
                <w:vertAlign w:val="superscript"/>
              </w:rPr>
              <w:t>th</w:t>
            </w:r>
            <w:r>
              <w:t xml:space="preserve"> January</w:t>
            </w:r>
          </w:p>
        </w:tc>
        <w:tc>
          <w:tcPr>
            <w:tcW w:w="1985" w:type="dxa"/>
          </w:tcPr>
          <w:p w:rsidR="00856083" w:rsidRDefault="00856083" w:rsidP="00496AF5">
            <w:pPr>
              <w:spacing w:line="240" w:lineRule="auto"/>
            </w:pPr>
            <w:r>
              <w:t>33.5</w:t>
            </w:r>
          </w:p>
        </w:tc>
        <w:tc>
          <w:tcPr>
            <w:tcW w:w="1417" w:type="dxa"/>
          </w:tcPr>
          <w:p w:rsidR="00856083" w:rsidRDefault="00856083" w:rsidP="00496AF5">
            <w:pPr>
              <w:spacing w:line="240" w:lineRule="auto"/>
            </w:pPr>
            <w:r>
              <w:t>0.2</w:t>
            </w:r>
          </w:p>
        </w:tc>
      </w:tr>
      <w:tr w:rsidR="00856083" w:rsidTr="00496AF5">
        <w:tc>
          <w:tcPr>
            <w:tcW w:w="2122" w:type="dxa"/>
            <w:vMerge w:val="restart"/>
          </w:tcPr>
          <w:p w:rsidR="00856083" w:rsidRDefault="00856083" w:rsidP="00496AF5">
            <w:pPr>
              <w:spacing w:line="240" w:lineRule="auto"/>
            </w:pPr>
            <w:r>
              <w:t>Murrumbidgee River, Wagga Wagga, New South Wales</w:t>
            </w:r>
          </w:p>
        </w:tc>
        <w:tc>
          <w:tcPr>
            <w:tcW w:w="1417" w:type="dxa"/>
            <w:vMerge w:val="restart"/>
          </w:tcPr>
          <w:p w:rsidR="00856083" w:rsidRDefault="00856083" w:rsidP="00496AF5">
            <w:pPr>
              <w:spacing w:line="240" w:lineRule="auto"/>
            </w:pPr>
            <w:r>
              <w:t>Inner Regional</w:t>
            </w:r>
          </w:p>
        </w:tc>
        <w:tc>
          <w:tcPr>
            <w:tcW w:w="5670" w:type="dxa"/>
            <w:vMerge w:val="restart"/>
          </w:tcPr>
          <w:p w:rsidR="00856083" w:rsidRDefault="00856083" w:rsidP="00496AF5">
            <w:pPr>
              <w:spacing w:line="240" w:lineRule="auto"/>
            </w:pPr>
            <w:r>
              <w:t xml:space="preserve">Carpark, BBQ facilities, covered tables for eating, public toilets and a child’s playground. A canoe club is located at the site. There is a grassed area with trees and a sandy beach entry to the river. Walkway past the beach entry and down further along the river. Safety signage was present warning of submerged objects, strong currents and deep water. </w:t>
            </w:r>
          </w:p>
        </w:tc>
        <w:tc>
          <w:tcPr>
            <w:tcW w:w="2552" w:type="dxa"/>
          </w:tcPr>
          <w:p w:rsidR="00856083" w:rsidRDefault="00856083" w:rsidP="00496AF5">
            <w:pPr>
              <w:spacing w:line="240" w:lineRule="auto"/>
            </w:pPr>
            <w:r>
              <w:t>Friday 19</w:t>
            </w:r>
            <w:r w:rsidRPr="00843D37">
              <w:rPr>
                <w:vertAlign w:val="superscript"/>
              </w:rPr>
              <w:t>th</w:t>
            </w:r>
            <w:r>
              <w:t xml:space="preserve"> January</w:t>
            </w:r>
          </w:p>
        </w:tc>
        <w:tc>
          <w:tcPr>
            <w:tcW w:w="1985" w:type="dxa"/>
          </w:tcPr>
          <w:p w:rsidR="00856083" w:rsidRDefault="00856083" w:rsidP="00496AF5">
            <w:pPr>
              <w:spacing w:line="240" w:lineRule="auto"/>
            </w:pPr>
            <w:r>
              <w:t xml:space="preserve">39.8 </w:t>
            </w:r>
          </w:p>
        </w:tc>
        <w:tc>
          <w:tcPr>
            <w:tcW w:w="1417" w:type="dxa"/>
          </w:tcPr>
          <w:p w:rsidR="00856083" w:rsidRDefault="00856083" w:rsidP="00496AF5">
            <w:pPr>
              <w:spacing w:line="240" w:lineRule="auto"/>
            </w:pPr>
            <w:r>
              <w:t>0</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Saturday 20</w:t>
            </w:r>
            <w:r w:rsidRPr="00843D37">
              <w:rPr>
                <w:vertAlign w:val="superscript"/>
              </w:rPr>
              <w:t>th</w:t>
            </w:r>
            <w:r>
              <w:t xml:space="preserve"> January</w:t>
            </w:r>
          </w:p>
        </w:tc>
        <w:tc>
          <w:tcPr>
            <w:tcW w:w="1985" w:type="dxa"/>
          </w:tcPr>
          <w:p w:rsidR="00856083" w:rsidRDefault="00856083" w:rsidP="00496AF5">
            <w:pPr>
              <w:spacing w:line="240" w:lineRule="auto"/>
            </w:pPr>
            <w:r>
              <w:t>41.5</w:t>
            </w:r>
          </w:p>
        </w:tc>
        <w:tc>
          <w:tcPr>
            <w:tcW w:w="1417" w:type="dxa"/>
          </w:tcPr>
          <w:p w:rsidR="00856083" w:rsidRDefault="00856083" w:rsidP="00496AF5">
            <w:pPr>
              <w:spacing w:line="240" w:lineRule="auto"/>
            </w:pPr>
            <w:r>
              <w:t>0</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Sunday 21</w:t>
            </w:r>
            <w:r w:rsidRPr="00843D37">
              <w:rPr>
                <w:vertAlign w:val="superscript"/>
              </w:rPr>
              <w:t>st</w:t>
            </w:r>
            <w:r>
              <w:t xml:space="preserve"> January</w:t>
            </w:r>
          </w:p>
        </w:tc>
        <w:tc>
          <w:tcPr>
            <w:tcW w:w="1985" w:type="dxa"/>
          </w:tcPr>
          <w:p w:rsidR="00856083" w:rsidRDefault="00856083" w:rsidP="00496AF5">
            <w:pPr>
              <w:spacing w:line="240" w:lineRule="auto"/>
            </w:pPr>
            <w:r>
              <w:t>42.1</w:t>
            </w:r>
          </w:p>
        </w:tc>
        <w:tc>
          <w:tcPr>
            <w:tcW w:w="1417" w:type="dxa"/>
          </w:tcPr>
          <w:p w:rsidR="00856083" w:rsidRDefault="00856083" w:rsidP="00496AF5">
            <w:pPr>
              <w:spacing w:line="240" w:lineRule="auto"/>
            </w:pPr>
            <w:r>
              <w:t>0</w:t>
            </w:r>
          </w:p>
        </w:tc>
      </w:tr>
      <w:tr w:rsidR="00856083" w:rsidTr="00496AF5">
        <w:tc>
          <w:tcPr>
            <w:tcW w:w="2122" w:type="dxa"/>
            <w:vMerge w:val="restart"/>
          </w:tcPr>
          <w:p w:rsidR="00856083" w:rsidRDefault="00856083" w:rsidP="00496AF5">
            <w:pPr>
              <w:spacing w:line="240" w:lineRule="auto"/>
            </w:pPr>
            <w:r>
              <w:t>Murray River, Albury, New South Wales</w:t>
            </w:r>
          </w:p>
        </w:tc>
        <w:tc>
          <w:tcPr>
            <w:tcW w:w="1417" w:type="dxa"/>
            <w:vMerge w:val="restart"/>
          </w:tcPr>
          <w:p w:rsidR="00856083" w:rsidRDefault="00856083" w:rsidP="00496AF5">
            <w:pPr>
              <w:spacing w:line="240" w:lineRule="auto"/>
            </w:pPr>
            <w:r>
              <w:t>Inner Regional</w:t>
            </w:r>
          </w:p>
        </w:tc>
        <w:tc>
          <w:tcPr>
            <w:tcW w:w="5670" w:type="dxa"/>
            <w:vMerge w:val="restart"/>
          </w:tcPr>
          <w:p w:rsidR="00856083" w:rsidRDefault="00856083" w:rsidP="00496AF5">
            <w:pPr>
              <w:spacing w:line="240" w:lineRule="auto"/>
            </w:pPr>
            <w:r>
              <w:t xml:space="preserve">Carpark, large public reserve, child’s playground, BBQ facilities, picnic tables, public toilets, </w:t>
            </w:r>
            <w:proofErr w:type="gramStart"/>
            <w:r>
              <w:t>public</w:t>
            </w:r>
            <w:proofErr w:type="gramEnd"/>
            <w:r>
              <w:t xml:space="preserve"> café (licensed – except for Australia Day). The river bank is grassed with concrete stairs and ramps to enter the river at certain points. There is safety signage warning about strong currents. The site was a designated ‘alcohol free zone’ on Australia Day. </w:t>
            </w:r>
          </w:p>
        </w:tc>
        <w:tc>
          <w:tcPr>
            <w:tcW w:w="2552" w:type="dxa"/>
          </w:tcPr>
          <w:p w:rsidR="00856083" w:rsidRDefault="00856083" w:rsidP="00496AF5">
            <w:pPr>
              <w:spacing w:line="240" w:lineRule="auto"/>
            </w:pPr>
            <w:r>
              <w:t>Monday 22</w:t>
            </w:r>
            <w:r w:rsidRPr="00CE2412">
              <w:rPr>
                <w:vertAlign w:val="superscript"/>
              </w:rPr>
              <w:t>nd</w:t>
            </w:r>
            <w:r>
              <w:t xml:space="preserve"> January </w:t>
            </w:r>
          </w:p>
        </w:tc>
        <w:tc>
          <w:tcPr>
            <w:tcW w:w="1985" w:type="dxa"/>
          </w:tcPr>
          <w:p w:rsidR="00856083" w:rsidRDefault="00856083" w:rsidP="00496AF5">
            <w:pPr>
              <w:spacing w:line="240" w:lineRule="auto"/>
            </w:pPr>
            <w:r>
              <w:t>38.2</w:t>
            </w:r>
          </w:p>
        </w:tc>
        <w:tc>
          <w:tcPr>
            <w:tcW w:w="1417" w:type="dxa"/>
          </w:tcPr>
          <w:p w:rsidR="00856083" w:rsidRDefault="00856083" w:rsidP="00496AF5">
            <w:pPr>
              <w:spacing w:line="240" w:lineRule="auto"/>
            </w:pPr>
            <w:r>
              <w:t>1.2</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Tuesday 23</w:t>
            </w:r>
            <w:r w:rsidRPr="00CE2412">
              <w:rPr>
                <w:vertAlign w:val="superscript"/>
              </w:rPr>
              <w:t>rd</w:t>
            </w:r>
            <w:r>
              <w:t xml:space="preserve"> January</w:t>
            </w:r>
          </w:p>
        </w:tc>
        <w:tc>
          <w:tcPr>
            <w:tcW w:w="1985" w:type="dxa"/>
          </w:tcPr>
          <w:p w:rsidR="00856083" w:rsidRDefault="00856083" w:rsidP="00496AF5">
            <w:pPr>
              <w:spacing w:line="240" w:lineRule="auto"/>
            </w:pPr>
            <w:r>
              <w:t>41.5</w:t>
            </w:r>
          </w:p>
        </w:tc>
        <w:tc>
          <w:tcPr>
            <w:tcW w:w="1417" w:type="dxa"/>
          </w:tcPr>
          <w:p w:rsidR="00856083" w:rsidRDefault="00856083" w:rsidP="00496AF5">
            <w:pPr>
              <w:spacing w:line="240" w:lineRule="auto"/>
            </w:pPr>
            <w:r>
              <w:t>0</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Wednesday 24</w:t>
            </w:r>
            <w:r w:rsidRPr="00CE2412">
              <w:rPr>
                <w:vertAlign w:val="superscript"/>
              </w:rPr>
              <w:t>th</w:t>
            </w:r>
            <w:r>
              <w:t xml:space="preserve"> January</w:t>
            </w:r>
          </w:p>
        </w:tc>
        <w:tc>
          <w:tcPr>
            <w:tcW w:w="1985" w:type="dxa"/>
          </w:tcPr>
          <w:p w:rsidR="00856083" w:rsidRDefault="00856083" w:rsidP="00496AF5">
            <w:pPr>
              <w:spacing w:line="240" w:lineRule="auto"/>
            </w:pPr>
            <w:r>
              <w:t>33.5</w:t>
            </w:r>
          </w:p>
        </w:tc>
        <w:tc>
          <w:tcPr>
            <w:tcW w:w="1417" w:type="dxa"/>
          </w:tcPr>
          <w:p w:rsidR="00856083" w:rsidRDefault="00856083" w:rsidP="00496AF5">
            <w:pPr>
              <w:spacing w:line="240" w:lineRule="auto"/>
            </w:pPr>
            <w:r>
              <w:t>1.8</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Thursday 25</w:t>
            </w:r>
            <w:r w:rsidRPr="00CE2412">
              <w:rPr>
                <w:vertAlign w:val="superscript"/>
              </w:rPr>
              <w:t>th</w:t>
            </w:r>
            <w:r>
              <w:t xml:space="preserve"> January</w:t>
            </w:r>
          </w:p>
        </w:tc>
        <w:tc>
          <w:tcPr>
            <w:tcW w:w="1985" w:type="dxa"/>
          </w:tcPr>
          <w:p w:rsidR="00856083" w:rsidRDefault="00856083" w:rsidP="00496AF5">
            <w:pPr>
              <w:spacing w:line="240" w:lineRule="auto"/>
            </w:pPr>
            <w:r>
              <w:t>35.8</w:t>
            </w:r>
          </w:p>
        </w:tc>
        <w:tc>
          <w:tcPr>
            <w:tcW w:w="1417" w:type="dxa"/>
          </w:tcPr>
          <w:p w:rsidR="00856083" w:rsidRDefault="00856083" w:rsidP="00496AF5">
            <w:pPr>
              <w:spacing w:line="240" w:lineRule="auto"/>
            </w:pPr>
            <w:r>
              <w:t>0</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Friday 26</w:t>
            </w:r>
            <w:r w:rsidRPr="00CE2412">
              <w:rPr>
                <w:vertAlign w:val="superscript"/>
              </w:rPr>
              <w:t>th</w:t>
            </w:r>
            <w:r>
              <w:t xml:space="preserve"> January (Australia Day Public Holiday)</w:t>
            </w:r>
          </w:p>
        </w:tc>
        <w:tc>
          <w:tcPr>
            <w:tcW w:w="1985" w:type="dxa"/>
          </w:tcPr>
          <w:p w:rsidR="00856083" w:rsidRDefault="00856083" w:rsidP="00496AF5">
            <w:pPr>
              <w:spacing w:line="240" w:lineRule="auto"/>
            </w:pPr>
            <w:r>
              <w:t>37.3</w:t>
            </w:r>
          </w:p>
        </w:tc>
        <w:tc>
          <w:tcPr>
            <w:tcW w:w="1417" w:type="dxa"/>
          </w:tcPr>
          <w:p w:rsidR="00856083" w:rsidRDefault="00856083" w:rsidP="00496AF5">
            <w:pPr>
              <w:spacing w:line="240" w:lineRule="auto"/>
            </w:pPr>
            <w:r>
              <w:t>0.6</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Saturday 27</w:t>
            </w:r>
            <w:r w:rsidRPr="00CE2412">
              <w:rPr>
                <w:vertAlign w:val="superscript"/>
              </w:rPr>
              <w:t>th</w:t>
            </w:r>
            <w:r>
              <w:t xml:space="preserve"> January</w:t>
            </w:r>
          </w:p>
        </w:tc>
        <w:tc>
          <w:tcPr>
            <w:tcW w:w="1985" w:type="dxa"/>
          </w:tcPr>
          <w:p w:rsidR="00856083" w:rsidRDefault="00856083" w:rsidP="00496AF5">
            <w:pPr>
              <w:spacing w:line="240" w:lineRule="auto"/>
            </w:pPr>
            <w:r>
              <w:t>34.2</w:t>
            </w:r>
          </w:p>
        </w:tc>
        <w:tc>
          <w:tcPr>
            <w:tcW w:w="1417" w:type="dxa"/>
          </w:tcPr>
          <w:p w:rsidR="00856083" w:rsidRDefault="00856083" w:rsidP="00496AF5">
            <w:pPr>
              <w:spacing w:line="240" w:lineRule="auto"/>
            </w:pPr>
            <w:r>
              <w:t>3.4</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Sunday 28</w:t>
            </w:r>
            <w:r w:rsidRPr="00CE2412">
              <w:rPr>
                <w:vertAlign w:val="superscript"/>
              </w:rPr>
              <w:t>th</w:t>
            </w:r>
            <w:r>
              <w:t xml:space="preserve"> January </w:t>
            </w:r>
          </w:p>
        </w:tc>
        <w:tc>
          <w:tcPr>
            <w:tcW w:w="1985" w:type="dxa"/>
          </w:tcPr>
          <w:p w:rsidR="00856083" w:rsidRDefault="00856083" w:rsidP="00496AF5">
            <w:pPr>
              <w:spacing w:line="240" w:lineRule="auto"/>
            </w:pPr>
            <w:r>
              <w:t>36.8</w:t>
            </w:r>
          </w:p>
        </w:tc>
        <w:tc>
          <w:tcPr>
            <w:tcW w:w="1417" w:type="dxa"/>
          </w:tcPr>
          <w:p w:rsidR="00856083" w:rsidRDefault="00856083" w:rsidP="00496AF5">
            <w:pPr>
              <w:spacing w:line="240" w:lineRule="auto"/>
            </w:pPr>
            <w:r>
              <w:t>0</w:t>
            </w:r>
          </w:p>
        </w:tc>
      </w:tr>
      <w:tr w:rsidR="00856083" w:rsidTr="00496AF5">
        <w:tc>
          <w:tcPr>
            <w:tcW w:w="2122" w:type="dxa"/>
            <w:vMerge w:val="restart"/>
          </w:tcPr>
          <w:p w:rsidR="00856083" w:rsidRDefault="00856083" w:rsidP="00496AF5">
            <w:pPr>
              <w:spacing w:line="240" w:lineRule="auto"/>
            </w:pPr>
            <w:r>
              <w:t>Hawkesbury River, Windsor, New South Wales</w:t>
            </w:r>
          </w:p>
        </w:tc>
        <w:tc>
          <w:tcPr>
            <w:tcW w:w="1417" w:type="dxa"/>
            <w:vMerge w:val="restart"/>
          </w:tcPr>
          <w:p w:rsidR="00856083" w:rsidRDefault="00856083" w:rsidP="00496AF5">
            <w:pPr>
              <w:spacing w:line="240" w:lineRule="auto"/>
            </w:pPr>
            <w:r>
              <w:t>Major Cities</w:t>
            </w:r>
          </w:p>
        </w:tc>
        <w:tc>
          <w:tcPr>
            <w:tcW w:w="5670" w:type="dxa"/>
            <w:vMerge w:val="restart"/>
          </w:tcPr>
          <w:p w:rsidR="00856083" w:rsidRDefault="00856083" w:rsidP="00496AF5">
            <w:pPr>
              <w:spacing w:line="240" w:lineRule="auto"/>
            </w:pPr>
            <w:r>
              <w:t xml:space="preserve">Carpark, large public reserve, public toilets, a boat ramp and a boardwalk area adjacent to the boat ramp at the </w:t>
            </w:r>
            <w:proofErr w:type="spellStart"/>
            <w:r>
              <w:t>rivers</w:t>
            </w:r>
            <w:proofErr w:type="spellEnd"/>
            <w:r>
              <w:t xml:space="preserve"> edge. The boat ramp featured safety signage regarding paddle craft, shallow water, wearing a lifejacket and alcohol. </w:t>
            </w:r>
          </w:p>
        </w:tc>
        <w:tc>
          <w:tcPr>
            <w:tcW w:w="2552" w:type="dxa"/>
          </w:tcPr>
          <w:p w:rsidR="00856083" w:rsidRDefault="00856083" w:rsidP="00496AF5">
            <w:pPr>
              <w:spacing w:line="240" w:lineRule="auto"/>
            </w:pPr>
            <w:r>
              <w:t>Friday 2</w:t>
            </w:r>
            <w:r w:rsidRPr="00AD1711">
              <w:rPr>
                <w:vertAlign w:val="superscript"/>
              </w:rPr>
              <w:t>nd</w:t>
            </w:r>
            <w:r>
              <w:t xml:space="preserve"> February</w:t>
            </w:r>
          </w:p>
        </w:tc>
        <w:tc>
          <w:tcPr>
            <w:tcW w:w="1985" w:type="dxa"/>
          </w:tcPr>
          <w:p w:rsidR="00856083" w:rsidRDefault="00856083" w:rsidP="00496AF5">
            <w:pPr>
              <w:spacing w:line="240" w:lineRule="auto"/>
            </w:pPr>
            <w:r>
              <w:t>24.7</w:t>
            </w:r>
          </w:p>
        </w:tc>
        <w:tc>
          <w:tcPr>
            <w:tcW w:w="1417" w:type="dxa"/>
          </w:tcPr>
          <w:p w:rsidR="00856083" w:rsidRDefault="00856083" w:rsidP="00496AF5">
            <w:pPr>
              <w:spacing w:line="240" w:lineRule="auto"/>
            </w:pPr>
            <w:r>
              <w:t>0.8</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Saturday 3</w:t>
            </w:r>
            <w:r w:rsidRPr="00AD1711">
              <w:rPr>
                <w:vertAlign w:val="superscript"/>
              </w:rPr>
              <w:t>rd</w:t>
            </w:r>
            <w:r>
              <w:t xml:space="preserve"> February</w:t>
            </w:r>
          </w:p>
        </w:tc>
        <w:tc>
          <w:tcPr>
            <w:tcW w:w="1985" w:type="dxa"/>
          </w:tcPr>
          <w:p w:rsidR="00856083" w:rsidRDefault="00856083" w:rsidP="00496AF5">
            <w:pPr>
              <w:spacing w:line="240" w:lineRule="auto"/>
            </w:pPr>
            <w:r>
              <w:t>26.8</w:t>
            </w:r>
          </w:p>
        </w:tc>
        <w:tc>
          <w:tcPr>
            <w:tcW w:w="1417" w:type="dxa"/>
          </w:tcPr>
          <w:p w:rsidR="00856083" w:rsidRDefault="00856083" w:rsidP="00496AF5">
            <w:pPr>
              <w:spacing w:line="240" w:lineRule="auto"/>
            </w:pPr>
            <w:r>
              <w:t>3.2</w:t>
            </w:r>
          </w:p>
        </w:tc>
      </w:tr>
      <w:tr w:rsidR="00856083" w:rsidTr="00496AF5">
        <w:tc>
          <w:tcPr>
            <w:tcW w:w="2122" w:type="dxa"/>
            <w:vMerge/>
          </w:tcPr>
          <w:p w:rsidR="00856083" w:rsidRDefault="00856083" w:rsidP="00496AF5">
            <w:pPr>
              <w:spacing w:line="240" w:lineRule="auto"/>
            </w:pPr>
          </w:p>
        </w:tc>
        <w:tc>
          <w:tcPr>
            <w:tcW w:w="1417" w:type="dxa"/>
            <w:vMerge/>
          </w:tcPr>
          <w:p w:rsidR="00856083" w:rsidRDefault="00856083" w:rsidP="00496AF5">
            <w:pPr>
              <w:spacing w:line="240" w:lineRule="auto"/>
            </w:pPr>
          </w:p>
        </w:tc>
        <w:tc>
          <w:tcPr>
            <w:tcW w:w="5670" w:type="dxa"/>
            <w:vMerge/>
          </w:tcPr>
          <w:p w:rsidR="00856083" w:rsidRDefault="00856083" w:rsidP="00496AF5">
            <w:pPr>
              <w:spacing w:line="240" w:lineRule="auto"/>
            </w:pPr>
          </w:p>
        </w:tc>
        <w:tc>
          <w:tcPr>
            <w:tcW w:w="2552" w:type="dxa"/>
          </w:tcPr>
          <w:p w:rsidR="00856083" w:rsidRDefault="00856083" w:rsidP="00496AF5">
            <w:pPr>
              <w:spacing w:line="240" w:lineRule="auto"/>
            </w:pPr>
            <w:r>
              <w:t>Sunday 4</w:t>
            </w:r>
            <w:r w:rsidRPr="00AD1711">
              <w:rPr>
                <w:vertAlign w:val="superscript"/>
              </w:rPr>
              <w:t>th</w:t>
            </w:r>
            <w:r>
              <w:t xml:space="preserve"> February</w:t>
            </w:r>
          </w:p>
        </w:tc>
        <w:tc>
          <w:tcPr>
            <w:tcW w:w="1985" w:type="dxa"/>
          </w:tcPr>
          <w:p w:rsidR="00856083" w:rsidRDefault="00856083" w:rsidP="00496AF5">
            <w:pPr>
              <w:spacing w:line="240" w:lineRule="auto"/>
            </w:pPr>
            <w:r>
              <w:t>28.6</w:t>
            </w:r>
          </w:p>
        </w:tc>
        <w:tc>
          <w:tcPr>
            <w:tcW w:w="1417" w:type="dxa"/>
          </w:tcPr>
          <w:p w:rsidR="00856083" w:rsidRDefault="00856083" w:rsidP="00496AF5">
            <w:pPr>
              <w:spacing w:line="240" w:lineRule="auto"/>
            </w:pPr>
            <w:r>
              <w:t>4.0</w:t>
            </w:r>
          </w:p>
        </w:tc>
      </w:tr>
    </w:tbl>
    <w:p w:rsidR="00856083" w:rsidRDefault="00856083" w:rsidP="00856083">
      <w:pPr>
        <w:spacing w:line="480" w:lineRule="auto"/>
      </w:pPr>
      <w:r>
        <w:t># = Weather data sourced from climate data online from the Bureau of Meteorology (</w:t>
      </w:r>
      <w:hyperlink r:id="rId5" w:history="1">
        <w:r w:rsidRPr="006F32CF">
          <w:rPr>
            <w:rStyle w:val="Hyperlink"/>
          </w:rPr>
          <w:t>http://www.bom.gov.au/climate/data/index.shtml?bookmark=136</w:t>
        </w:r>
      </w:hyperlink>
      <w:r>
        <w:t xml:space="preserve">) Access Date 20-03-2018]. </w:t>
      </w:r>
    </w:p>
    <w:p w:rsidR="00CE267B" w:rsidRDefault="00CE267B"/>
    <w:sectPr w:rsidR="00CE267B" w:rsidSect="008560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Peden">
    <w15:presenceInfo w15:providerId="AD" w15:userId="S-1-5-21-3020614828-3813769039-1590667912-1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83"/>
    <w:rsid w:val="002058F6"/>
    <w:rsid w:val="00576429"/>
    <w:rsid w:val="00856083"/>
    <w:rsid w:val="00CE267B"/>
    <w:rsid w:val="00E26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6083"/>
    <w:rPr>
      <w:color w:val="0563C1" w:themeColor="hyperlink"/>
      <w:u w:val="single"/>
    </w:rPr>
  </w:style>
  <w:style w:type="paragraph" w:styleId="BalloonText">
    <w:name w:val="Balloon Text"/>
    <w:basedOn w:val="Normal"/>
    <w:link w:val="BalloonTextChar"/>
    <w:uiPriority w:val="99"/>
    <w:semiHidden/>
    <w:unhideWhenUsed/>
    <w:rsid w:val="0057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6083"/>
    <w:rPr>
      <w:color w:val="0563C1" w:themeColor="hyperlink"/>
      <w:u w:val="single"/>
    </w:rPr>
  </w:style>
  <w:style w:type="paragraph" w:styleId="BalloonText">
    <w:name w:val="Balloon Text"/>
    <w:basedOn w:val="Normal"/>
    <w:link w:val="BalloonTextChar"/>
    <w:uiPriority w:val="99"/>
    <w:semiHidden/>
    <w:unhideWhenUsed/>
    <w:rsid w:val="0057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m.gov.au/climate/data/index.shtml?bookmark=1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Company>Microsoft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Peden</dc:creator>
  <cp:keywords/>
  <dc:description/>
  <cp:lastModifiedBy>Calumpang, Mario Jade</cp:lastModifiedBy>
  <cp:revision>4</cp:revision>
  <dcterms:created xsi:type="dcterms:W3CDTF">2018-10-23T02:45:00Z</dcterms:created>
  <dcterms:modified xsi:type="dcterms:W3CDTF">2018-12-14T08:28:00Z</dcterms:modified>
</cp:coreProperties>
</file>