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2278" w:rsidRDefault="00AD1E82" w:rsidP="00702278">
      <w:pPr>
        <w:pStyle w:val="Heading1"/>
      </w:pPr>
      <w:r w:rsidRPr="008802FF">
        <w:t xml:space="preserve">Supplemental Methodology </w:t>
      </w:r>
    </w:p>
    <w:p w:rsidR="00AD1E82" w:rsidRPr="008802FF" w:rsidRDefault="0071384F" w:rsidP="00AD1E82">
      <w:pPr>
        <w:rPr>
          <w:b/>
        </w:rPr>
      </w:pPr>
      <w:r w:rsidRPr="0071384F">
        <w:t>Cost-effectiveness of vaccination of immunocompetent older adults against herpes zoster in the Netherlands: A comparison between the adjuvanted subunit and live-attenuated vaccine</w:t>
      </w:r>
    </w:p>
    <w:p w:rsidR="00702278" w:rsidRDefault="00702278">
      <w:pPr>
        <w:spacing w:after="200" w:line="276" w:lineRule="auto"/>
        <w:rPr>
          <w:rFonts w:ascii="Arial" w:hAnsi="Arial" w:cs="Arial"/>
          <w:b/>
          <w:bCs/>
          <w:sz w:val="22"/>
          <w:szCs w:val="28"/>
        </w:rPr>
      </w:pPr>
      <w:r>
        <w:br w:type="page"/>
      </w:r>
    </w:p>
    <w:p w:rsidR="00AD1E82" w:rsidRPr="008802FF" w:rsidRDefault="00AD1E82" w:rsidP="00AD1E82">
      <w:pPr>
        <w:pStyle w:val="Heading2"/>
      </w:pPr>
      <w:r w:rsidRPr="008802FF">
        <w:lastRenderedPageBreak/>
        <w:t>Health economic decision model</w:t>
      </w:r>
    </w:p>
    <w:p w:rsidR="00AD1E82" w:rsidRPr="008802FF" w:rsidRDefault="00B06E91" w:rsidP="00AD1E82">
      <w:pPr>
        <w:keepNext/>
      </w:pPr>
      <w:r>
        <w:rPr>
          <w:noProof/>
          <w:lang w:val="en-US"/>
        </w:rPr>
        <w:drawing>
          <wp:inline distT="0" distB="0" distL="0" distR="0">
            <wp:extent cx="5943600" cy="3152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rsidR="00AD1E82" w:rsidRPr="00B06E91" w:rsidRDefault="00AD1E82" w:rsidP="00B06E91">
      <w:pPr>
        <w:pStyle w:val="Caption"/>
        <w:rPr>
          <w:b w:val="0"/>
          <w:color w:val="auto"/>
          <w:sz w:val="24"/>
        </w:rPr>
      </w:pPr>
      <w:bookmarkStart w:id="0" w:name="_Ref508610102"/>
      <w:r w:rsidRPr="00C92BB0">
        <w:rPr>
          <w:b w:val="0"/>
          <w:color w:val="auto"/>
          <w:sz w:val="24"/>
        </w:rPr>
        <w:t>Figure S</w:t>
      </w:r>
      <w:r w:rsidR="00864629">
        <w:rPr>
          <w:b w:val="0"/>
          <w:noProof/>
          <w:color w:val="auto"/>
          <w:sz w:val="24"/>
        </w:rPr>
        <w:t>1</w:t>
      </w:r>
      <w:bookmarkEnd w:id="0"/>
      <w:r w:rsidRPr="00C92BB0">
        <w:rPr>
          <w:b w:val="0"/>
          <w:color w:val="auto"/>
          <w:sz w:val="24"/>
        </w:rPr>
        <w:t xml:space="preserve">: Markov-tree. HZ: Herpes zoster, HZ/su: Herpes zoster subunit vaccine, M: Markov, </w:t>
      </w:r>
      <w:r>
        <w:rPr>
          <w:b w:val="0"/>
          <w:color w:val="auto"/>
          <w:sz w:val="24"/>
        </w:rPr>
        <w:t xml:space="preserve">y: years, </w:t>
      </w:r>
      <w:r w:rsidRPr="00C92BB0">
        <w:rPr>
          <w:b w:val="0"/>
          <w:color w:val="auto"/>
          <w:sz w:val="24"/>
        </w:rPr>
        <w:t>ZVL: Zoster vaccine live</w:t>
      </w:r>
      <w:r w:rsidRPr="008802FF">
        <w:br w:type="page"/>
      </w:r>
    </w:p>
    <w:p w:rsidR="00AD1E82" w:rsidRPr="008802FF" w:rsidRDefault="00AD1E82" w:rsidP="00AD1E82">
      <w:pPr>
        <w:pStyle w:val="Heading2"/>
      </w:pPr>
      <w:r w:rsidRPr="008802FF">
        <w:lastRenderedPageBreak/>
        <w:t>QALY-losses</w:t>
      </w:r>
    </w:p>
    <w:p w:rsidR="00AD1E82" w:rsidRPr="008802FF" w:rsidRDefault="00AD1E82" w:rsidP="00AD1E82">
      <w:r w:rsidRPr="008802FF">
        <w:t>QALY losses were estimated using a Dutch observational study</w:t>
      </w:r>
      <w:r>
        <w:t xml:space="preserve"> by Van </w:t>
      </w:r>
      <w:proofErr w:type="spellStart"/>
      <w:r>
        <w:t>Wijck</w:t>
      </w:r>
      <w:proofErr w:type="spellEnd"/>
      <w:r>
        <w:t xml:space="preserve"> et al</w:t>
      </w:r>
      <w:proofErr w:type="gramStart"/>
      <w:r>
        <w:t>.</w:t>
      </w:r>
      <w:r w:rsidR="0075366F">
        <w:rPr>
          <w:noProof/>
        </w:rPr>
        <w:t>[</w:t>
      </w:r>
      <w:proofErr w:type="gramEnd"/>
      <w:r w:rsidR="0075366F">
        <w:rPr>
          <w:noProof/>
        </w:rPr>
        <w:t>1]</w:t>
      </w:r>
      <w:r w:rsidRPr="008802FF">
        <w:t xml:space="preserve"> that prospectively followed the pain severity and HR-</w:t>
      </w:r>
      <w:proofErr w:type="spellStart"/>
      <w:r w:rsidRPr="008802FF">
        <w:t>QoL</w:t>
      </w:r>
      <w:proofErr w:type="spellEnd"/>
      <w:r w:rsidRPr="008802FF">
        <w:t xml:space="preserve"> of 661 enrolled patients over a period of 12 months</w:t>
      </w:r>
      <w:r>
        <w:t>.</w:t>
      </w:r>
      <w:r w:rsidRPr="008802FF">
        <w:t xml:space="preserve"> Loss of follow-up during the study was 8.2% at 6 months and 19.5% at 12 months. At time-points of inclusion, and after 2 weeks and 1, 3, 6, 9 and 12 months, HZ patients were asked to fill in a web-based questionnaire including questions on severity of pain using the VAS-score and </w:t>
      </w:r>
      <w:r w:rsidR="00474E40">
        <w:t xml:space="preserve">the </w:t>
      </w:r>
      <w:r w:rsidRPr="008802FF">
        <w:t>HR-</w:t>
      </w:r>
      <w:proofErr w:type="spellStart"/>
      <w:r w:rsidRPr="008802FF">
        <w:t>QoL</w:t>
      </w:r>
      <w:proofErr w:type="spellEnd"/>
      <w:r w:rsidRPr="008802FF">
        <w:t xml:space="preserve">. </w:t>
      </w:r>
      <w:r w:rsidR="007E0192">
        <w:t xml:space="preserve">We categorized the patients </w:t>
      </w:r>
      <w:r w:rsidRPr="008802FF">
        <w:t>into four pain states</w:t>
      </w:r>
      <w:r w:rsidR="007E0192">
        <w:t xml:space="preserve"> based on the </w:t>
      </w:r>
      <w:r w:rsidR="007E0192" w:rsidRPr="008802FF">
        <w:t>10-cm VAS score</w:t>
      </w:r>
      <w:r w:rsidR="007E0192">
        <w:t xml:space="preserve">, which were </w:t>
      </w:r>
      <w:r w:rsidRPr="008802FF">
        <w:t xml:space="preserve">no pain (VAS &lt;0.5cm), mild pain (VAS 0.5-&lt;3cm), moderate pain (VAS 3-&lt;7cm) and severe pain (VAS ≥7cm). The severity of pain over time was modelled </w:t>
      </w:r>
      <w:r w:rsidR="007E0192">
        <w:t xml:space="preserve">separately </w:t>
      </w:r>
      <w:r w:rsidRPr="008802FF">
        <w:t>for the age-groups 50-59</w:t>
      </w:r>
      <w:r w:rsidR="007E0192">
        <w:t xml:space="preserve"> years</w:t>
      </w:r>
      <w:r w:rsidR="00474E40">
        <w:t xml:space="preserve"> and</w:t>
      </w:r>
      <w:r w:rsidRPr="008802FF">
        <w:t xml:space="preserve"> </w:t>
      </w:r>
      <w:r w:rsidR="007E0192">
        <w:t>≥</w:t>
      </w:r>
      <w:r w:rsidRPr="008802FF">
        <w:t xml:space="preserve">60 year. We used this age-stratification because </w:t>
      </w:r>
      <w:r w:rsidR="007E0192">
        <w:t>there was no</w:t>
      </w:r>
      <w:r w:rsidRPr="008802FF">
        <w:t xml:space="preserve"> significant difference </w:t>
      </w:r>
      <w:r>
        <w:t>of the risk of HZ</w:t>
      </w:r>
      <w:r w:rsidRPr="008802FF">
        <w:t xml:space="preserve"> pain over time between</w:t>
      </w:r>
      <w:r w:rsidR="007E0192">
        <w:t xml:space="preserve"> </w:t>
      </w:r>
      <w:r w:rsidRPr="008802FF">
        <w:t>60-</w:t>
      </w:r>
      <w:r w:rsidR="007E0192">
        <w:t xml:space="preserve">to </w:t>
      </w:r>
      <w:r w:rsidRPr="008802FF">
        <w:t>69</w:t>
      </w:r>
      <w:r w:rsidR="007E0192">
        <w:t>-</w:t>
      </w:r>
      <w:r w:rsidRPr="008802FF">
        <w:t xml:space="preserve">year-olds and </w:t>
      </w:r>
      <w:r w:rsidR="007E0192">
        <w:t>≥</w:t>
      </w:r>
      <w:r w:rsidRPr="008802FF">
        <w:t>70</w:t>
      </w:r>
      <w:r w:rsidR="007E0192">
        <w:t>-</w:t>
      </w:r>
      <w:r w:rsidRPr="008802FF">
        <w:t xml:space="preserve">year-olds, </w:t>
      </w:r>
      <w:r w:rsidR="007E0192">
        <w:t xml:space="preserve">while </w:t>
      </w:r>
      <w:r w:rsidRPr="008802FF">
        <w:t xml:space="preserve">a significant difference </w:t>
      </w:r>
      <w:r w:rsidR="007E0192">
        <w:t xml:space="preserve">was found </w:t>
      </w:r>
      <w:r w:rsidRPr="008802FF">
        <w:t>between 50-</w:t>
      </w:r>
      <w:r w:rsidR="007E0192">
        <w:t xml:space="preserve"> to </w:t>
      </w:r>
      <w:r w:rsidRPr="008802FF">
        <w:t>59</w:t>
      </w:r>
      <w:r w:rsidR="007E0192">
        <w:t>-year-olds</w:t>
      </w:r>
      <w:r w:rsidRPr="008802FF">
        <w:t xml:space="preserve"> and </w:t>
      </w:r>
      <w:r w:rsidR="007E0192">
        <w:t>≥</w:t>
      </w:r>
      <w:r w:rsidRPr="008802FF">
        <w:t>60</w:t>
      </w:r>
      <w:r w:rsidR="007E0192">
        <w:t>-</w:t>
      </w:r>
      <w:r w:rsidRPr="008802FF">
        <w:t xml:space="preserve">year-olds. The </w:t>
      </w:r>
      <w:r w:rsidR="007E0192">
        <w:t>division</w:t>
      </w:r>
      <w:r w:rsidRPr="008802FF">
        <w:t xml:space="preserve"> of</w:t>
      </w:r>
      <w:r w:rsidR="007E0192">
        <w:t xml:space="preserve"> HZ patients over the</w:t>
      </w:r>
      <w:r w:rsidRPr="008802FF">
        <w:t xml:space="preserve"> pain </w:t>
      </w:r>
      <w:r w:rsidR="007E0192">
        <w:t>states over time</w:t>
      </w:r>
      <w:r w:rsidRPr="008802FF">
        <w:t xml:space="preserve"> </w:t>
      </w:r>
      <w:r w:rsidR="007E0192">
        <w:t xml:space="preserve">is </w:t>
      </w:r>
      <w:r w:rsidRPr="008802FF">
        <w:t xml:space="preserve">shown in Figure S2. </w:t>
      </w:r>
      <w:r w:rsidR="007E0192">
        <w:t>Over</w:t>
      </w:r>
      <w:r w:rsidRPr="008802FF">
        <w:t xml:space="preserve"> the first three months, the </w:t>
      </w:r>
      <w:r w:rsidR="007E0192">
        <w:t xml:space="preserve">division between the </w:t>
      </w:r>
      <w:r w:rsidRPr="008802FF">
        <w:t xml:space="preserve">pain </w:t>
      </w:r>
      <w:r w:rsidR="007E0192">
        <w:t>states</w:t>
      </w:r>
      <w:r w:rsidRPr="008802FF">
        <w:t xml:space="preserve"> was estimated by interpolation between the time-points (Table S</w:t>
      </w:r>
      <w:r w:rsidRPr="008802FF">
        <w:rPr>
          <w:noProof/>
        </w:rPr>
        <w:t>1</w:t>
      </w:r>
      <w:r w:rsidRPr="008802FF">
        <w:t>).</w:t>
      </w:r>
      <w:r>
        <w:t xml:space="preserve"> </w:t>
      </w:r>
      <w:r w:rsidRPr="008802FF">
        <w:t xml:space="preserve">Patients with moderate or severe pain (i.e. VAS ≥3cm) after three months were </w:t>
      </w:r>
      <w:r w:rsidR="003D57E5">
        <w:t>defined</w:t>
      </w:r>
      <w:r w:rsidRPr="008802FF">
        <w:t xml:space="preserve"> as PHN patients. For the period after three months, the waning of pain over time for each pain severity state was estimated by fitting an exponential curve through the pain severity data of 3, 6, 9 and 12 months. This curve was fitted on aggregated data of all age-groups </w:t>
      </w:r>
      <w:r w:rsidR="003D57E5">
        <w:t xml:space="preserve">because of the </w:t>
      </w:r>
      <w:r w:rsidRPr="008802FF">
        <w:t xml:space="preserve">low </w:t>
      </w:r>
      <w:r w:rsidR="003D57E5">
        <w:t>number of patients with</w:t>
      </w:r>
      <w:r w:rsidRPr="008802FF">
        <w:t xml:space="preserve"> moderate </w:t>
      </w:r>
      <w:r w:rsidR="003D57E5">
        <w:t>or</w:t>
      </w:r>
      <w:r w:rsidRPr="008802FF">
        <w:t xml:space="preserve"> severe pain after a period of 6 months (</w:t>
      </w:r>
      <w:r w:rsidRPr="00C92BB0">
        <w:t>Figure S</w:t>
      </w:r>
      <w:r w:rsidRPr="00C92BB0">
        <w:rPr>
          <w:noProof/>
        </w:rPr>
        <w:t>3</w:t>
      </w:r>
      <w:r w:rsidRPr="008802FF">
        <w:t>).</w:t>
      </w:r>
      <w:r w:rsidRPr="008802FF">
        <w:br w:type="page"/>
      </w:r>
    </w:p>
    <w:p w:rsidR="00AD1E82" w:rsidRPr="008802FF" w:rsidRDefault="00AD1E82" w:rsidP="00AD1E82">
      <w:pPr>
        <w:pStyle w:val="Caption"/>
        <w:rPr>
          <w:b w:val="0"/>
          <w:color w:val="auto"/>
          <w:sz w:val="24"/>
          <w:szCs w:val="24"/>
        </w:rPr>
      </w:pPr>
      <w:bookmarkStart w:id="1" w:name="_Ref512455901"/>
    </w:p>
    <w:p w:rsidR="00AD1E82" w:rsidRDefault="00B06E91" w:rsidP="00AD1E82">
      <w:r>
        <w:rPr>
          <w:noProof/>
          <w:lang w:val="en-US"/>
        </w:rPr>
        <w:drawing>
          <wp:inline distT="0" distB="0" distL="0" distR="0">
            <wp:extent cx="4690782" cy="3209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96968" cy="3214158"/>
                    </a:xfrm>
                    <a:prstGeom prst="rect">
                      <a:avLst/>
                    </a:prstGeom>
                  </pic:spPr>
                </pic:pic>
              </a:graphicData>
            </a:graphic>
          </wp:inline>
        </w:drawing>
      </w:r>
    </w:p>
    <w:p w:rsidR="00B06E91" w:rsidRPr="008802FF" w:rsidRDefault="00B06E91" w:rsidP="00AD1E82">
      <w:r>
        <w:rPr>
          <w:noProof/>
          <w:lang w:val="en-US"/>
        </w:rPr>
        <w:drawing>
          <wp:inline distT="0" distB="0" distL="0" distR="0">
            <wp:extent cx="4781550" cy="3190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3653" cy="3192278"/>
                    </a:xfrm>
                    <a:prstGeom prst="rect">
                      <a:avLst/>
                    </a:prstGeom>
                  </pic:spPr>
                </pic:pic>
              </a:graphicData>
            </a:graphic>
          </wp:inline>
        </w:drawing>
      </w:r>
    </w:p>
    <w:p w:rsidR="00AD1E82" w:rsidRPr="008802FF" w:rsidRDefault="00AD1E82" w:rsidP="00AD1E82">
      <w:pPr>
        <w:pStyle w:val="Caption"/>
        <w:rPr>
          <w:b w:val="0"/>
          <w:sz w:val="24"/>
          <w:szCs w:val="24"/>
        </w:rPr>
      </w:pPr>
      <w:bookmarkStart w:id="2" w:name="_Ref511907009"/>
      <w:r w:rsidRPr="008802FF">
        <w:rPr>
          <w:b w:val="0"/>
          <w:color w:val="auto"/>
          <w:sz w:val="24"/>
          <w:szCs w:val="24"/>
        </w:rPr>
        <w:t>Figure S</w:t>
      </w:r>
      <w:r w:rsidR="00864629">
        <w:rPr>
          <w:b w:val="0"/>
          <w:noProof/>
          <w:color w:val="auto"/>
          <w:sz w:val="24"/>
          <w:szCs w:val="24"/>
        </w:rPr>
        <w:t>2</w:t>
      </w:r>
      <w:bookmarkEnd w:id="2"/>
      <w:r w:rsidRPr="008802FF">
        <w:rPr>
          <w:b w:val="0"/>
          <w:color w:val="auto"/>
          <w:sz w:val="24"/>
          <w:szCs w:val="24"/>
        </w:rPr>
        <w:t xml:space="preserve">: Proportion of </w:t>
      </w:r>
      <w:r>
        <w:rPr>
          <w:b w:val="0"/>
          <w:color w:val="auto"/>
          <w:sz w:val="24"/>
          <w:szCs w:val="24"/>
        </w:rPr>
        <w:t xml:space="preserve">herpes zoster (HZ) </w:t>
      </w:r>
      <w:r w:rsidRPr="008802FF">
        <w:rPr>
          <w:b w:val="0"/>
          <w:color w:val="auto"/>
          <w:sz w:val="24"/>
          <w:szCs w:val="24"/>
        </w:rPr>
        <w:t xml:space="preserve">patients with pain for the </w:t>
      </w:r>
      <w:proofErr w:type="gramStart"/>
      <w:r w:rsidRPr="008802FF">
        <w:rPr>
          <w:b w:val="0"/>
          <w:color w:val="auto"/>
          <w:sz w:val="24"/>
          <w:szCs w:val="24"/>
        </w:rPr>
        <w:t>age-group</w:t>
      </w:r>
      <w:proofErr w:type="gramEnd"/>
      <w:r w:rsidRPr="008802FF">
        <w:rPr>
          <w:b w:val="0"/>
          <w:color w:val="auto"/>
          <w:sz w:val="24"/>
          <w:szCs w:val="24"/>
        </w:rPr>
        <w:t xml:space="preserve"> by pain severity for the age-group (A) 50-59 years and (B) </w:t>
      </w:r>
      <w:r w:rsidR="00187158">
        <w:t>≥</w:t>
      </w:r>
      <w:r w:rsidRPr="008802FF">
        <w:rPr>
          <w:b w:val="0"/>
          <w:color w:val="auto"/>
          <w:sz w:val="24"/>
          <w:szCs w:val="24"/>
        </w:rPr>
        <w:t>60 years. Clinical relevant pain includes severe and moderate pain; any pain includes clinical relevant pain and mild pain.</w:t>
      </w:r>
      <w:r>
        <w:rPr>
          <w:b w:val="0"/>
          <w:color w:val="auto"/>
          <w:sz w:val="24"/>
          <w:szCs w:val="24"/>
        </w:rPr>
        <w:t xml:space="preserve"> </w:t>
      </w:r>
      <w:r w:rsidRPr="008802FF">
        <w:rPr>
          <w:b w:val="0"/>
          <w:color w:val="auto"/>
          <w:sz w:val="24"/>
          <w:szCs w:val="24"/>
        </w:rPr>
        <w:t xml:space="preserve">Data was obtained from Van </w:t>
      </w:r>
      <w:proofErr w:type="spellStart"/>
      <w:r w:rsidRPr="008802FF">
        <w:rPr>
          <w:b w:val="0"/>
          <w:color w:val="auto"/>
          <w:sz w:val="24"/>
          <w:szCs w:val="24"/>
        </w:rPr>
        <w:t>Wijck</w:t>
      </w:r>
      <w:proofErr w:type="spellEnd"/>
      <w:r w:rsidRPr="008802FF">
        <w:rPr>
          <w:b w:val="0"/>
          <w:color w:val="auto"/>
          <w:sz w:val="24"/>
          <w:szCs w:val="24"/>
        </w:rPr>
        <w:t xml:space="preserve"> et al</w:t>
      </w:r>
      <w:proofErr w:type="gramStart"/>
      <w:r w:rsidRPr="008802FF">
        <w:rPr>
          <w:b w:val="0"/>
          <w:color w:val="auto"/>
          <w:sz w:val="24"/>
          <w:szCs w:val="24"/>
        </w:rPr>
        <w:t>.</w:t>
      </w:r>
      <w:r w:rsidR="0075366F">
        <w:rPr>
          <w:b w:val="0"/>
          <w:noProof/>
          <w:color w:val="auto"/>
          <w:sz w:val="24"/>
          <w:szCs w:val="24"/>
        </w:rPr>
        <w:t>[</w:t>
      </w:r>
      <w:proofErr w:type="gramEnd"/>
      <w:r w:rsidR="0075366F">
        <w:rPr>
          <w:b w:val="0"/>
          <w:noProof/>
          <w:color w:val="auto"/>
          <w:sz w:val="24"/>
          <w:szCs w:val="24"/>
        </w:rPr>
        <w:t>1]</w:t>
      </w:r>
    </w:p>
    <w:p w:rsidR="00AD1E82" w:rsidRPr="008802FF" w:rsidRDefault="00AD1E82" w:rsidP="00AD1E82">
      <w:pPr>
        <w:pStyle w:val="Caption"/>
        <w:keepNext/>
        <w:rPr>
          <w:b w:val="0"/>
          <w:color w:val="auto"/>
          <w:sz w:val="24"/>
          <w:szCs w:val="24"/>
        </w:rPr>
      </w:pPr>
      <w:r w:rsidRPr="008802FF">
        <w:rPr>
          <w:b w:val="0"/>
          <w:color w:val="auto"/>
          <w:sz w:val="24"/>
          <w:szCs w:val="24"/>
        </w:rPr>
        <w:lastRenderedPageBreak/>
        <w:t>Table S</w:t>
      </w:r>
      <w:r w:rsidRPr="008802FF">
        <w:rPr>
          <w:b w:val="0"/>
          <w:noProof/>
          <w:color w:val="auto"/>
          <w:sz w:val="24"/>
          <w:szCs w:val="24"/>
        </w:rPr>
        <w:t>1</w:t>
      </w:r>
      <w:bookmarkEnd w:id="1"/>
      <w:r w:rsidRPr="008802FF">
        <w:rPr>
          <w:b w:val="0"/>
          <w:color w:val="auto"/>
          <w:sz w:val="24"/>
          <w:szCs w:val="24"/>
        </w:rPr>
        <w:t xml:space="preserve">: Probability of </w:t>
      </w:r>
      <w:r>
        <w:rPr>
          <w:b w:val="0"/>
          <w:color w:val="auto"/>
          <w:sz w:val="24"/>
          <w:szCs w:val="24"/>
        </w:rPr>
        <w:t xml:space="preserve">herpes zoster </w:t>
      </w:r>
      <w:r w:rsidRPr="008802FF">
        <w:rPr>
          <w:b w:val="0"/>
          <w:color w:val="auto"/>
          <w:sz w:val="24"/>
          <w:szCs w:val="24"/>
        </w:rPr>
        <w:t xml:space="preserve">pain by age and severity over time over the first 3 months after disease onset. Data was obtained from Van </w:t>
      </w:r>
      <w:proofErr w:type="spellStart"/>
      <w:r w:rsidRPr="008802FF">
        <w:rPr>
          <w:b w:val="0"/>
          <w:color w:val="auto"/>
          <w:sz w:val="24"/>
          <w:szCs w:val="24"/>
        </w:rPr>
        <w:t>Wijck</w:t>
      </w:r>
      <w:proofErr w:type="spellEnd"/>
      <w:r w:rsidRPr="008802FF">
        <w:rPr>
          <w:b w:val="0"/>
          <w:color w:val="auto"/>
          <w:sz w:val="24"/>
          <w:szCs w:val="24"/>
        </w:rPr>
        <w:t xml:space="preserve"> et al</w:t>
      </w:r>
      <w:proofErr w:type="gramStart"/>
      <w:r w:rsidRPr="008802FF">
        <w:rPr>
          <w:b w:val="0"/>
          <w:color w:val="auto"/>
          <w:sz w:val="24"/>
          <w:szCs w:val="24"/>
        </w:rPr>
        <w:t>.</w:t>
      </w:r>
      <w:r w:rsidR="0075366F">
        <w:rPr>
          <w:b w:val="0"/>
          <w:noProof/>
          <w:color w:val="auto"/>
          <w:sz w:val="24"/>
          <w:szCs w:val="24"/>
        </w:rPr>
        <w:t>[</w:t>
      </w:r>
      <w:proofErr w:type="gramEnd"/>
      <w:r w:rsidR="0075366F">
        <w:rPr>
          <w:b w:val="0"/>
          <w:noProof/>
          <w:color w:val="auto"/>
          <w:sz w:val="24"/>
          <w:szCs w:val="24"/>
        </w:rPr>
        <w:t>1]</w:t>
      </w:r>
    </w:p>
    <w:tbl>
      <w:tblPr>
        <w:tblStyle w:val="TableGrid"/>
        <w:tblW w:w="38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242"/>
        <w:gridCol w:w="1427"/>
        <w:gridCol w:w="1268"/>
        <w:gridCol w:w="1466"/>
      </w:tblGrid>
      <w:tr w:rsidR="00AD1E82" w:rsidRPr="008802FF" w:rsidTr="00997B5C">
        <w:tc>
          <w:tcPr>
            <w:tcW w:w="1343" w:type="pct"/>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Health state</w:t>
            </w:r>
          </w:p>
        </w:tc>
        <w:tc>
          <w:tcPr>
            <w:tcW w:w="841" w:type="pct"/>
            <w:tcBorders>
              <w:top w:val="single" w:sz="4" w:space="0" w:color="auto"/>
              <w:bottom w:val="single" w:sz="4" w:space="0" w:color="auto"/>
            </w:tcBorders>
          </w:tcPr>
          <w:p w:rsidR="00AD1E82" w:rsidRPr="008802FF" w:rsidRDefault="00AD1E82" w:rsidP="00997B5C">
            <w:pPr>
              <w:spacing w:line="240" w:lineRule="auto"/>
              <w:jc w:val="center"/>
              <w:rPr>
                <w:b/>
                <w:sz w:val="20"/>
              </w:rPr>
            </w:pPr>
            <w:r>
              <w:rPr>
                <w:b/>
                <w:sz w:val="20"/>
              </w:rPr>
              <w:t>Base case</w:t>
            </w:r>
          </w:p>
        </w:tc>
        <w:tc>
          <w:tcPr>
            <w:tcW w:w="966" w:type="pct"/>
            <w:tcBorders>
              <w:top w:val="single" w:sz="4" w:space="0" w:color="auto"/>
              <w:bottom w:val="single" w:sz="4" w:space="0" w:color="auto"/>
            </w:tcBorders>
          </w:tcPr>
          <w:p w:rsidR="00AD1E82" w:rsidRPr="008802FF" w:rsidRDefault="00AD1E82" w:rsidP="00997B5C">
            <w:pPr>
              <w:spacing w:line="240" w:lineRule="auto"/>
              <w:jc w:val="center"/>
              <w:rPr>
                <w:b/>
                <w:sz w:val="20"/>
              </w:rPr>
            </w:pPr>
            <w:r w:rsidRPr="008802FF">
              <w:rPr>
                <w:b/>
                <w:sz w:val="20"/>
              </w:rPr>
              <w:t>Lower</w:t>
            </w:r>
          </w:p>
        </w:tc>
        <w:tc>
          <w:tcPr>
            <w:tcW w:w="858" w:type="pct"/>
            <w:tcBorders>
              <w:top w:val="single" w:sz="4" w:space="0" w:color="auto"/>
              <w:bottom w:val="single" w:sz="4" w:space="0" w:color="auto"/>
            </w:tcBorders>
          </w:tcPr>
          <w:p w:rsidR="00AD1E82" w:rsidRPr="008802FF" w:rsidRDefault="00AD1E82" w:rsidP="00997B5C">
            <w:pPr>
              <w:spacing w:line="240" w:lineRule="auto"/>
              <w:jc w:val="center"/>
              <w:rPr>
                <w:b/>
                <w:sz w:val="20"/>
              </w:rPr>
            </w:pPr>
            <w:r w:rsidRPr="008802FF">
              <w:rPr>
                <w:b/>
                <w:sz w:val="20"/>
              </w:rPr>
              <w:t>Upper</w:t>
            </w:r>
          </w:p>
        </w:tc>
        <w:tc>
          <w:tcPr>
            <w:tcW w:w="992" w:type="pct"/>
            <w:tcBorders>
              <w:top w:val="single" w:sz="4" w:space="0" w:color="auto"/>
              <w:bottom w:val="single" w:sz="4" w:space="0" w:color="auto"/>
            </w:tcBorders>
          </w:tcPr>
          <w:p w:rsidR="00AD1E82" w:rsidRPr="008802FF" w:rsidRDefault="00AD1E82" w:rsidP="00997B5C">
            <w:pPr>
              <w:spacing w:line="240" w:lineRule="auto"/>
              <w:jc w:val="center"/>
              <w:rPr>
                <w:b/>
                <w:sz w:val="20"/>
              </w:rPr>
            </w:pPr>
            <w:r>
              <w:rPr>
                <w:b/>
                <w:sz w:val="20"/>
              </w:rPr>
              <w:t>Distribution</w:t>
            </w:r>
          </w:p>
        </w:tc>
      </w:tr>
      <w:tr w:rsidR="00AD1E82" w:rsidRPr="008802FF" w:rsidTr="00997B5C">
        <w:tc>
          <w:tcPr>
            <w:tcW w:w="1343" w:type="pct"/>
            <w:tcBorders>
              <w:top w:val="single" w:sz="4" w:space="0" w:color="auto"/>
            </w:tcBorders>
          </w:tcPr>
          <w:p w:rsidR="00AD1E82" w:rsidRPr="008802FF" w:rsidRDefault="00AD1E82" w:rsidP="00997B5C">
            <w:pPr>
              <w:spacing w:line="240" w:lineRule="auto"/>
              <w:rPr>
                <w:sz w:val="20"/>
              </w:rPr>
            </w:pPr>
            <w:r w:rsidRPr="008802FF">
              <w:rPr>
                <w:sz w:val="20"/>
              </w:rPr>
              <w:t>50-59 years</w:t>
            </w:r>
          </w:p>
        </w:tc>
        <w:tc>
          <w:tcPr>
            <w:tcW w:w="841" w:type="pct"/>
            <w:tcBorders>
              <w:top w:val="single" w:sz="4" w:space="0" w:color="auto"/>
            </w:tcBorders>
            <w:vAlign w:val="center"/>
          </w:tcPr>
          <w:p w:rsidR="00AD1E82" w:rsidRPr="008802FF" w:rsidRDefault="00AD1E82" w:rsidP="00997B5C">
            <w:pPr>
              <w:spacing w:line="240" w:lineRule="auto"/>
              <w:jc w:val="right"/>
              <w:rPr>
                <w:sz w:val="20"/>
                <w:szCs w:val="20"/>
              </w:rPr>
            </w:pPr>
          </w:p>
        </w:tc>
        <w:tc>
          <w:tcPr>
            <w:tcW w:w="966" w:type="pct"/>
            <w:tcBorders>
              <w:top w:val="single" w:sz="4" w:space="0" w:color="auto"/>
            </w:tcBorders>
            <w:vAlign w:val="center"/>
          </w:tcPr>
          <w:p w:rsidR="00AD1E82" w:rsidRPr="008802FF" w:rsidRDefault="00AD1E82" w:rsidP="00997B5C">
            <w:pPr>
              <w:spacing w:line="240" w:lineRule="auto"/>
              <w:jc w:val="right"/>
              <w:rPr>
                <w:sz w:val="20"/>
                <w:szCs w:val="20"/>
              </w:rPr>
            </w:pPr>
          </w:p>
        </w:tc>
        <w:tc>
          <w:tcPr>
            <w:tcW w:w="858" w:type="pct"/>
            <w:tcBorders>
              <w:top w:val="single" w:sz="4" w:space="0" w:color="auto"/>
            </w:tcBorders>
            <w:vAlign w:val="center"/>
          </w:tcPr>
          <w:p w:rsidR="00AD1E82" w:rsidRPr="008802FF" w:rsidRDefault="00AD1E82" w:rsidP="00997B5C">
            <w:pPr>
              <w:spacing w:line="240" w:lineRule="auto"/>
              <w:jc w:val="right"/>
              <w:rPr>
                <w:sz w:val="20"/>
                <w:szCs w:val="20"/>
              </w:rPr>
            </w:pPr>
          </w:p>
        </w:tc>
        <w:tc>
          <w:tcPr>
            <w:tcW w:w="992" w:type="pct"/>
            <w:tcBorders>
              <w:top w:val="single" w:sz="4" w:space="0" w:color="auto"/>
            </w:tcBorders>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Mild pain</w:t>
            </w:r>
          </w:p>
        </w:tc>
        <w:tc>
          <w:tcPr>
            <w:tcW w:w="841" w:type="pct"/>
            <w:vAlign w:val="center"/>
          </w:tcPr>
          <w:p w:rsidR="00AD1E82" w:rsidRPr="008802FF" w:rsidRDefault="00AD1E82" w:rsidP="00997B5C">
            <w:pPr>
              <w:spacing w:line="240" w:lineRule="auto"/>
              <w:jc w:val="right"/>
              <w:rPr>
                <w:sz w:val="20"/>
                <w:szCs w:val="20"/>
              </w:rPr>
            </w:pPr>
          </w:p>
        </w:tc>
        <w:tc>
          <w:tcPr>
            <w:tcW w:w="966" w:type="pct"/>
            <w:vAlign w:val="center"/>
          </w:tcPr>
          <w:p w:rsidR="00AD1E82" w:rsidRPr="008802FF" w:rsidRDefault="00AD1E82" w:rsidP="00997B5C">
            <w:pPr>
              <w:spacing w:line="240" w:lineRule="auto"/>
              <w:jc w:val="right"/>
              <w:rPr>
                <w:sz w:val="20"/>
                <w:szCs w:val="20"/>
              </w:rPr>
            </w:pPr>
          </w:p>
        </w:tc>
        <w:tc>
          <w:tcPr>
            <w:tcW w:w="858" w:type="pct"/>
            <w:vAlign w:val="center"/>
          </w:tcPr>
          <w:p w:rsidR="00AD1E82" w:rsidRPr="008802FF" w:rsidRDefault="00AD1E82" w:rsidP="00997B5C">
            <w:pPr>
              <w:spacing w:line="240" w:lineRule="auto"/>
              <w:jc w:val="right"/>
              <w:rPr>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0.250</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0.194</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0.306</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0.289</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0.226</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0.351</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0.229</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0.171</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0.287</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3 months</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0.104</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0.060</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0.149</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Moderate pain</w:t>
            </w:r>
          </w:p>
        </w:tc>
        <w:tc>
          <w:tcPr>
            <w:tcW w:w="841" w:type="pct"/>
            <w:vAlign w:val="center"/>
          </w:tcPr>
          <w:p w:rsidR="00AD1E82" w:rsidRPr="008802FF" w:rsidRDefault="00AD1E82" w:rsidP="00997B5C">
            <w:pPr>
              <w:spacing w:line="240" w:lineRule="auto"/>
              <w:jc w:val="right"/>
              <w:rPr>
                <w:color w:val="000000"/>
                <w:sz w:val="20"/>
                <w:szCs w:val="20"/>
              </w:rPr>
            </w:pPr>
          </w:p>
        </w:tc>
        <w:tc>
          <w:tcPr>
            <w:tcW w:w="966" w:type="pct"/>
            <w:vAlign w:val="center"/>
          </w:tcPr>
          <w:p w:rsidR="00AD1E82" w:rsidRPr="008802FF" w:rsidRDefault="00AD1E82" w:rsidP="00997B5C">
            <w:pPr>
              <w:spacing w:line="240" w:lineRule="auto"/>
              <w:jc w:val="right"/>
              <w:rPr>
                <w:color w:val="000000"/>
                <w:sz w:val="20"/>
                <w:szCs w:val="20"/>
              </w:rPr>
            </w:pPr>
          </w:p>
        </w:tc>
        <w:tc>
          <w:tcPr>
            <w:tcW w:w="858" w:type="pct"/>
            <w:vAlign w:val="center"/>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0.500</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0.436</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0.564</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0.284</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0.221</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0.346</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0.100</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0.058</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0.141</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3 months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0.022</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0.001</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0.043</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Severe pain</w:t>
            </w:r>
          </w:p>
        </w:tc>
        <w:tc>
          <w:tcPr>
            <w:tcW w:w="841" w:type="pct"/>
            <w:vAlign w:val="center"/>
          </w:tcPr>
          <w:p w:rsidR="00AD1E82" w:rsidRPr="008802FF" w:rsidRDefault="00AD1E82" w:rsidP="00997B5C">
            <w:pPr>
              <w:spacing w:line="240" w:lineRule="auto"/>
              <w:jc w:val="right"/>
              <w:rPr>
                <w:color w:val="000000"/>
                <w:sz w:val="20"/>
                <w:szCs w:val="20"/>
              </w:rPr>
            </w:pPr>
          </w:p>
        </w:tc>
        <w:tc>
          <w:tcPr>
            <w:tcW w:w="966" w:type="pct"/>
            <w:vAlign w:val="center"/>
          </w:tcPr>
          <w:p w:rsidR="00AD1E82" w:rsidRPr="008802FF" w:rsidRDefault="00AD1E82" w:rsidP="00997B5C">
            <w:pPr>
              <w:spacing w:line="240" w:lineRule="auto"/>
              <w:jc w:val="right"/>
              <w:rPr>
                <w:color w:val="000000"/>
                <w:sz w:val="20"/>
                <w:szCs w:val="20"/>
              </w:rPr>
            </w:pPr>
          </w:p>
        </w:tc>
        <w:tc>
          <w:tcPr>
            <w:tcW w:w="858" w:type="pct"/>
            <w:vAlign w:val="center"/>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0.194</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0.143</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0.245</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0.060</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0.027</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0.092</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0.015</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0.032</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3 months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187158" w:rsidP="00187158">
            <w:pPr>
              <w:spacing w:line="240" w:lineRule="auto"/>
              <w:rPr>
                <w:sz w:val="20"/>
              </w:rPr>
            </w:pPr>
            <w:r w:rsidRPr="00187158">
              <w:rPr>
                <w:sz w:val="20"/>
                <w:szCs w:val="20"/>
              </w:rPr>
              <w:t>≥</w:t>
            </w:r>
            <w:r w:rsidR="00AD1E82" w:rsidRPr="00187158">
              <w:rPr>
                <w:sz w:val="20"/>
                <w:szCs w:val="20"/>
              </w:rPr>
              <w:t>60</w:t>
            </w:r>
            <w:r w:rsidR="00AD1E82" w:rsidRPr="008802FF">
              <w:rPr>
                <w:sz w:val="20"/>
              </w:rPr>
              <w:t xml:space="preserve"> years</w:t>
            </w:r>
          </w:p>
        </w:tc>
        <w:tc>
          <w:tcPr>
            <w:tcW w:w="841" w:type="pct"/>
            <w:vAlign w:val="center"/>
          </w:tcPr>
          <w:p w:rsidR="00AD1E82" w:rsidRPr="008802FF" w:rsidRDefault="00AD1E82" w:rsidP="00997B5C">
            <w:pPr>
              <w:spacing w:line="240" w:lineRule="auto"/>
              <w:jc w:val="right"/>
              <w:rPr>
                <w:color w:val="000000"/>
                <w:sz w:val="20"/>
                <w:szCs w:val="20"/>
              </w:rPr>
            </w:pPr>
          </w:p>
        </w:tc>
        <w:tc>
          <w:tcPr>
            <w:tcW w:w="966" w:type="pct"/>
            <w:vAlign w:val="center"/>
          </w:tcPr>
          <w:p w:rsidR="00AD1E82" w:rsidRPr="008802FF" w:rsidRDefault="00AD1E82" w:rsidP="00997B5C">
            <w:pPr>
              <w:spacing w:line="240" w:lineRule="auto"/>
              <w:jc w:val="right"/>
              <w:rPr>
                <w:color w:val="000000"/>
                <w:sz w:val="20"/>
                <w:szCs w:val="20"/>
              </w:rPr>
            </w:pPr>
          </w:p>
        </w:tc>
        <w:tc>
          <w:tcPr>
            <w:tcW w:w="858" w:type="pct"/>
            <w:vAlign w:val="center"/>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Mild pain</w:t>
            </w:r>
          </w:p>
        </w:tc>
        <w:tc>
          <w:tcPr>
            <w:tcW w:w="841" w:type="pct"/>
            <w:vAlign w:val="center"/>
          </w:tcPr>
          <w:p w:rsidR="00AD1E82" w:rsidRPr="008802FF" w:rsidRDefault="00AD1E82" w:rsidP="00997B5C">
            <w:pPr>
              <w:spacing w:line="240" w:lineRule="auto"/>
              <w:jc w:val="right"/>
              <w:rPr>
                <w:color w:val="000000"/>
                <w:sz w:val="20"/>
                <w:szCs w:val="20"/>
              </w:rPr>
            </w:pPr>
          </w:p>
        </w:tc>
        <w:tc>
          <w:tcPr>
            <w:tcW w:w="966" w:type="pct"/>
            <w:vAlign w:val="center"/>
          </w:tcPr>
          <w:p w:rsidR="00AD1E82" w:rsidRPr="008802FF" w:rsidRDefault="00AD1E82" w:rsidP="00997B5C">
            <w:pPr>
              <w:spacing w:line="240" w:lineRule="auto"/>
              <w:jc w:val="right"/>
              <w:rPr>
                <w:color w:val="000000"/>
                <w:sz w:val="20"/>
                <w:szCs w:val="20"/>
              </w:rPr>
            </w:pPr>
          </w:p>
        </w:tc>
        <w:tc>
          <w:tcPr>
            <w:tcW w:w="858" w:type="pct"/>
            <w:vAlign w:val="center"/>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0.168</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0.132</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0.203</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0.267</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0.223</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0.311</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0.202</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0.161</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0.242</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3 months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0.130</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0.096</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0.165</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Moderate pain</w:t>
            </w:r>
          </w:p>
        </w:tc>
        <w:tc>
          <w:tcPr>
            <w:tcW w:w="841" w:type="pct"/>
            <w:vAlign w:val="center"/>
          </w:tcPr>
          <w:p w:rsidR="00AD1E82" w:rsidRPr="008802FF" w:rsidRDefault="00AD1E82" w:rsidP="00997B5C">
            <w:pPr>
              <w:spacing w:line="240" w:lineRule="auto"/>
              <w:jc w:val="right"/>
              <w:rPr>
                <w:color w:val="000000"/>
                <w:sz w:val="20"/>
                <w:szCs w:val="20"/>
              </w:rPr>
            </w:pPr>
          </w:p>
        </w:tc>
        <w:tc>
          <w:tcPr>
            <w:tcW w:w="966" w:type="pct"/>
            <w:vAlign w:val="center"/>
          </w:tcPr>
          <w:p w:rsidR="00AD1E82" w:rsidRPr="008802FF" w:rsidRDefault="00AD1E82" w:rsidP="00997B5C">
            <w:pPr>
              <w:spacing w:line="240" w:lineRule="auto"/>
              <w:jc w:val="right"/>
              <w:rPr>
                <w:color w:val="000000"/>
                <w:sz w:val="20"/>
                <w:szCs w:val="20"/>
              </w:rPr>
            </w:pPr>
          </w:p>
        </w:tc>
        <w:tc>
          <w:tcPr>
            <w:tcW w:w="858" w:type="pct"/>
            <w:vAlign w:val="center"/>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0.473</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0.426</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0.520</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0.304</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0.258</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0.350</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0.215</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0.173</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0.256</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3 months</w:t>
            </w:r>
          </w:p>
        </w:tc>
        <w:tc>
          <w:tcPr>
            <w:tcW w:w="841"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0.065</w:t>
            </w:r>
          </w:p>
        </w:tc>
        <w:tc>
          <w:tcPr>
            <w:tcW w:w="966"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0.040</w:t>
            </w:r>
          </w:p>
        </w:tc>
        <w:tc>
          <w:tcPr>
            <w:tcW w:w="858" w:type="pct"/>
            <w:vAlign w:val="bottom"/>
          </w:tcPr>
          <w:p w:rsidR="00AD1E82" w:rsidRPr="008802FF" w:rsidRDefault="00AD1E82" w:rsidP="00997B5C">
            <w:pPr>
              <w:spacing w:line="240" w:lineRule="auto"/>
              <w:jc w:val="right"/>
              <w:rPr>
                <w:color w:val="000000"/>
                <w:sz w:val="20"/>
                <w:szCs w:val="20"/>
              </w:rPr>
            </w:pPr>
            <w:r w:rsidRPr="008802FF">
              <w:rPr>
                <w:color w:val="000000"/>
                <w:sz w:val="20"/>
                <w:szCs w:val="20"/>
              </w:rPr>
              <w:t>0.090</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Severe pain</w:t>
            </w:r>
          </w:p>
        </w:tc>
        <w:tc>
          <w:tcPr>
            <w:tcW w:w="841" w:type="pct"/>
            <w:vAlign w:val="bottom"/>
          </w:tcPr>
          <w:p w:rsidR="00AD1E82" w:rsidRPr="008802FF" w:rsidRDefault="00AD1E82" w:rsidP="00997B5C">
            <w:pPr>
              <w:spacing w:line="240" w:lineRule="auto"/>
              <w:jc w:val="right"/>
              <w:rPr>
                <w:color w:val="000000"/>
                <w:sz w:val="20"/>
                <w:szCs w:val="20"/>
              </w:rPr>
            </w:pPr>
          </w:p>
        </w:tc>
        <w:tc>
          <w:tcPr>
            <w:tcW w:w="966" w:type="pct"/>
            <w:vAlign w:val="bottom"/>
          </w:tcPr>
          <w:p w:rsidR="00AD1E82" w:rsidRPr="008802FF" w:rsidRDefault="00AD1E82" w:rsidP="00997B5C">
            <w:pPr>
              <w:spacing w:line="240" w:lineRule="auto"/>
              <w:jc w:val="right"/>
              <w:rPr>
                <w:color w:val="000000"/>
                <w:sz w:val="20"/>
                <w:szCs w:val="20"/>
              </w:rPr>
            </w:pPr>
          </w:p>
        </w:tc>
        <w:tc>
          <w:tcPr>
            <w:tcW w:w="858" w:type="pct"/>
            <w:vAlign w:val="bottom"/>
          </w:tcPr>
          <w:p w:rsidR="00AD1E82" w:rsidRPr="008802FF" w:rsidRDefault="00AD1E82" w:rsidP="00997B5C">
            <w:pPr>
              <w:spacing w:line="240" w:lineRule="auto"/>
              <w:jc w:val="right"/>
              <w:rPr>
                <w:color w:val="000000"/>
                <w:sz w:val="20"/>
                <w:szCs w:val="20"/>
              </w:rPr>
            </w:pP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Inclusion</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0.296</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0.253</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0.339</w:t>
            </w:r>
          </w:p>
        </w:tc>
        <w:tc>
          <w:tcPr>
            <w:tcW w:w="992" w:type="pct"/>
          </w:tcPr>
          <w:p w:rsidR="00AD1E82" w:rsidRPr="008802FF" w:rsidRDefault="00AD1E82" w:rsidP="00997B5C">
            <w:pPr>
              <w:spacing w:line="240" w:lineRule="auto"/>
              <w:jc w:val="center"/>
              <w:rPr>
                <w:sz w:val="20"/>
              </w:rPr>
            </w:pP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2 weeks</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0.110</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0.079</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0.141</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Pr>
          <w:p w:rsidR="00AD1E82" w:rsidRPr="008802FF" w:rsidRDefault="00AD1E82" w:rsidP="00997B5C">
            <w:pPr>
              <w:spacing w:line="240" w:lineRule="auto"/>
              <w:rPr>
                <w:sz w:val="20"/>
              </w:rPr>
            </w:pPr>
            <w:r w:rsidRPr="008802FF">
              <w:rPr>
                <w:sz w:val="20"/>
              </w:rPr>
              <w:t xml:space="preserve">      1 month</w:t>
            </w:r>
          </w:p>
        </w:tc>
        <w:tc>
          <w:tcPr>
            <w:tcW w:w="841" w:type="pct"/>
            <w:vAlign w:val="bottom"/>
          </w:tcPr>
          <w:p w:rsidR="00AD1E82" w:rsidRPr="008802FF" w:rsidRDefault="00AD1E82" w:rsidP="00997B5C">
            <w:pPr>
              <w:spacing w:line="240" w:lineRule="auto"/>
              <w:jc w:val="right"/>
              <w:rPr>
                <w:sz w:val="20"/>
                <w:szCs w:val="20"/>
              </w:rPr>
            </w:pPr>
            <w:r w:rsidRPr="008802FF">
              <w:rPr>
                <w:color w:val="000000"/>
                <w:sz w:val="20"/>
                <w:szCs w:val="20"/>
              </w:rPr>
              <w:t>0.024</w:t>
            </w:r>
          </w:p>
        </w:tc>
        <w:tc>
          <w:tcPr>
            <w:tcW w:w="966" w:type="pct"/>
            <w:vAlign w:val="bottom"/>
          </w:tcPr>
          <w:p w:rsidR="00AD1E82" w:rsidRPr="008802FF" w:rsidRDefault="00AD1E82" w:rsidP="00997B5C">
            <w:pPr>
              <w:spacing w:line="240" w:lineRule="auto"/>
              <w:jc w:val="right"/>
              <w:rPr>
                <w:sz w:val="20"/>
                <w:szCs w:val="20"/>
              </w:rPr>
            </w:pPr>
            <w:r w:rsidRPr="008802FF">
              <w:rPr>
                <w:color w:val="000000"/>
                <w:sz w:val="20"/>
                <w:szCs w:val="20"/>
              </w:rPr>
              <w:t>0.008</w:t>
            </w:r>
          </w:p>
        </w:tc>
        <w:tc>
          <w:tcPr>
            <w:tcW w:w="858" w:type="pct"/>
            <w:vAlign w:val="bottom"/>
          </w:tcPr>
          <w:p w:rsidR="00AD1E82" w:rsidRPr="008802FF" w:rsidRDefault="00AD1E82" w:rsidP="00997B5C">
            <w:pPr>
              <w:spacing w:line="240" w:lineRule="auto"/>
              <w:jc w:val="right"/>
              <w:rPr>
                <w:sz w:val="20"/>
                <w:szCs w:val="20"/>
              </w:rPr>
            </w:pPr>
            <w:r w:rsidRPr="008802FF">
              <w:rPr>
                <w:color w:val="000000"/>
                <w:sz w:val="20"/>
                <w:szCs w:val="20"/>
              </w:rPr>
              <w:t>0.039</w:t>
            </w:r>
          </w:p>
        </w:tc>
        <w:tc>
          <w:tcPr>
            <w:tcW w:w="992"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343" w:type="pct"/>
            <w:tcBorders>
              <w:bottom w:val="single" w:sz="4" w:space="0" w:color="auto"/>
            </w:tcBorders>
          </w:tcPr>
          <w:p w:rsidR="00AD1E82" w:rsidRPr="008802FF" w:rsidRDefault="00AD1E82" w:rsidP="00997B5C">
            <w:pPr>
              <w:spacing w:line="240" w:lineRule="auto"/>
              <w:rPr>
                <w:sz w:val="20"/>
              </w:rPr>
            </w:pPr>
            <w:r w:rsidRPr="008802FF">
              <w:rPr>
                <w:sz w:val="20"/>
              </w:rPr>
              <w:t xml:space="preserve">      3 months</w:t>
            </w:r>
          </w:p>
        </w:tc>
        <w:tc>
          <w:tcPr>
            <w:tcW w:w="841" w:type="pct"/>
            <w:tcBorders>
              <w:bottom w:val="single" w:sz="4" w:space="0" w:color="auto"/>
            </w:tcBorders>
            <w:vAlign w:val="bottom"/>
          </w:tcPr>
          <w:p w:rsidR="00AD1E82" w:rsidRPr="008802FF" w:rsidRDefault="00AD1E82" w:rsidP="00997B5C">
            <w:pPr>
              <w:spacing w:line="240" w:lineRule="auto"/>
              <w:jc w:val="right"/>
              <w:rPr>
                <w:sz w:val="20"/>
                <w:szCs w:val="20"/>
              </w:rPr>
            </w:pPr>
            <w:r w:rsidRPr="008802FF">
              <w:rPr>
                <w:color w:val="000000"/>
                <w:sz w:val="20"/>
                <w:szCs w:val="20"/>
              </w:rPr>
              <w:t>0.008</w:t>
            </w:r>
          </w:p>
        </w:tc>
        <w:tc>
          <w:tcPr>
            <w:tcW w:w="966" w:type="pct"/>
            <w:tcBorders>
              <w:bottom w:val="single" w:sz="4" w:space="0" w:color="auto"/>
            </w:tcBorders>
            <w:vAlign w:val="bottom"/>
          </w:tcPr>
          <w:p w:rsidR="00AD1E82" w:rsidRPr="008802FF" w:rsidRDefault="00AD1E82" w:rsidP="00997B5C">
            <w:pPr>
              <w:spacing w:line="240" w:lineRule="auto"/>
              <w:jc w:val="right"/>
              <w:rPr>
                <w:sz w:val="20"/>
                <w:szCs w:val="20"/>
              </w:rPr>
            </w:pPr>
            <w:r w:rsidRPr="008802FF">
              <w:rPr>
                <w:color w:val="000000"/>
                <w:sz w:val="20"/>
                <w:szCs w:val="20"/>
              </w:rPr>
              <w:t>0</w:t>
            </w:r>
          </w:p>
        </w:tc>
        <w:tc>
          <w:tcPr>
            <w:tcW w:w="858" w:type="pct"/>
            <w:tcBorders>
              <w:bottom w:val="single" w:sz="4" w:space="0" w:color="auto"/>
            </w:tcBorders>
            <w:vAlign w:val="bottom"/>
          </w:tcPr>
          <w:p w:rsidR="00AD1E82" w:rsidRPr="008802FF" w:rsidRDefault="00AD1E82" w:rsidP="00997B5C">
            <w:pPr>
              <w:spacing w:line="240" w:lineRule="auto"/>
              <w:jc w:val="right"/>
              <w:rPr>
                <w:sz w:val="20"/>
                <w:szCs w:val="20"/>
              </w:rPr>
            </w:pPr>
            <w:r w:rsidRPr="008802FF">
              <w:rPr>
                <w:color w:val="000000"/>
                <w:sz w:val="20"/>
                <w:szCs w:val="20"/>
              </w:rPr>
              <w:t>0.017</w:t>
            </w:r>
          </w:p>
        </w:tc>
        <w:tc>
          <w:tcPr>
            <w:tcW w:w="992" w:type="pct"/>
            <w:tcBorders>
              <w:bottom w:val="single" w:sz="4" w:space="0" w:color="auto"/>
            </w:tcBorders>
          </w:tcPr>
          <w:p w:rsidR="00AD1E82" w:rsidRPr="008802FF" w:rsidRDefault="00AD1E82" w:rsidP="00997B5C">
            <w:pPr>
              <w:spacing w:line="240" w:lineRule="auto"/>
              <w:jc w:val="center"/>
              <w:rPr>
                <w:sz w:val="20"/>
              </w:rPr>
            </w:pPr>
            <w:r w:rsidRPr="008802FF">
              <w:rPr>
                <w:sz w:val="20"/>
              </w:rPr>
              <w:t>Beta</w:t>
            </w:r>
          </w:p>
        </w:tc>
      </w:tr>
    </w:tbl>
    <w:p w:rsidR="00AD1E82" w:rsidRPr="008802FF" w:rsidRDefault="00AD1E82" w:rsidP="00AD1E82">
      <w:pPr>
        <w:spacing w:line="240" w:lineRule="auto"/>
      </w:pPr>
    </w:p>
    <w:p w:rsidR="00AD1E82" w:rsidRPr="008802FF" w:rsidRDefault="00B06E91" w:rsidP="00AD1E82">
      <w:pPr>
        <w:keepNext/>
      </w:pPr>
      <w:r>
        <w:rPr>
          <w:noProof/>
          <w:lang w:val="en-US"/>
        </w:rPr>
        <w:lastRenderedPageBreak/>
        <w:drawing>
          <wp:inline distT="0" distB="0" distL="0" distR="0">
            <wp:extent cx="5044440" cy="366064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4440" cy="3660648"/>
                    </a:xfrm>
                    <a:prstGeom prst="rect">
                      <a:avLst/>
                    </a:prstGeom>
                  </pic:spPr>
                </pic:pic>
              </a:graphicData>
            </a:graphic>
          </wp:inline>
        </w:drawing>
      </w:r>
    </w:p>
    <w:p w:rsidR="00AD1E82" w:rsidRPr="008802FF" w:rsidRDefault="00AD1E82" w:rsidP="00AD1E82">
      <w:pPr>
        <w:pStyle w:val="Caption"/>
        <w:rPr>
          <w:b w:val="0"/>
          <w:color w:val="auto"/>
          <w:sz w:val="24"/>
          <w:szCs w:val="24"/>
        </w:rPr>
      </w:pPr>
      <w:bookmarkStart w:id="3" w:name="_Ref512455968"/>
      <w:r w:rsidRPr="008802FF">
        <w:rPr>
          <w:b w:val="0"/>
          <w:color w:val="auto"/>
          <w:sz w:val="24"/>
          <w:szCs w:val="24"/>
        </w:rPr>
        <w:t>Figure S</w:t>
      </w:r>
      <w:r w:rsidR="00864629">
        <w:rPr>
          <w:b w:val="0"/>
          <w:noProof/>
          <w:color w:val="auto"/>
          <w:sz w:val="24"/>
          <w:szCs w:val="24"/>
        </w:rPr>
        <w:t>3</w:t>
      </w:r>
      <w:bookmarkEnd w:id="3"/>
      <w:r w:rsidRPr="008802FF">
        <w:rPr>
          <w:b w:val="0"/>
          <w:color w:val="auto"/>
          <w:sz w:val="24"/>
          <w:szCs w:val="24"/>
        </w:rPr>
        <w:t xml:space="preserve">: Modelled exponential decline of pain </w:t>
      </w:r>
      <w:r>
        <w:rPr>
          <w:b w:val="0"/>
          <w:color w:val="auto"/>
          <w:sz w:val="24"/>
          <w:szCs w:val="24"/>
        </w:rPr>
        <w:t xml:space="preserve">due to HZ </w:t>
      </w:r>
      <w:r w:rsidRPr="008802FF">
        <w:rPr>
          <w:b w:val="0"/>
          <w:color w:val="auto"/>
          <w:sz w:val="24"/>
          <w:szCs w:val="24"/>
        </w:rPr>
        <w:t xml:space="preserve">over time after a period of 3 months for patients aged </w:t>
      </w:r>
      <w:r w:rsidR="00187158">
        <w:t>≥</w:t>
      </w:r>
      <w:r w:rsidRPr="008802FF">
        <w:rPr>
          <w:b w:val="0"/>
          <w:color w:val="auto"/>
          <w:sz w:val="24"/>
          <w:szCs w:val="24"/>
        </w:rPr>
        <w:t xml:space="preserve">50 years. Data was obtained from Van </w:t>
      </w:r>
      <w:proofErr w:type="spellStart"/>
      <w:r w:rsidRPr="008802FF">
        <w:rPr>
          <w:b w:val="0"/>
          <w:color w:val="auto"/>
          <w:sz w:val="24"/>
          <w:szCs w:val="24"/>
        </w:rPr>
        <w:t>Wijck</w:t>
      </w:r>
      <w:proofErr w:type="spellEnd"/>
      <w:r w:rsidRPr="008802FF">
        <w:rPr>
          <w:b w:val="0"/>
          <w:color w:val="auto"/>
          <w:sz w:val="24"/>
          <w:szCs w:val="24"/>
        </w:rPr>
        <w:t xml:space="preserve"> et al</w:t>
      </w:r>
      <w:proofErr w:type="gramStart"/>
      <w:r w:rsidRPr="008802FF">
        <w:rPr>
          <w:b w:val="0"/>
          <w:color w:val="auto"/>
          <w:sz w:val="24"/>
          <w:szCs w:val="24"/>
        </w:rPr>
        <w:t>.</w:t>
      </w:r>
      <w:r w:rsidR="0075366F">
        <w:rPr>
          <w:b w:val="0"/>
          <w:noProof/>
          <w:color w:val="auto"/>
          <w:sz w:val="24"/>
          <w:szCs w:val="24"/>
        </w:rPr>
        <w:t>[</w:t>
      </w:r>
      <w:proofErr w:type="gramEnd"/>
      <w:r w:rsidR="0075366F">
        <w:rPr>
          <w:b w:val="0"/>
          <w:noProof/>
          <w:color w:val="auto"/>
          <w:sz w:val="24"/>
          <w:szCs w:val="24"/>
        </w:rPr>
        <w:t>1]</w:t>
      </w:r>
    </w:p>
    <w:p w:rsidR="00AD1E82" w:rsidRPr="008802FF" w:rsidRDefault="00AD1E82" w:rsidP="00AD1E82">
      <w:pPr>
        <w:keepNext/>
        <w:spacing w:line="240" w:lineRule="auto"/>
      </w:pPr>
    </w:p>
    <w:p w:rsidR="00AD1E82" w:rsidRPr="008802FF" w:rsidRDefault="00AD1E82" w:rsidP="00AD1E82"/>
    <w:p w:rsidR="00AD1E82" w:rsidRPr="008802FF" w:rsidRDefault="00AD1E82" w:rsidP="00AD1E82"/>
    <w:p w:rsidR="00AD1E82" w:rsidRPr="008802FF" w:rsidRDefault="00AD1E82" w:rsidP="00AD1E82">
      <w:pPr>
        <w:spacing w:line="240" w:lineRule="auto"/>
        <w:rPr>
          <w:bCs/>
        </w:rPr>
      </w:pPr>
      <w:r w:rsidRPr="008802FF">
        <w:rPr>
          <w:b/>
        </w:rPr>
        <w:br w:type="page"/>
      </w:r>
    </w:p>
    <w:p w:rsidR="00AD1E82" w:rsidRPr="008802FF" w:rsidRDefault="00AD1E82" w:rsidP="003D57E5">
      <w:r w:rsidRPr="008802FF">
        <w:lastRenderedPageBreak/>
        <w:t>HR</w:t>
      </w:r>
      <w:r>
        <w:t>-</w:t>
      </w:r>
      <w:proofErr w:type="spellStart"/>
      <w:r w:rsidRPr="008802FF">
        <w:t>QoL</w:t>
      </w:r>
      <w:proofErr w:type="spellEnd"/>
      <w:r w:rsidRPr="008802FF">
        <w:t xml:space="preserve"> data over time </w:t>
      </w:r>
      <w:r w:rsidR="003D57E5">
        <w:t xml:space="preserve">was </w:t>
      </w:r>
      <w:r w:rsidR="00BE37CF">
        <w:t>collected with use of the</w:t>
      </w:r>
      <w:r w:rsidRPr="008802FF">
        <w:t xml:space="preserve"> EQ-5D-3L instrument. The EQ-5D</w:t>
      </w:r>
      <w:r>
        <w:t>-3L</w:t>
      </w:r>
      <w:r w:rsidRPr="008802FF">
        <w:t xml:space="preserve"> is a combination of a questionnaire and a valuation technique using VAS. Th</w:t>
      </w:r>
      <w:r w:rsidR="003D57E5">
        <w:t>is</w:t>
      </w:r>
      <w:r w:rsidRPr="008802FF">
        <w:t xml:space="preserve"> </w:t>
      </w:r>
      <w:r>
        <w:t>instrument</w:t>
      </w:r>
      <w:r w:rsidRPr="008802FF">
        <w:t xml:space="preserve"> values health-related quality of life in five dimensions, i.e. mobility, self-care, usual activities, pain/discomfort and anxiety/depression, using three levels: no problems, some problems and severe problems. </w:t>
      </w:r>
      <w:r w:rsidR="003D57E5">
        <w:t xml:space="preserve">As </w:t>
      </w:r>
      <w:r w:rsidR="00474E40">
        <w:t xml:space="preserve">a </w:t>
      </w:r>
      <w:r w:rsidR="003D57E5">
        <w:t>baseline of HR-</w:t>
      </w:r>
      <w:proofErr w:type="spellStart"/>
      <w:r w:rsidR="003D57E5">
        <w:t>QoL</w:t>
      </w:r>
      <w:proofErr w:type="spellEnd"/>
      <w:r w:rsidR="003D57E5">
        <w:t xml:space="preserve"> we used data from </w:t>
      </w:r>
      <w:r w:rsidRPr="008802FF">
        <w:t xml:space="preserve">participants </w:t>
      </w:r>
      <w:r w:rsidR="003D57E5">
        <w:t>that were</w:t>
      </w:r>
      <w:r w:rsidRPr="008802FF">
        <w:t xml:space="preserve"> free of pain or itch a</w:t>
      </w:r>
      <w:r w:rsidR="003D57E5">
        <w:t>fter</w:t>
      </w:r>
      <w:r w:rsidRPr="008802FF">
        <w:t xml:space="preserve"> ≥3 months </w:t>
      </w:r>
      <w:r w:rsidR="003D57E5">
        <w:t>of dis</w:t>
      </w:r>
      <w:r w:rsidRPr="008802FF">
        <w:t>ease onset. Disutilities were</w:t>
      </w:r>
      <w:r w:rsidR="003D57E5">
        <w:t xml:space="preserve"> then</w:t>
      </w:r>
      <w:r w:rsidRPr="008802FF">
        <w:t xml:space="preserve"> calculated by subtracting the HR</w:t>
      </w:r>
      <w:r>
        <w:t>-</w:t>
      </w:r>
      <w:proofErr w:type="spellStart"/>
      <w:r w:rsidRPr="008802FF">
        <w:t>QoL</w:t>
      </w:r>
      <w:proofErr w:type="spellEnd"/>
      <w:r w:rsidRPr="008802FF">
        <w:t xml:space="preserve"> of the pain state from this baseline. We calculated average EQ-5D</w:t>
      </w:r>
      <w:r>
        <w:t>-3L</w:t>
      </w:r>
      <w:r w:rsidRPr="008802FF">
        <w:t xml:space="preserve"> scores per pain-severity level at inclusion, after 2 weeks and after 1 month. For the period of 3 months and after, we used </w:t>
      </w:r>
      <w:r w:rsidR="00BE37CF">
        <w:t>aggregated</w:t>
      </w:r>
      <w:r w:rsidRPr="008802FF">
        <w:t xml:space="preserve"> EQ-5D</w:t>
      </w:r>
      <w:r>
        <w:t>-3L</w:t>
      </w:r>
      <w:r w:rsidRPr="008802FF">
        <w:t xml:space="preserve"> scores </w:t>
      </w:r>
      <w:r w:rsidR="00BE37CF">
        <w:t>from</w:t>
      </w:r>
      <w:r w:rsidRPr="008802FF">
        <w:t xml:space="preserve"> the 3, 6, 9 and 12 months measurement points due to low patient counts. EQ-5D</w:t>
      </w:r>
      <w:r>
        <w:t>-3L</w:t>
      </w:r>
      <w:r w:rsidRPr="008802FF">
        <w:t xml:space="preserve"> scores are shown in Table S2 and Figure S4.</w:t>
      </w:r>
    </w:p>
    <w:p w:rsidR="00AD1E82" w:rsidRPr="008802FF" w:rsidRDefault="00AD1E82" w:rsidP="00AD1E82">
      <w:pPr>
        <w:spacing w:line="240" w:lineRule="auto"/>
      </w:pPr>
    </w:p>
    <w:p w:rsidR="00AD1E82" w:rsidRPr="008802FF" w:rsidRDefault="00AD1E82" w:rsidP="00AD1E82">
      <w:pPr>
        <w:pStyle w:val="Caption"/>
        <w:keepNext/>
        <w:rPr>
          <w:b w:val="0"/>
          <w:color w:val="auto"/>
          <w:sz w:val="24"/>
          <w:szCs w:val="24"/>
        </w:rPr>
      </w:pPr>
      <w:bookmarkStart w:id="4" w:name="_Ref503539271"/>
      <w:r w:rsidRPr="008802FF">
        <w:rPr>
          <w:b w:val="0"/>
          <w:color w:val="auto"/>
          <w:sz w:val="24"/>
          <w:szCs w:val="24"/>
        </w:rPr>
        <w:t>Table S</w:t>
      </w:r>
      <w:r w:rsidRPr="008802FF">
        <w:rPr>
          <w:b w:val="0"/>
          <w:noProof/>
          <w:color w:val="auto"/>
          <w:sz w:val="24"/>
          <w:szCs w:val="24"/>
        </w:rPr>
        <w:t>2</w:t>
      </w:r>
      <w:bookmarkEnd w:id="4"/>
      <w:r w:rsidRPr="008802FF">
        <w:rPr>
          <w:b w:val="0"/>
          <w:color w:val="auto"/>
          <w:sz w:val="24"/>
          <w:szCs w:val="24"/>
        </w:rPr>
        <w:t xml:space="preserve">: Utilities of the different pain severity states </w:t>
      </w:r>
      <w:r>
        <w:rPr>
          <w:b w:val="0"/>
          <w:color w:val="auto"/>
          <w:sz w:val="24"/>
          <w:szCs w:val="24"/>
        </w:rPr>
        <w:t xml:space="preserve">of herpes zoster </w:t>
      </w:r>
      <w:r w:rsidRPr="008802FF">
        <w:rPr>
          <w:b w:val="0"/>
          <w:color w:val="auto"/>
          <w:sz w:val="24"/>
          <w:szCs w:val="24"/>
        </w:rPr>
        <w:t>over time using EQ-5D</w:t>
      </w:r>
      <w:r>
        <w:rPr>
          <w:b w:val="0"/>
          <w:color w:val="auto"/>
          <w:sz w:val="24"/>
          <w:szCs w:val="24"/>
        </w:rPr>
        <w:t>-3L</w:t>
      </w:r>
      <w:r w:rsidRPr="008802FF">
        <w:rPr>
          <w:b w:val="0"/>
          <w:color w:val="auto"/>
          <w:sz w:val="24"/>
          <w:szCs w:val="24"/>
        </w:rPr>
        <w:t xml:space="preserve"> data. Data was obtained from Van </w:t>
      </w:r>
      <w:proofErr w:type="spellStart"/>
      <w:r w:rsidRPr="008802FF">
        <w:rPr>
          <w:b w:val="0"/>
          <w:color w:val="auto"/>
          <w:sz w:val="24"/>
          <w:szCs w:val="24"/>
        </w:rPr>
        <w:t>Wijck</w:t>
      </w:r>
      <w:proofErr w:type="spellEnd"/>
      <w:r w:rsidRPr="008802FF">
        <w:rPr>
          <w:b w:val="0"/>
          <w:color w:val="auto"/>
          <w:sz w:val="24"/>
          <w:szCs w:val="24"/>
        </w:rPr>
        <w:t xml:space="preserve"> et al</w:t>
      </w:r>
      <w:proofErr w:type="gramStart"/>
      <w:r w:rsidRPr="008802FF">
        <w:rPr>
          <w:b w:val="0"/>
          <w:color w:val="auto"/>
          <w:sz w:val="24"/>
          <w:szCs w:val="24"/>
        </w:rPr>
        <w:t>.</w:t>
      </w:r>
      <w:r w:rsidR="0075366F">
        <w:rPr>
          <w:b w:val="0"/>
          <w:noProof/>
          <w:color w:val="auto"/>
          <w:sz w:val="24"/>
          <w:szCs w:val="24"/>
        </w:rPr>
        <w:t>[</w:t>
      </w:r>
      <w:proofErr w:type="gramEnd"/>
      <w:r w:rsidR="0075366F">
        <w:rPr>
          <w:b w:val="0"/>
          <w:noProof/>
          <w:color w:val="auto"/>
          <w:sz w:val="24"/>
          <w:szCs w:val="24"/>
        </w:rPr>
        <w:t>1]</w:t>
      </w:r>
    </w:p>
    <w:tbl>
      <w:tblPr>
        <w:tblStyle w:val="TableGrid"/>
        <w:tblW w:w="417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8"/>
        <w:gridCol w:w="1465"/>
        <w:gridCol w:w="1428"/>
        <w:gridCol w:w="1268"/>
        <w:gridCol w:w="1417"/>
      </w:tblGrid>
      <w:tr w:rsidR="00AD1E82" w:rsidRPr="008802FF" w:rsidTr="00997B5C">
        <w:tc>
          <w:tcPr>
            <w:tcW w:w="1512" w:type="pct"/>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Pain severity state by measurement point</w:t>
            </w:r>
          </w:p>
        </w:tc>
        <w:tc>
          <w:tcPr>
            <w:tcW w:w="916" w:type="pct"/>
            <w:tcBorders>
              <w:top w:val="single" w:sz="4" w:space="0" w:color="auto"/>
              <w:bottom w:val="single" w:sz="4" w:space="0" w:color="auto"/>
            </w:tcBorders>
          </w:tcPr>
          <w:p w:rsidR="00AD1E82" w:rsidRPr="008802FF" w:rsidRDefault="00AD1E82" w:rsidP="00997B5C">
            <w:pPr>
              <w:spacing w:line="240" w:lineRule="auto"/>
              <w:jc w:val="center"/>
              <w:rPr>
                <w:b/>
                <w:sz w:val="20"/>
              </w:rPr>
            </w:pPr>
            <w:r w:rsidRPr="008802FF">
              <w:rPr>
                <w:b/>
                <w:sz w:val="20"/>
              </w:rPr>
              <w:t xml:space="preserve">Average </w:t>
            </w:r>
            <w:r>
              <w:rPr>
                <w:b/>
                <w:sz w:val="20"/>
              </w:rPr>
              <w:br/>
            </w:r>
            <w:r w:rsidRPr="008802FF">
              <w:rPr>
                <w:b/>
                <w:sz w:val="20"/>
              </w:rPr>
              <w:t>EQ-5D</w:t>
            </w:r>
            <w:r>
              <w:rPr>
                <w:b/>
                <w:sz w:val="20"/>
              </w:rPr>
              <w:t>-3L</w:t>
            </w:r>
            <w:r w:rsidRPr="008802FF">
              <w:rPr>
                <w:b/>
                <w:sz w:val="20"/>
              </w:rPr>
              <w:t xml:space="preserve"> score</w:t>
            </w:r>
          </w:p>
        </w:tc>
        <w:tc>
          <w:tcPr>
            <w:tcW w:w="893" w:type="pct"/>
            <w:tcBorders>
              <w:top w:val="single" w:sz="4" w:space="0" w:color="auto"/>
              <w:bottom w:val="single" w:sz="4" w:space="0" w:color="auto"/>
            </w:tcBorders>
          </w:tcPr>
          <w:p w:rsidR="00AD1E82" w:rsidRPr="008802FF" w:rsidRDefault="00AD1E82" w:rsidP="00997B5C">
            <w:pPr>
              <w:spacing w:line="240" w:lineRule="auto"/>
              <w:jc w:val="center"/>
              <w:rPr>
                <w:b/>
                <w:sz w:val="20"/>
              </w:rPr>
            </w:pPr>
            <w:r w:rsidRPr="008802FF">
              <w:rPr>
                <w:b/>
                <w:sz w:val="20"/>
              </w:rPr>
              <w:t>Lower</w:t>
            </w:r>
          </w:p>
        </w:tc>
        <w:tc>
          <w:tcPr>
            <w:tcW w:w="793" w:type="pct"/>
            <w:tcBorders>
              <w:top w:val="single" w:sz="4" w:space="0" w:color="auto"/>
              <w:bottom w:val="single" w:sz="4" w:space="0" w:color="auto"/>
            </w:tcBorders>
          </w:tcPr>
          <w:p w:rsidR="00AD1E82" w:rsidRPr="008802FF" w:rsidRDefault="00AD1E82" w:rsidP="00997B5C">
            <w:pPr>
              <w:spacing w:line="240" w:lineRule="auto"/>
              <w:jc w:val="center"/>
              <w:rPr>
                <w:b/>
                <w:sz w:val="20"/>
              </w:rPr>
            </w:pPr>
            <w:r w:rsidRPr="008802FF">
              <w:rPr>
                <w:b/>
                <w:sz w:val="20"/>
              </w:rPr>
              <w:t>Upper</w:t>
            </w:r>
          </w:p>
        </w:tc>
        <w:tc>
          <w:tcPr>
            <w:tcW w:w="886" w:type="pct"/>
            <w:tcBorders>
              <w:top w:val="single" w:sz="4" w:space="0" w:color="auto"/>
              <w:bottom w:val="single" w:sz="4" w:space="0" w:color="auto"/>
            </w:tcBorders>
          </w:tcPr>
          <w:p w:rsidR="00AD1E82" w:rsidRPr="008802FF" w:rsidRDefault="00AD1E82" w:rsidP="00997B5C">
            <w:pPr>
              <w:spacing w:line="240" w:lineRule="auto"/>
              <w:jc w:val="center"/>
              <w:rPr>
                <w:b/>
                <w:sz w:val="20"/>
              </w:rPr>
            </w:pPr>
            <w:r>
              <w:rPr>
                <w:b/>
                <w:sz w:val="20"/>
              </w:rPr>
              <w:t>Distribution</w:t>
            </w:r>
          </w:p>
        </w:tc>
      </w:tr>
      <w:tr w:rsidR="00AD1E82" w:rsidRPr="008802FF" w:rsidTr="00997B5C">
        <w:tc>
          <w:tcPr>
            <w:tcW w:w="1512" w:type="pct"/>
            <w:tcBorders>
              <w:top w:val="single" w:sz="4" w:space="0" w:color="auto"/>
            </w:tcBorders>
          </w:tcPr>
          <w:p w:rsidR="00AD1E82" w:rsidRPr="008802FF" w:rsidRDefault="00AD1E82" w:rsidP="00997B5C">
            <w:pPr>
              <w:spacing w:line="240" w:lineRule="auto"/>
              <w:rPr>
                <w:sz w:val="20"/>
              </w:rPr>
            </w:pPr>
            <w:r w:rsidRPr="008802FF">
              <w:rPr>
                <w:sz w:val="20"/>
              </w:rPr>
              <w:t>Baseline</w:t>
            </w:r>
          </w:p>
        </w:tc>
        <w:tc>
          <w:tcPr>
            <w:tcW w:w="916" w:type="pct"/>
            <w:tcBorders>
              <w:top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0.967</w:t>
            </w:r>
          </w:p>
        </w:tc>
        <w:tc>
          <w:tcPr>
            <w:tcW w:w="893" w:type="pct"/>
            <w:tcBorders>
              <w:top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0.963</w:t>
            </w:r>
          </w:p>
        </w:tc>
        <w:tc>
          <w:tcPr>
            <w:tcW w:w="793" w:type="pct"/>
            <w:tcBorders>
              <w:top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0.972</w:t>
            </w:r>
          </w:p>
        </w:tc>
        <w:tc>
          <w:tcPr>
            <w:tcW w:w="886" w:type="pct"/>
            <w:tcBorders>
              <w:top w:val="single" w:sz="4" w:space="0" w:color="auto"/>
            </w:tcBorders>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No pain</w:t>
            </w:r>
          </w:p>
        </w:tc>
        <w:tc>
          <w:tcPr>
            <w:tcW w:w="916" w:type="pct"/>
            <w:vAlign w:val="center"/>
          </w:tcPr>
          <w:p w:rsidR="00AD1E82" w:rsidRPr="008802FF" w:rsidRDefault="00AD1E82" w:rsidP="00997B5C">
            <w:pPr>
              <w:spacing w:line="240" w:lineRule="auto"/>
              <w:jc w:val="right"/>
              <w:rPr>
                <w:sz w:val="20"/>
                <w:szCs w:val="20"/>
              </w:rPr>
            </w:pPr>
          </w:p>
        </w:tc>
        <w:tc>
          <w:tcPr>
            <w:tcW w:w="893" w:type="pct"/>
            <w:vAlign w:val="center"/>
          </w:tcPr>
          <w:p w:rsidR="00AD1E82" w:rsidRPr="008802FF" w:rsidRDefault="00AD1E82" w:rsidP="00997B5C">
            <w:pPr>
              <w:spacing w:line="240" w:lineRule="auto"/>
              <w:jc w:val="right"/>
              <w:rPr>
                <w:sz w:val="20"/>
                <w:szCs w:val="20"/>
              </w:rPr>
            </w:pPr>
          </w:p>
        </w:tc>
        <w:tc>
          <w:tcPr>
            <w:tcW w:w="793" w:type="pct"/>
            <w:vAlign w:val="center"/>
          </w:tcPr>
          <w:p w:rsidR="00AD1E82" w:rsidRPr="008802FF" w:rsidRDefault="00AD1E82" w:rsidP="00997B5C">
            <w:pPr>
              <w:spacing w:line="240" w:lineRule="auto"/>
              <w:jc w:val="right"/>
              <w:rPr>
                <w:sz w:val="20"/>
                <w:szCs w:val="20"/>
              </w:rPr>
            </w:pPr>
          </w:p>
        </w:tc>
        <w:tc>
          <w:tcPr>
            <w:tcW w:w="886" w:type="pct"/>
          </w:tcPr>
          <w:p w:rsidR="00AD1E82" w:rsidRPr="008802FF" w:rsidRDefault="00AD1E82" w:rsidP="00997B5C">
            <w:pPr>
              <w:spacing w:line="240" w:lineRule="auto"/>
              <w:jc w:val="center"/>
              <w:rPr>
                <w:sz w:val="20"/>
              </w:rPr>
            </w:pP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Inclusion</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0.910</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0.861</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0.959</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2 weeks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0.951</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0.936</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0.967</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1 month</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0.959</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0.949</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0.970</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Mild pain</w:t>
            </w:r>
          </w:p>
        </w:tc>
        <w:tc>
          <w:tcPr>
            <w:tcW w:w="916" w:type="pct"/>
            <w:vAlign w:val="center"/>
          </w:tcPr>
          <w:p w:rsidR="00AD1E82" w:rsidRPr="008802FF" w:rsidRDefault="00AD1E82" w:rsidP="00997B5C">
            <w:pPr>
              <w:spacing w:line="240" w:lineRule="auto"/>
              <w:jc w:val="right"/>
              <w:rPr>
                <w:sz w:val="20"/>
                <w:szCs w:val="20"/>
              </w:rPr>
            </w:pPr>
          </w:p>
        </w:tc>
        <w:tc>
          <w:tcPr>
            <w:tcW w:w="893" w:type="pct"/>
            <w:vAlign w:val="center"/>
          </w:tcPr>
          <w:p w:rsidR="00AD1E82" w:rsidRPr="008802FF" w:rsidRDefault="00AD1E82" w:rsidP="00997B5C">
            <w:pPr>
              <w:spacing w:line="240" w:lineRule="auto"/>
              <w:jc w:val="right"/>
              <w:rPr>
                <w:sz w:val="20"/>
                <w:szCs w:val="20"/>
              </w:rPr>
            </w:pPr>
          </w:p>
        </w:tc>
        <w:tc>
          <w:tcPr>
            <w:tcW w:w="793" w:type="pct"/>
            <w:vAlign w:val="center"/>
          </w:tcPr>
          <w:p w:rsidR="00AD1E82" w:rsidRPr="008802FF" w:rsidRDefault="00AD1E82" w:rsidP="00997B5C">
            <w:pPr>
              <w:spacing w:line="240" w:lineRule="auto"/>
              <w:jc w:val="right"/>
              <w:rPr>
                <w:sz w:val="20"/>
                <w:szCs w:val="20"/>
              </w:rPr>
            </w:pPr>
          </w:p>
        </w:tc>
        <w:tc>
          <w:tcPr>
            <w:tcW w:w="886" w:type="pct"/>
          </w:tcPr>
          <w:p w:rsidR="00AD1E82" w:rsidRPr="008802FF" w:rsidRDefault="00AD1E82" w:rsidP="00997B5C">
            <w:pPr>
              <w:spacing w:line="240" w:lineRule="auto"/>
              <w:jc w:val="center"/>
              <w:rPr>
                <w:sz w:val="20"/>
              </w:rPr>
            </w:pP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Inclusion</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0.782</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0.754</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0.810</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2 weeks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0.786</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0.764</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0.808</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1 month</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0.798</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0.785</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0.812</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 3 months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0.772</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0.756</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0.788</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Moderate pain</w:t>
            </w:r>
          </w:p>
        </w:tc>
        <w:tc>
          <w:tcPr>
            <w:tcW w:w="916" w:type="pct"/>
            <w:vAlign w:val="center"/>
          </w:tcPr>
          <w:p w:rsidR="00AD1E82" w:rsidRPr="008802FF" w:rsidRDefault="00AD1E82" w:rsidP="00997B5C">
            <w:pPr>
              <w:spacing w:line="240" w:lineRule="auto"/>
              <w:jc w:val="right"/>
              <w:rPr>
                <w:sz w:val="20"/>
                <w:szCs w:val="20"/>
              </w:rPr>
            </w:pPr>
          </w:p>
        </w:tc>
        <w:tc>
          <w:tcPr>
            <w:tcW w:w="893" w:type="pct"/>
            <w:vAlign w:val="center"/>
          </w:tcPr>
          <w:p w:rsidR="00AD1E82" w:rsidRPr="008802FF" w:rsidRDefault="00AD1E82" w:rsidP="00997B5C">
            <w:pPr>
              <w:spacing w:line="240" w:lineRule="auto"/>
              <w:jc w:val="right"/>
              <w:rPr>
                <w:sz w:val="20"/>
                <w:szCs w:val="20"/>
              </w:rPr>
            </w:pPr>
          </w:p>
        </w:tc>
        <w:tc>
          <w:tcPr>
            <w:tcW w:w="793" w:type="pct"/>
            <w:vAlign w:val="center"/>
          </w:tcPr>
          <w:p w:rsidR="00AD1E82" w:rsidRPr="008802FF" w:rsidRDefault="00AD1E82" w:rsidP="00997B5C">
            <w:pPr>
              <w:spacing w:line="240" w:lineRule="auto"/>
              <w:jc w:val="right"/>
              <w:rPr>
                <w:sz w:val="20"/>
                <w:szCs w:val="20"/>
              </w:rPr>
            </w:pPr>
          </w:p>
        </w:tc>
        <w:tc>
          <w:tcPr>
            <w:tcW w:w="886" w:type="pct"/>
          </w:tcPr>
          <w:p w:rsidR="00AD1E82" w:rsidRPr="008802FF" w:rsidRDefault="00AD1E82" w:rsidP="00997B5C">
            <w:pPr>
              <w:spacing w:line="240" w:lineRule="auto"/>
              <w:jc w:val="center"/>
              <w:rPr>
                <w:sz w:val="20"/>
              </w:rPr>
            </w:pP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Inclusion</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0.705</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0.684</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0.727</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2 weeks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0.714</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0.685</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0.742</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1 month</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0.760</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0.732</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0.788</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 3 months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0.754</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0.730</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0.778</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Severe pain</w:t>
            </w:r>
          </w:p>
        </w:tc>
        <w:tc>
          <w:tcPr>
            <w:tcW w:w="916" w:type="pct"/>
            <w:vAlign w:val="center"/>
          </w:tcPr>
          <w:p w:rsidR="00AD1E82" w:rsidRPr="008802FF" w:rsidRDefault="00AD1E82" w:rsidP="00997B5C">
            <w:pPr>
              <w:spacing w:line="240" w:lineRule="auto"/>
              <w:jc w:val="right"/>
              <w:rPr>
                <w:sz w:val="20"/>
                <w:szCs w:val="20"/>
              </w:rPr>
            </w:pPr>
          </w:p>
        </w:tc>
        <w:tc>
          <w:tcPr>
            <w:tcW w:w="893" w:type="pct"/>
            <w:vAlign w:val="center"/>
          </w:tcPr>
          <w:p w:rsidR="00AD1E82" w:rsidRPr="008802FF" w:rsidRDefault="00AD1E82" w:rsidP="00997B5C">
            <w:pPr>
              <w:spacing w:line="240" w:lineRule="auto"/>
              <w:jc w:val="right"/>
              <w:rPr>
                <w:sz w:val="20"/>
                <w:szCs w:val="20"/>
              </w:rPr>
            </w:pPr>
          </w:p>
        </w:tc>
        <w:tc>
          <w:tcPr>
            <w:tcW w:w="793" w:type="pct"/>
            <w:vAlign w:val="center"/>
          </w:tcPr>
          <w:p w:rsidR="00AD1E82" w:rsidRPr="008802FF" w:rsidRDefault="00AD1E82" w:rsidP="00997B5C">
            <w:pPr>
              <w:spacing w:line="240" w:lineRule="auto"/>
              <w:jc w:val="right"/>
              <w:rPr>
                <w:sz w:val="20"/>
                <w:szCs w:val="20"/>
              </w:rPr>
            </w:pPr>
          </w:p>
        </w:tc>
        <w:tc>
          <w:tcPr>
            <w:tcW w:w="886" w:type="pct"/>
          </w:tcPr>
          <w:p w:rsidR="00AD1E82" w:rsidRPr="008802FF" w:rsidRDefault="00AD1E82" w:rsidP="00997B5C">
            <w:pPr>
              <w:spacing w:line="240" w:lineRule="auto"/>
              <w:jc w:val="center"/>
              <w:rPr>
                <w:sz w:val="20"/>
              </w:rPr>
            </w:pP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Inclusion</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0.492</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0.449</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0.534</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2 weeks</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0.656</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0.597</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0.715</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Pr>
          <w:p w:rsidR="00AD1E82" w:rsidRPr="008802FF" w:rsidRDefault="00AD1E82" w:rsidP="00997B5C">
            <w:pPr>
              <w:spacing w:line="240" w:lineRule="auto"/>
              <w:rPr>
                <w:sz w:val="20"/>
              </w:rPr>
            </w:pPr>
            <w:r w:rsidRPr="008802FF">
              <w:rPr>
                <w:sz w:val="20"/>
              </w:rPr>
              <w:t xml:space="preserve">   1 month</w:t>
            </w:r>
          </w:p>
        </w:tc>
        <w:tc>
          <w:tcPr>
            <w:tcW w:w="916" w:type="pct"/>
            <w:vAlign w:val="center"/>
          </w:tcPr>
          <w:p w:rsidR="00AD1E82" w:rsidRPr="008802FF" w:rsidRDefault="00AD1E82" w:rsidP="00997B5C">
            <w:pPr>
              <w:spacing w:line="240" w:lineRule="auto"/>
              <w:jc w:val="right"/>
              <w:rPr>
                <w:sz w:val="20"/>
                <w:szCs w:val="20"/>
              </w:rPr>
            </w:pPr>
            <w:r w:rsidRPr="008802FF">
              <w:rPr>
                <w:color w:val="000000"/>
                <w:sz w:val="20"/>
                <w:szCs w:val="20"/>
              </w:rPr>
              <w:t>0.649</w:t>
            </w:r>
          </w:p>
        </w:tc>
        <w:tc>
          <w:tcPr>
            <w:tcW w:w="893" w:type="pct"/>
            <w:vAlign w:val="center"/>
          </w:tcPr>
          <w:p w:rsidR="00AD1E82" w:rsidRPr="008802FF" w:rsidRDefault="00AD1E82" w:rsidP="00997B5C">
            <w:pPr>
              <w:spacing w:line="240" w:lineRule="auto"/>
              <w:jc w:val="right"/>
              <w:rPr>
                <w:sz w:val="20"/>
                <w:szCs w:val="20"/>
              </w:rPr>
            </w:pPr>
            <w:r w:rsidRPr="008802FF">
              <w:rPr>
                <w:color w:val="000000"/>
                <w:sz w:val="20"/>
                <w:szCs w:val="20"/>
              </w:rPr>
              <w:t>0.535</w:t>
            </w:r>
          </w:p>
        </w:tc>
        <w:tc>
          <w:tcPr>
            <w:tcW w:w="793" w:type="pct"/>
            <w:vAlign w:val="center"/>
          </w:tcPr>
          <w:p w:rsidR="00AD1E82" w:rsidRPr="008802FF" w:rsidRDefault="00AD1E82" w:rsidP="00997B5C">
            <w:pPr>
              <w:spacing w:line="240" w:lineRule="auto"/>
              <w:jc w:val="right"/>
              <w:rPr>
                <w:sz w:val="20"/>
                <w:szCs w:val="20"/>
              </w:rPr>
            </w:pPr>
            <w:r w:rsidRPr="008802FF">
              <w:rPr>
                <w:color w:val="000000"/>
                <w:sz w:val="20"/>
                <w:szCs w:val="20"/>
              </w:rPr>
              <w:t>0.763</w:t>
            </w:r>
          </w:p>
        </w:tc>
        <w:tc>
          <w:tcPr>
            <w:tcW w:w="886" w:type="pct"/>
          </w:tcPr>
          <w:p w:rsidR="00AD1E82" w:rsidRPr="008802FF" w:rsidRDefault="00AD1E82" w:rsidP="00997B5C">
            <w:pPr>
              <w:spacing w:line="240" w:lineRule="auto"/>
              <w:jc w:val="center"/>
              <w:rPr>
                <w:sz w:val="20"/>
              </w:rPr>
            </w:pPr>
            <w:r w:rsidRPr="008802FF">
              <w:rPr>
                <w:sz w:val="20"/>
              </w:rPr>
              <w:t>Beta</w:t>
            </w:r>
          </w:p>
        </w:tc>
      </w:tr>
      <w:tr w:rsidR="00AD1E82" w:rsidRPr="008802FF" w:rsidTr="00997B5C">
        <w:tc>
          <w:tcPr>
            <w:tcW w:w="1512" w:type="pct"/>
            <w:tcBorders>
              <w:bottom w:val="single" w:sz="4" w:space="0" w:color="auto"/>
            </w:tcBorders>
          </w:tcPr>
          <w:p w:rsidR="00AD1E82" w:rsidRPr="008802FF" w:rsidRDefault="00AD1E82" w:rsidP="00997B5C">
            <w:pPr>
              <w:spacing w:line="240" w:lineRule="auto"/>
              <w:rPr>
                <w:sz w:val="20"/>
              </w:rPr>
            </w:pPr>
            <w:r w:rsidRPr="008802FF">
              <w:rPr>
                <w:sz w:val="20"/>
              </w:rPr>
              <w:t xml:space="preserve">   ≥ 3 months</w:t>
            </w:r>
          </w:p>
        </w:tc>
        <w:tc>
          <w:tcPr>
            <w:tcW w:w="916" w:type="pct"/>
            <w:tcBorders>
              <w:bottom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0.600</w:t>
            </w:r>
          </w:p>
        </w:tc>
        <w:tc>
          <w:tcPr>
            <w:tcW w:w="893" w:type="pct"/>
            <w:tcBorders>
              <w:bottom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0.495</w:t>
            </w:r>
          </w:p>
        </w:tc>
        <w:tc>
          <w:tcPr>
            <w:tcW w:w="793" w:type="pct"/>
            <w:tcBorders>
              <w:bottom w:val="single" w:sz="4" w:space="0" w:color="auto"/>
            </w:tcBorders>
            <w:vAlign w:val="center"/>
          </w:tcPr>
          <w:p w:rsidR="00AD1E82" w:rsidRPr="008802FF" w:rsidRDefault="00AD1E82" w:rsidP="00997B5C">
            <w:pPr>
              <w:spacing w:line="240" w:lineRule="auto"/>
              <w:jc w:val="right"/>
              <w:rPr>
                <w:sz w:val="20"/>
                <w:szCs w:val="20"/>
              </w:rPr>
            </w:pPr>
            <w:r w:rsidRPr="008802FF">
              <w:rPr>
                <w:color w:val="000000"/>
                <w:sz w:val="20"/>
                <w:szCs w:val="20"/>
              </w:rPr>
              <w:t>0.705</w:t>
            </w:r>
          </w:p>
        </w:tc>
        <w:tc>
          <w:tcPr>
            <w:tcW w:w="886" w:type="pct"/>
            <w:tcBorders>
              <w:bottom w:val="single" w:sz="4" w:space="0" w:color="auto"/>
            </w:tcBorders>
          </w:tcPr>
          <w:p w:rsidR="00AD1E82" w:rsidRPr="008802FF" w:rsidRDefault="00AD1E82" w:rsidP="00997B5C">
            <w:pPr>
              <w:spacing w:line="240" w:lineRule="auto"/>
              <w:jc w:val="center"/>
              <w:rPr>
                <w:sz w:val="20"/>
              </w:rPr>
            </w:pPr>
            <w:r w:rsidRPr="008802FF">
              <w:rPr>
                <w:sz w:val="20"/>
              </w:rPr>
              <w:t>Beta</w:t>
            </w:r>
          </w:p>
        </w:tc>
      </w:tr>
    </w:tbl>
    <w:p w:rsidR="00AD1E82" w:rsidRPr="008802FF" w:rsidRDefault="00AD1E82" w:rsidP="00AD1E82">
      <w:pPr>
        <w:spacing w:line="240" w:lineRule="auto"/>
      </w:pPr>
    </w:p>
    <w:p w:rsidR="00AD1E82" w:rsidRPr="008802FF" w:rsidRDefault="00B06E91" w:rsidP="00AD1E82">
      <w:pPr>
        <w:keepNext/>
        <w:spacing w:line="240" w:lineRule="auto"/>
      </w:pPr>
      <w:r>
        <w:rPr>
          <w:noProof/>
          <w:lang w:val="en-US"/>
        </w:rPr>
        <w:lastRenderedPageBreak/>
        <w:drawing>
          <wp:inline distT="0" distB="0" distL="0" distR="0">
            <wp:extent cx="5020056" cy="227685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0056" cy="2276856"/>
                    </a:xfrm>
                    <a:prstGeom prst="rect">
                      <a:avLst/>
                    </a:prstGeom>
                  </pic:spPr>
                </pic:pic>
              </a:graphicData>
            </a:graphic>
          </wp:inline>
        </w:drawing>
      </w:r>
    </w:p>
    <w:p w:rsidR="00AD1E82" w:rsidRPr="008802FF" w:rsidRDefault="00AD1E82" w:rsidP="00AD1E82">
      <w:pPr>
        <w:pStyle w:val="Caption"/>
        <w:rPr>
          <w:b w:val="0"/>
          <w:color w:val="auto"/>
          <w:sz w:val="24"/>
          <w:szCs w:val="24"/>
        </w:rPr>
      </w:pPr>
      <w:bookmarkStart w:id="5" w:name="_Ref512456553"/>
      <w:r w:rsidRPr="008802FF">
        <w:rPr>
          <w:b w:val="0"/>
          <w:color w:val="auto"/>
          <w:sz w:val="24"/>
          <w:szCs w:val="24"/>
        </w:rPr>
        <w:t>Figure S</w:t>
      </w:r>
      <w:r w:rsidR="00864629">
        <w:rPr>
          <w:b w:val="0"/>
          <w:noProof/>
          <w:color w:val="auto"/>
          <w:sz w:val="24"/>
          <w:szCs w:val="24"/>
        </w:rPr>
        <w:t>4</w:t>
      </w:r>
      <w:bookmarkEnd w:id="5"/>
      <w:r w:rsidRPr="008802FF">
        <w:rPr>
          <w:b w:val="0"/>
          <w:color w:val="auto"/>
          <w:sz w:val="24"/>
          <w:szCs w:val="24"/>
        </w:rPr>
        <w:t>: Mean EQ-5D</w:t>
      </w:r>
      <w:r>
        <w:rPr>
          <w:b w:val="0"/>
          <w:color w:val="auto"/>
          <w:sz w:val="24"/>
          <w:szCs w:val="24"/>
        </w:rPr>
        <w:t>-3L</w:t>
      </w:r>
      <w:r w:rsidRPr="008802FF">
        <w:rPr>
          <w:b w:val="0"/>
          <w:color w:val="auto"/>
          <w:sz w:val="24"/>
          <w:szCs w:val="24"/>
        </w:rPr>
        <w:t xml:space="preserve"> score related to </w:t>
      </w:r>
      <w:r>
        <w:rPr>
          <w:b w:val="0"/>
          <w:color w:val="auto"/>
          <w:sz w:val="24"/>
          <w:szCs w:val="24"/>
        </w:rPr>
        <w:t>herpes zoster</w:t>
      </w:r>
      <w:r w:rsidRPr="008802FF">
        <w:rPr>
          <w:b w:val="0"/>
          <w:color w:val="auto"/>
          <w:sz w:val="24"/>
          <w:szCs w:val="24"/>
        </w:rPr>
        <w:t xml:space="preserve"> by pain severity level. Data was obtained from Van </w:t>
      </w:r>
      <w:proofErr w:type="spellStart"/>
      <w:r w:rsidRPr="008802FF">
        <w:rPr>
          <w:b w:val="0"/>
          <w:color w:val="auto"/>
          <w:sz w:val="24"/>
          <w:szCs w:val="24"/>
        </w:rPr>
        <w:t>Wijck</w:t>
      </w:r>
      <w:proofErr w:type="spellEnd"/>
      <w:r w:rsidRPr="008802FF">
        <w:rPr>
          <w:b w:val="0"/>
          <w:color w:val="auto"/>
          <w:sz w:val="24"/>
          <w:szCs w:val="24"/>
        </w:rPr>
        <w:t xml:space="preserve"> et al</w:t>
      </w:r>
      <w:proofErr w:type="gramStart"/>
      <w:r w:rsidRPr="008802FF">
        <w:rPr>
          <w:b w:val="0"/>
          <w:color w:val="auto"/>
          <w:sz w:val="24"/>
          <w:szCs w:val="24"/>
        </w:rPr>
        <w:t>.</w:t>
      </w:r>
      <w:r w:rsidR="0075366F">
        <w:rPr>
          <w:b w:val="0"/>
          <w:noProof/>
          <w:color w:val="auto"/>
          <w:sz w:val="24"/>
          <w:szCs w:val="24"/>
        </w:rPr>
        <w:t>[</w:t>
      </w:r>
      <w:proofErr w:type="gramEnd"/>
      <w:r w:rsidR="0075366F">
        <w:rPr>
          <w:b w:val="0"/>
          <w:noProof/>
          <w:color w:val="auto"/>
          <w:sz w:val="24"/>
          <w:szCs w:val="24"/>
        </w:rPr>
        <w:t>1]</w:t>
      </w:r>
    </w:p>
    <w:p w:rsidR="00AD1E82" w:rsidRPr="008802FF" w:rsidRDefault="00AD1E82" w:rsidP="00AD1E82">
      <w:pPr>
        <w:spacing w:line="240" w:lineRule="auto"/>
      </w:pPr>
      <w:r w:rsidRPr="008802FF">
        <w:t xml:space="preserve"> </w:t>
      </w:r>
    </w:p>
    <w:p w:rsidR="00AD1E82" w:rsidRPr="008802FF" w:rsidRDefault="00AD1E82" w:rsidP="00AD1E82">
      <w:r w:rsidRPr="008802FF">
        <w:tab/>
        <w:t>LY lost due to HZ-related mortality were estimated using life tables and age-specific life-expectancies from the general population</w:t>
      </w:r>
      <w:r w:rsidR="0075366F">
        <w:t xml:space="preserve"> </w:t>
      </w:r>
      <w:r w:rsidR="0075366F">
        <w:rPr>
          <w:noProof/>
        </w:rPr>
        <w:t>[2]</w:t>
      </w:r>
      <w:r w:rsidR="0075366F">
        <w:t>.</w:t>
      </w:r>
      <w:r w:rsidRPr="008802FF">
        <w:t xml:space="preserve"> Life-expectancies were then converted to QALYs using EQ-5D-3L population norms from the general population</w:t>
      </w:r>
      <w:r>
        <w:t xml:space="preserve"> </w:t>
      </w:r>
      <w:r w:rsidR="0075366F">
        <w:rPr>
          <w:noProof/>
        </w:rPr>
        <w:t>[3]</w:t>
      </w:r>
      <w:r w:rsidR="0075366F">
        <w:t xml:space="preserve"> </w:t>
      </w:r>
      <w:proofErr w:type="gramStart"/>
      <w:r>
        <w:t>(</w:t>
      </w:r>
      <w:r w:rsidRPr="008802FF">
        <w:t xml:space="preserve"> Table</w:t>
      </w:r>
      <w:proofErr w:type="gramEnd"/>
      <w:r w:rsidRPr="008802FF">
        <w:t xml:space="preserve"> S3</w:t>
      </w:r>
      <w:r>
        <w:t>)</w:t>
      </w:r>
      <w:r w:rsidR="0075366F">
        <w:t>.</w:t>
      </w:r>
    </w:p>
    <w:p w:rsidR="00AD1E82" w:rsidRPr="008802FF" w:rsidRDefault="00AD1E82" w:rsidP="00AD1E82">
      <w:pPr>
        <w:spacing w:line="240" w:lineRule="auto"/>
      </w:pPr>
      <w:r w:rsidRPr="008802FF">
        <w:t xml:space="preserve"> </w:t>
      </w:r>
    </w:p>
    <w:p w:rsidR="00AD1E82" w:rsidRPr="000569ED" w:rsidRDefault="00AD1E82" w:rsidP="00AD1E82">
      <w:pPr>
        <w:pStyle w:val="Caption"/>
        <w:keepNext/>
        <w:rPr>
          <w:b w:val="0"/>
          <w:color w:val="auto"/>
          <w:sz w:val="24"/>
          <w:szCs w:val="24"/>
        </w:rPr>
      </w:pPr>
      <w:bookmarkStart w:id="6" w:name="_Ref511907207"/>
      <w:r w:rsidRPr="000569ED">
        <w:rPr>
          <w:b w:val="0"/>
          <w:color w:val="auto"/>
          <w:sz w:val="24"/>
          <w:szCs w:val="24"/>
        </w:rPr>
        <w:t>Table S</w:t>
      </w:r>
      <w:r w:rsidRPr="000569ED">
        <w:rPr>
          <w:b w:val="0"/>
          <w:noProof/>
          <w:color w:val="auto"/>
          <w:sz w:val="24"/>
          <w:szCs w:val="24"/>
        </w:rPr>
        <w:t>3</w:t>
      </w:r>
      <w:bookmarkEnd w:id="6"/>
      <w:r w:rsidRPr="000569ED">
        <w:rPr>
          <w:b w:val="0"/>
          <w:color w:val="auto"/>
          <w:sz w:val="24"/>
          <w:szCs w:val="24"/>
        </w:rPr>
        <w:t>: EQ-5D-3L population norms by age-group</w:t>
      </w:r>
    </w:p>
    <w:tbl>
      <w:tblPr>
        <w:tblStyle w:val="TableGrid"/>
        <w:tblW w:w="236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2867"/>
      </w:tblGrid>
      <w:tr w:rsidR="00AD1E82" w:rsidRPr="008802FF" w:rsidTr="00997B5C">
        <w:tc>
          <w:tcPr>
            <w:tcW w:w="1831" w:type="pct"/>
            <w:tcBorders>
              <w:top w:val="single" w:sz="4" w:space="0" w:color="auto"/>
              <w:bottom w:val="single" w:sz="4" w:space="0" w:color="auto"/>
            </w:tcBorders>
          </w:tcPr>
          <w:p w:rsidR="00AD1E82" w:rsidRPr="008802FF" w:rsidRDefault="00AD1E82" w:rsidP="00997B5C">
            <w:pPr>
              <w:spacing w:line="240" w:lineRule="auto"/>
              <w:rPr>
                <w:sz w:val="20"/>
              </w:rPr>
            </w:pPr>
            <w:r w:rsidRPr="008802FF">
              <w:rPr>
                <w:sz w:val="20"/>
              </w:rPr>
              <w:t>Age-group</w:t>
            </w:r>
          </w:p>
        </w:tc>
        <w:tc>
          <w:tcPr>
            <w:tcW w:w="3169" w:type="pct"/>
            <w:tcBorders>
              <w:top w:val="single" w:sz="4" w:space="0" w:color="auto"/>
              <w:bottom w:val="single" w:sz="4" w:space="0" w:color="auto"/>
            </w:tcBorders>
            <w:vAlign w:val="center"/>
          </w:tcPr>
          <w:p w:rsidR="00AD1E82" w:rsidRPr="008802FF" w:rsidRDefault="00AD1E82" w:rsidP="00997B5C">
            <w:pPr>
              <w:spacing w:line="240" w:lineRule="auto"/>
              <w:jc w:val="right"/>
              <w:rPr>
                <w:sz w:val="20"/>
              </w:rPr>
            </w:pPr>
            <w:r w:rsidRPr="008802FF">
              <w:rPr>
                <w:sz w:val="20"/>
              </w:rPr>
              <w:t>EQ-5D</w:t>
            </w:r>
            <w:r>
              <w:rPr>
                <w:sz w:val="20"/>
              </w:rPr>
              <w:t>-3L</w:t>
            </w:r>
            <w:r w:rsidRPr="008802FF">
              <w:rPr>
                <w:sz w:val="20"/>
              </w:rPr>
              <w:t xml:space="preserve"> population norm</w:t>
            </w:r>
          </w:p>
        </w:tc>
      </w:tr>
      <w:tr w:rsidR="00AD1E82" w:rsidRPr="008802FF" w:rsidTr="00997B5C">
        <w:tc>
          <w:tcPr>
            <w:tcW w:w="1831" w:type="pct"/>
            <w:tcBorders>
              <w:top w:val="single" w:sz="4" w:space="0" w:color="auto"/>
            </w:tcBorders>
          </w:tcPr>
          <w:p w:rsidR="00AD1E82" w:rsidRPr="008802FF" w:rsidRDefault="00AD1E82" w:rsidP="00997B5C">
            <w:pPr>
              <w:spacing w:line="240" w:lineRule="auto"/>
              <w:rPr>
                <w:sz w:val="20"/>
              </w:rPr>
            </w:pPr>
            <w:r w:rsidRPr="008802FF">
              <w:rPr>
                <w:sz w:val="20"/>
              </w:rPr>
              <w:t>50-54 years</w:t>
            </w:r>
          </w:p>
        </w:tc>
        <w:tc>
          <w:tcPr>
            <w:tcW w:w="3169" w:type="pct"/>
            <w:tcBorders>
              <w:top w:val="single" w:sz="4" w:space="0" w:color="auto"/>
            </w:tcBorders>
          </w:tcPr>
          <w:p w:rsidR="00AD1E82" w:rsidRPr="008802FF" w:rsidRDefault="00AD1E82" w:rsidP="00997B5C">
            <w:pPr>
              <w:spacing w:line="240" w:lineRule="auto"/>
              <w:jc w:val="right"/>
              <w:rPr>
                <w:sz w:val="20"/>
              </w:rPr>
            </w:pPr>
            <w:r w:rsidRPr="008802FF">
              <w:rPr>
                <w:sz w:val="20"/>
              </w:rPr>
              <w:t xml:space="preserve"> 0.890 </w:t>
            </w:r>
          </w:p>
        </w:tc>
      </w:tr>
      <w:tr w:rsidR="00AD1E82" w:rsidRPr="008802FF" w:rsidTr="00997B5C">
        <w:tc>
          <w:tcPr>
            <w:tcW w:w="1831" w:type="pct"/>
          </w:tcPr>
          <w:p w:rsidR="00AD1E82" w:rsidRPr="008802FF" w:rsidRDefault="00AD1E82" w:rsidP="00997B5C">
            <w:pPr>
              <w:spacing w:line="240" w:lineRule="auto"/>
              <w:rPr>
                <w:sz w:val="20"/>
              </w:rPr>
            </w:pPr>
            <w:r w:rsidRPr="008802FF">
              <w:rPr>
                <w:sz w:val="20"/>
              </w:rPr>
              <w:t>55-64 years</w:t>
            </w:r>
          </w:p>
        </w:tc>
        <w:tc>
          <w:tcPr>
            <w:tcW w:w="3169" w:type="pct"/>
          </w:tcPr>
          <w:p w:rsidR="00AD1E82" w:rsidRPr="008802FF" w:rsidRDefault="00AD1E82" w:rsidP="00997B5C">
            <w:pPr>
              <w:spacing w:line="240" w:lineRule="auto"/>
              <w:jc w:val="right"/>
              <w:rPr>
                <w:sz w:val="20"/>
              </w:rPr>
            </w:pPr>
            <w:r w:rsidRPr="008802FF">
              <w:rPr>
                <w:sz w:val="20"/>
              </w:rPr>
              <w:t xml:space="preserve"> 0.890 </w:t>
            </w:r>
          </w:p>
        </w:tc>
      </w:tr>
      <w:tr w:rsidR="00AD1E82" w:rsidRPr="008802FF" w:rsidTr="00997B5C">
        <w:tc>
          <w:tcPr>
            <w:tcW w:w="1831" w:type="pct"/>
          </w:tcPr>
          <w:p w:rsidR="00AD1E82" w:rsidRPr="008802FF" w:rsidRDefault="00AD1E82" w:rsidP="00997B5C">
            <w:pPr>
              <w:spacing w:line="240" w:lineRule="auto"/>
              <w:rPr>
                <w:sz w:val="20"/>
              </w:rPr>
            </w:pPr>
            <w:r w:rsidRPr="008802FF">
              <w:rPr>
                <w:sz w:val="20"/>
              </w:rPr>
              <w:t>65-74 years</w:t>
            </w:r>
          </w:p>
        </w:tc>
        <w:tc>
          <w:tcPr>
            <w:tcW w:w="3169" w:type="pct"/>
          </w:tcPr>
          <w:p w:rsidR="00AD1E82" w:rsidRPr="008802FF" w:rsidRDefault="00AD1E82" w:rsidP="00997B5C">
            <w:pPr>
              <w:spacing w:line="240" w:lineRule="auto"/>
              <w:jc w:val="right"/>
              <w:rPr>
                <w:sz w:val="20"/>
              </w:rPr>
            </w:pPr>
            <w:r w:rsidRPr="008802FF">
              <w:rPr>
                <w:sz w:val="20"/>
              </w:rPr>
              <w:t xml:space="preserve"> 0.886 </w:t>
            </w:r>
          </w:p>
        </w:tc>
      </w:tr>
      <w:tr w:rsidR="00AD1E82" w:rsidRPr="008802FF" w:rsidTr="00997B5C">
        <w:tc>
          <w:tcPr>
            <w:tcW w:w="1831" w:type="pct"/>
            <w:tcBorders>
              <w:bottom w:val="single" w:sz="4" w:space="0" w:color="auto"/>
            </w:tcBorders>
          </w:tcPr>
          <w:p w:rsidR="00AD1E82" w:rsidRPr="008802FF" w:rsidRDefault="00187158" w:rsidP="00187158">
            <w:pPr>
              <w:spacing w:line="240" w:lineRule="auto"/>
              <w:rPr>
                <w:sz w:val="20"/>
              </w:rPr>
            </w:pPr>
            <w:r>
              <w:t>≥</w:t>
            </w:r>
            <w:r w:rsidR="00AD1E82" w:rsidRPr="008802FF">
              <w:rPr>
                <w:sz w:val="20"/>
              </w:rPr>
              <w:t>75 years</w:t>
            </w:r>
          </w:p>
        </w:tc>
        <w:tc>
          <w:tcPr>
            <w:tcW w:w="3169" w:type="pct"/>
            <w:tcBorders>
              <w:bottom w:val="single" w:sz="4" w:space="0" w:color="auto"/>
            </w:tcBorders>
          </w:tcPr>
          <w:p w:rsidR="00AD1E82" w:rsidRPr="008802FF" w:rsidRDefault="00AD1E82" w:rsidP="00997B5C">
            <w:pPr>
              <w:spacing w:line="240" w:lineRule="auto"/>
              <w:jc w:val="right"/>
              <w:rPr>
                <w:sz w:val="20"/>
              </w:rPr>
            </w:pPr>
            <w:r w:rsidRPr="008802FF">
              <w:rPr>
                <w:sz w:val="20"/>
              </w:rPr>
              <w:t xml:space="preserve"> 0.830 </w:t>
            </w:r>
          </w:p>
        </w:tc>
      </w:tr>
    </w:tbl>
    <w:p w:rsidR="00AD1E82" w:rsidRPr="008802FF" w:rsidRDefault="00AD1E82" w:rsidP="00AD1E82">
      <w:pPr>
        <w:spacing w:line="240" w:lineRule="auto"/>
      </w:pPr>
      <w:r w:rsidRPr="008802FF">
        <w:t xml:space="preserve"> </w:t>
      </w:r>
    </w:p>
    <w:p w:rsidR="00AD1E82" w:rsidRPr="008802FF" w:rsidRDefault="00AD1E82" w:rsidP="00AD1E82">
      <w:pPr>
        <w:spacing w:line="240" w:lineRule="auto"/>
      </w:pPr>
      <w:r w:rsidRPr="008802FF">
        <w:br w:type="page"/>
      </w:r>
    </w:p>
    <w:p w:rsidR="00AD1E82" w:rsidRPr="008802FF" w:rsidRDefault="00AD1E82" w:rsidP="00AD1E82">
      <w:pPr>
        <w:pStyle w:val="Heading2"/>
      </w:pPr>
      <w:r w:rsidRPr="008802FF">
        <w:lastRenderedPageBreak/>
        <w:t>Costs</w:t>
      </w:r>
    </w:p>
    <w:p w:rsidR="00784AFC" w:rsidRDefault="00AD1E82" w:rsidP="00AD1E82">
      <w:r w:rsidRPr="008802FF">
        <w:t xml:space="preserve">HZ-related costs were calculated by multiplying the HZ-related resource use with the price per resource unit. </w:t>
      </w:r>
      <w:r w:rsidR="00784AFC">
        <w:t>The following cost-items were included in our analysis:</w:t>
      </w:r>
    </w:p>
    <w:p w:rsidR="00784AFC" w:rsidRPr="008802FF" w:rsidRDefault="00784AFC" w:rsidP="00784AFC">
      <w:pPr>
        <w:pStyle w:val="ListParagraph"/>
        <w:numPr>
          <w:ilvl w:val="0"/>
          <w:numId w:val="3"/>
        </w:numPr>
      </w:pPr>
      <w:r w:rsidRPr="008802FF">
        <w:t xml:space="preserve">Health care costs: </w:t>
      </w:r>
      <w:r>
        <w:t>Costs due to v</w:t>
      </w:r>
      <w:r w:rsidRPr="008802FF">
        <w:t xml:space="preserve">accine administration, general practitioner (GP) visits, </w:t>
      </w:r>
      <w:r>
        <w:t xml:space="preserve">prescribed </w:t>
      </w:r>
      <w:r w:rsidRPr="008802FF">
        <w:t xml:space="preserve">medication, </w:t>
      </w:r>
      <w:proofErr w:type="gramStart"/>
      <w:r w:rsidRPr="008802FF">
        <w:t>specialist</w:t>
      </w:r>
      <w:proofErr w:type="gramEnd"/>
      <w:r w:rsidRPr="008802FF">
        <w:t xml:space="preserve"> visits, </w:t>
      </w:r>
      <w:r>
        <w:t>one-day hospital admissions</w:t>
      </w:r>
      <w:r w:rsidRPr="008802FF">
        <w:t xml:space="preserve">, hospitalizations and </w:t>
      </w:r>
      <w:r>
        <w:t>health-care</w:t>
      </w:r>
      <w:r w:rsidRPr="008802FF">
        <w:t xml:space="preserve"> costs in gained life years.</w:t>
      </w:r>
    </w:p>
    <w:p w:rsidR="00784AFC" w:rsidRDefault="00784AFC" w:rsidP="00784AFC">
      <w:pPr>
        <w:pStyle w:val="ListParagraph"/>
        <w:numPr>
          <w:ilvl w:val="0"/>
          <w:numId w:val="3"/>
        </w:numPr>
      </w:pPr>
      <w:r>
        <w:t>Patient costs: Costs due to o</w:t>
      </w:r>
      <w:r w:rsidRPr="008802FF">
        <w:t>ver-the-counter (OTC) medication</w:t>
      </w:r>
      <w:r>
        <w:t xml:space="preserve"> and</w:t>
      </w:r>
      <w:r w:rsidRPr="008802FF">
        <w:t xml:space="preserve"> travel</w:t>
      </w:r>
      <w:r>
        <w:t>ling.</w:t>
      </w:r>
    </w:p>
    <w:p w:rsidR="00784AFC" w:rsidRPr="008802FF" w:rsidRDefault="00784AFC" w:rsidP="00784AFC">
      <w:pPr>
        <w:pStyle w:val="ListParagraph"/>
        <w:numPr>
          <w:ilvl w:val="0"/>
          <w:numId w:val="3"/>
        </w:numPr>
      </w:pPr>
      <w:r>
        <w:t>P</w:t>
      </w:r>
      <w:r w:rsidRPr="008802FF">
        <w:t>roductivity losses</w:t>
      </w:r>
      <w:r>
        <w:t>: Costs due to w</w:t>
      </w:r>
      <w:r w:rsidRPr="008802FF">
        <w:t xml:space="preserve">ork absenteeism </w:t>
      </w:r>
      <w:r>
        <w:t>and work</w:t>
      </w:r>
      <w:r w:rsidRPr="008802FF">
        <w:t xml:space="preserve"> presenteeism.</w:t>
      </w:r>
    </w:p>
    <w:p w:rsidR="00AD1E82" w:rsidRPr="008802FF" w:rsidRDefault="00AD1E82" w:rsidP="00AD1E82">
      <w:r w:rsidRPr="008802FF">
        <w:t>HZ-related resource use is shown in Table S</w:t>
      </w:r>
      <w:r w:rsidRPr="008802FF">
        <w:rPr>
          <w:noProof/>
        </w:rPr>
        <w:t>3</w:t>
      </w:r>
      <w:r w:rsidRPr="008802FF">
        <w:t>. The number of GP visits, specialist visits and medication use were estimated using the</w:t>
      </w:r>
      <w:r>
        <w:t xml:space="preserve"> aforementioned</w:t>
      </w:r>
      <w:r w:rsidRPr="008802FF">
        <w:t xml:space="preserve"> prospective cohort study by Van </w:t>
      </w:r>
      <w:proofErr w:type="spellStart"/>
      <w:r w:rsidRPr="008802FF">
        <w:t>Wijck</w:t>
      </w:r>
      <w:proofErr w:type="spellEnd"/>
      <w:r w:rsidRPr="008802FF">
        <w:t xml:space="preserve"> et al</w:t>
      </w:r>
      <w:proofErr w:type="gramStart"/>
      <w:r w:rsidRPr="008802FF">
        <w:t>.</w:t>
      </w:r>
      <w:r w:rsidR="0075366F">
        <w:rPr>
          <w:noProof/>
        </w:rPr>
        <w:t>[</w:t>
      </w:r>
      <w:proofErr w:type="gramEnd"/>
      <w:r w:rsidR="0075366F">
        <w:rPr>
          <w:noProof/>
        </w:rPr>
        <w:t>1]</w:t>
      </w:r>
      <w:r w:rsidRPr="008802FF">
        <w:t xml:space="preserve"> Since we based our HZ incidence on the </w:t>
      </w:r>
      <w:r w:rsidR="00BE37CF">
        <w:t xml:space="preserve">surveillance </w:t>
      </w:r>
      <w:r w:rsidRPr="008802FF">
        <w:t xml:space="preserve">of HZ-related GP visits, we assumed that every HZ case would have at least one GP visit. The number of follow-up visits was estimated using data up to 6 months after HZ onset finding on average 0.88 additional visits. However, as more GP visits would presumably follow after the period of 6 months among patients with pain, we assumed that the number of GP visits were equally distributed over the 6 months, resulting in an average of 0.15 per month (0.88 / 6 months). Assuming that only patients with pain had GP visits, these visits were assigned to 14.7% of the cohort that had any pain between 3 and 6 months, resulting in 0.15/0.147 = 1.0 GP visits per month given pain after 3 months. This was multiplied by </w:t>
      </w:r>
      <w:r w:rsidR="00BE37CF">
        <w:t xml:space="preserve">the </w:t>
      </w:r>
      <w:r w:rsidRPr="008802FF">
        <w:t>average duration of any pain by age-group given any pain at 3 months, which was estimated at 13.3 months for 50-</w:t>
      </w:r>
      <w:r w:rsidR="00BE37CF">
        <w:t xml:space="preserve"> to </w:t>
      </w:r>
      <w:r w:rsidRPr="008802FF">
        <w:t>59</w:t>
      </w:r>
      <w:r w:rsidR="00BE37CF">
        <w:t>-</w:t>
      </w:r>
      <w:r w:rsidRPr="008802FF">
        <w:t>year-olds</w:t>
      </w:r>
      <w:r w:rsidR="00BE37CF">
        <w:t xml:space="preserve"> and</w:t>
      </w:r>
      <w:r w:rsidRPr="008802FF">
        <w:t xml:space="preserve"> 14.1 months for </w:t>
      </w:r>
      <w:r w:rsidR="00BE37CF">
        <w:t>≥</w:t>
      </w:r>
      <w:r w:rsidRPr="008802FF">
        <w:t>60</w:t>
      </w:r>
      <w:r w:rsidR="00BE37CF">
        <w:t>-</w:t>
      </w:r>
      <w:r w:rsidRPr="008802FF">
        <w:t xml:space="preserve">year-olds (based on the duration of pain </w:t>
      </w:r>
      <w:r w:rsidR="00474E40">
        <w:t xml:space="preserve">estimation as </w:t>
      </w:r>
      <w:r w:rsidRPr="008802FF">
        <w:t>shown in Figure S</w:t>
      </w:r>
      <w:r w:rsidRPr="008802FF">
        <w:rPr>
          <w:noProof/>
        </w:rPr>
        <w:t>4</w:t>
      </w:r>
      <w:r w:rsidRPr="008802FF">
        <w:t xml:space="preserve">). The probability of a referral to the medical specialist was 6.0% (95% CI: 4.1-7.8%). Based on expert opinion we assumed that each referred patient had on average three specialist visits. The probability and type </w:t>
      </w:r>
      <w:r w:rsidRPr="008802FF">
        <w:lastRenderedPageBreak/>
        <w:t xml:space="preserve">of medication used was based on self-reporting of patients over a period of 12 months. Length of </w:t>
      </w:r>
      <w:r w:rsidR="00F47E6E">
        <w:t>stay of a</w:t>
      </w:r>
      <w:r w:rsidRPr="008802FF">
        <w:t xml:space="preserve"> hospital</w:t>
      </w:r>
      <w:r w:rsidR="00F47E6E">
        <w:t xml:space="preserve"> admission</w:t>
      </w:r>
      <w:r w:rsidRPr="008802FF">
        <w:t xml:space="preserve"> by age was obtained from the Dutch </w:t>
      </w:r>
      <w:r w:rsidR="00BE37CF">
        <w:t>H</w:t>
      </w:r>
      <w:r w:rsidRPr="008802FF">
        <w:t xml:space="preserve">ospital </w:t>
      </w:r>
      <w:r w:rsidR="00BE37CF">
        <w:t>D</w:t>
      </w:r>
      <w:r w:rsidRPr="008802FF">
        <w:t>atabase, using admissions</w:t>
      </w:r>
      <w:r w:rsidR="00F47E6E">
        <w:t xml:space="preserve"> </w:t>
      </w:r>
      <w:r w:rsidR="00F47E6E" w:rsidRPr="008802FF">
        <w:t>over the period 2012-2014</w:t>
      </w:r>
      <w:r w:rsidRPr="008802FF">
        <w:t xml:space="preserve"> with HZ as</w:t>
      </w:r>
      <w:r w:rsidR="00F47E6E">
        <w:t xml:space="preserve"> the</w:t>
      </w:r>
      <w:r w:rsidRPr="008802FF">
        <w:t xml:space="preserve"> main diagnose (ICD-code B02)</w:t>
      </w:r>
      <w:r w:rsidR="0075366F">
        <w:t xml:space="preserve"> </w:t>
      </w:r>
      <w:r w:rsidR="0075366F">
        <w:rPr>
          <w:noProof/>
        </w:rPr>
        <w:t>[4]</w:t>
      </w:r>
      <w:r w:rsidR="0075366F">
        <w:t>.</w:t>
      </w:r>
    </w:p>
    <w:p w:rsidR="00AD1E82" w:rsidRPr="008802FF" w:rsidRDefault="00AD1E82" w:rsidP="00AD1E82">
      <w:pPr>
        <w:ind w:firstLine="720"/>
      </w:pPr>
      <w:r w:rsidRPr="008802FF">
        <w:t>Productivity loss per HZ case w</w:t>
      </w:r>
      <w:r w:rsidR="00F47E6E">
        <w:t>as</w:t>
      </w:r>
      <w:r w:rsidR="00BE37CF">
        <w:t xml:space="preserve"> also obtained from the</w:t>
      </w:r>
      <w:r w:rsidRPr="008802FF">
        <w:t xml:space="preserve"> prospective cohort study by Van </w:t>
      </w:r>
      <w:proofErr w:type="spellStart"/>
      <w:r w:rsidRPr="008802FF">
        <w:t>Wijck</w:t>
      </w:r>
      <w:proofErr w:type="spellEnd"/>
      <w:r w:rsidRPr="008802FF">
        <w:t xml:space="preserve"> et al</w:t>
      </w:r>
      <w:proofErr w:type="gramStart"/>
      <w:r w:rsidRPr="008802FF">
        <w:t>.</w:t>
      </w:r>
      <w:r w:rsidR="0075366F">
        <w:rPr>
          <w:noProof/>
        </w:rPr>
        <w:t>[</w:t>
      </w:r>
      <w:proofErr w:type="gramEnd"/>
      <w:r w:rsidR="0075366F">
        <w:rPr>
          <w:noProof/>
        </w:rPr>
        <w:t>1]</w:t>
      </w:r>
      <w:r w:rsidRPr="008802FF">
        <w:t xml:space="preserve"> A standardized </w:t>
      </w:r>
      <w:r w:rsidR="00187158">
        <w:t>questionnaire</w:t>
      </w:r>
      <w:r w:rsidRPr="008802FF">
        <w:t xml:space="preserve"> was used to measure productivity losses at HZ onset, and after 3 and 6 months</w:t>
      </w:r>
      <w:r w:rsidR="0075366F">
        <w:t xml:space="preserve"> </w:t>
      </w:r>
      <w:r w:rsidR="0075366F">
        <w:rPr>
          <w:noProof/>
        </w:rPr>
        <w:t>[5]</w:t>
      </w:r>
      <w:r w:rsidR="0075366F">
        <w:t>.</w:t>
      </w:r>
      <w:r w:rsidRPr="008802FF">
        <w:t xml:space="preserve"> Patients were asked whether they had absenteeism due to medical conditions </w:t>
      </w:r>
      <w:r w:rsidR="00F47E6E">
        <w:t>over</w:t>
      </w:r>
      <w:r w:rsidRPr="008802FF">
        <w:t xml:space="preserve"> the last month and the number of days missed. Notably, this could also include absenteeism that was not related to HZ. The data showed that the mean absenteeism </w:t>
      </w:r>
      <w:r w:rsidR="00F47E6E" w:rsidRPr="008802FF">
        <w:t xml:space="preserve">over the last month </w:t>
      </w:r>
      <w:r w:rsidRPr="008802FF">
        <w:t>was 2.87 days (47.7% of the patients reported absenteeism of on average 6.02 days) at disease onset, 0.92 days (15.1%, 6.09 days) after 3 months</w:t>
      </w:r>
      <w:r w:rsidR="00187158">
        <w:t xml:space="preserve"> of onset</w:t>
      </w:r>
      <w:r w:rsidRPr="008802FF">
        <w:t xml:space="preserve"> and 0.80 (10.1%, 7.89 days) after 6 months</w:t>
      </w:r>
      <w:r w:rsidR="00187158">
        <w:t xml:space="preserve"> of onset</w:t>
      </w:r>
      <w:r w:rsidRPr="008802FF">
        <w:t>. We adjusted the</w:t>
      </w:r>
      <w:r w:rsidR="00187158">
        <w:t>se</w:t>
      </w:r>
      <w:r w:rsidRPr="008802FF">
        <w:t xml:space="preserve"> estimates for background absenteeism using data from Statistics Netherlands, showing that the average absenteeism per employee aged 50-69 years was 0.80</w:t>
      </w:r>
      <w:r w:rsidR="000569ED">
        <w:t xml:space="preserve"> days</w:t>
      </w:r>
      <w:r w:rsidRPr="008802FF">
        <w:t xml:space="preserve"> per month</w:t>
      </w:r>
      <w:r w:rsidR="0075366F">
        <w:t xml:space="preserve"> </w:t>
      </w:r>
      <w:r w:rsidR="0075366F">
        <w:rPr>
          <w:noProof/>
        </w:rPr>
        <w:t>[6]</w:t>
      </w:r>
      <w:r w:rsidR="0075366F">
        <w:t>.</w:t>
      </w:r>
      <w:r w:rsidRPr="008802FF">
        <w:t xml:space="preserve"> Subtracting the background absenteeism from the reported absenteeism of the cohort, we </w:t>
      </w:r>
      <w:r w:rsidR="00187158">
        <w:t>estimated</w:t>
      </w:r>
      <w:r w:rsidRPr="008802FF">
        <w:t xml:space="preserve"> </w:t>
      </w:r>
      <w:r w:rsidR="00187158">
        <w:t xml:space="preserve">an </w:t>
      </w:r>
      <w:r w:rsidRPr="008802FF">
        <w:t xml:space="preserve">absenteeism of 2.07 days </w:t>
      </w:r>
      <w:r w:rsidR="00187158">
        <w:t>over</w:t>
      </w:r>
      <w:r w:rsidRPr="008802FF">
        <w:t xml:space="preserve"> the last month at disease onset, 0.12 days </w:t>
      </w:r>
      <w:r w:rsidR="00187158">
        <w:t>over</w:t>
      </w:r>
      <w:r w:rsidRPr="008802FF">
        <w:t xml:space="preserve"> the last month after 3 months and 0 days </w:t>
      </w:r>
      <w:r w:rsidR="00187158">
        <w:t>over</w:t>
      </w:r>
      <w:r w:rsidRPr="008802FF">
        <w:t xml:space="preserve"> the last month after 6 months. We assumed that only patients with pain had absenteeism, and the total </w:t>
      </w:r>
      <w:proofErr w:type="gramStart"/>
      <w:r w:rsidRPr="008802FF">
        <w:t>number of days per HZ case were</w:t>
      </w:r>
      <w:proofErr w:type="gramEnd"/>
      <w:r w:rsidRPr="008802FF">
        <w:t xml:space="preserve"> estimated by multiplying the proportion of patients with pain over a month by the days lost per month over time.</w:t>
      </w:r>
      <w:r>
        <w:t xml:space="preserve"> Finally, the number of days lost were adjusted for age-specific labour participation rates</w:t>
      </w:r>
      <w:r w:rsidR="0075366F">
        <w:t xml:space="preserve"> </w:t>
      </w:r>
      <w:r w:rsidR="0075366F">
        <w:rPr>
          <w:noProof/>
        </w:rPr>
        <w:t>[7]</w:t>
      </w:r>
      <w:r w:rsidR="0075366F">
        <w:t>.</w:t>
      </w:r>
      <w:r w:rsidRPr="008802FF">
        <w:t xml:space="preserve"> </w:t>
      </w:r>
      <w:r>
        <w:t xml:space="preserve"> </w:t>
      </w:r>
    </w:p>
    <w:p w:rsidR="000E2B6F" w:rsidRDefault="00AD1E82" w:rsidP="00AD1E82">
      <w:pPr>
        <w:ind w:firstLine="720"/>
      </w:pPr>
      <w:r w:rsidRPr="008802FF">
        <w:t xml:space="preserve">Occurrence and duration of presenteeism was enquired in the same questionnaire by asking the number of hours that were required to repair missed work due to medical conditions </w:t>
      </w:r>
      <w:r w:rsidR="00187158">
        <w:t>over</w:t>
      </w:r>
      <w:r w:rsidRPr="008802FF">
        <w:t xml:space="preserve"> the last month. The mean presenteeism-related work-loss was </w:t>
      </w:r>
      <w:r>
        <w:t>5</w:t>
      </w:r>
      <w:r w:rsidRPr="008802FF">
        <w:t>.</w:t>
      </w:r>
      <w:r>
        <w:t>68</w:t>
      </w:r>
      <w:r w:rsidRPr="008802FF">
        <w:t xml:space="preserve"> hours (70% of the patients reported presenteeism of on average 8.14 hours) at onset, 0.45 hours (24%, 1.83 hours) </w:t>
      </w:r>
      <w:r w:rsidRPr="008802FF">
        <w:lastRenderedPageBreak/>
        <w:t>at 3 months and 0.</w:t>
      </w:r>
      <w:r>
        <w:t>09</w:t>
      </w:r>
      <w:r w:rsidRPr="008802FF">
        <w:t xml:space="preserve"> hours (12%, </w:t>
      </w:r>
      <w:r>
        <w:t>0</w:t>
      </w:r>
      <w:r w:rsidRPr="008802FF">
        <w:t>.</w:t>
      </w:r>
      <w:r>
        <w:t>73</w:t>
      </w:r>
      <w:r w:rsidRPr="008802FF">
        <w:t xml:space="preserve"> hours) at 6 months. Based on the average number of workhours per day of 5.93 for 50-</w:t>
      </w:r>
      <w:r w:rsidR="00187158">
        <w:t xml:space="preserve"> to </w:t>
      </w:r>
      <w:r w:rsidRPr="008802FF">
        <w:t>69</w:t>
      </w:r>
      <w:r w:rsidR="00187158">
        <w:t>-</w:t>
      </w:r>
      <w:r w:rsidRPr="008802FF">
        <w:t xml:space="preserve">year-olds, these numbers were converted to </w:t>
      </w:r>
      <w:r>
        <w:t>0.96</w:t>
      </w:r>
      <w:r w:rsidRPr="008802FF">
        <w:t>, 0.</w:t>
      </w:r>
      <w:r>
        <w:t>08</w:t>
      </w:r>
      <w:r w:rsidRPr="008802FF">
        <w:t xml:space="preserve"> and 0.</w:t>
      </w:r>
      <w:r>
        <w:t>01</w:t>
      </w:r>
      <w:r w:rsidRPr="008802FF">
        <w:t xml:space="preserve"> days, respectively. No background presenteeism is available from Statistics Netherlands, however, the ratio of hours missed due to presenteeism and absenteeism has been estimated previously at 0.32 (data from 2008)</w:t>
      </w:r>
      <w:r w:rsidR="0075366F">
        <w:t xml:space="preserve"> </w:t>
      </w:r>
      <w:r w:rsidR="0075366F">
        <w:rPr>
          <w:noProof/>
        </w:rPr>
        <w:t>[8]</w:t>
      </w:r>
      <w:r w:rsidR="0075366F">
        <w:t>.</w:t>
      </w:r>
      <w:r w:rsidRPr="008802FF">
        <w:t xml:space="preserve"> This would result in a background presenteeism of 0.80 days x 0.32 = 0.25 days per month. Subtracting the background presenteeism from the presenteeism of the cohort study, we found a presenteeism of 0.70 days at HZ onset, while presenteeism after 3 and 6 months </w:t>
      </w:r>
      <w:r w:rsidR="00F47E6E">
        <w:t>became</w:t>
      </w:r>
      <w:r w:rsidRPr="008802FF">
        <w:t xml:space="preserve"> below zero</w:t>
      </w:r>
      <w:r>
        <w:t xml:space="preserve"> and was therefore ignored</w:t>
      </w:r>
      <w:r w:rsidRPr="008802FF">
        <w:t xml:space="preserve">. Total presenteeism per case was calculated </w:t>
      </w:r>
      <w:r w:rsidR="00474E40">
        <w:t>with</w:t>
      </w:r>
      <w:r w:rsidR="00F47E6E">
        <w:t xml:space="preserve"> similar methods </w:t>
      </w:r>
      <w:r w:rsidR="00474E40">
        <w:t xml:space="preserve">that were </w:t>
      </w:r>
      <w:r w:rsidR="00F47E6E">
        <w:t xml:space="preserve">used for estimating the </w:t>
      </w:r>
      <w:r w:rsidRPr="008802FF">
        <w:t>absenteeism per case. Finally, productivity losses due to HZ-related preterm mortality were estimated using the friction</w:t>
      </w:r>
      <w:r w:rsidR="000569ED">
        <w:t xml:space="preserve">-cost </w:t>
      </w:r>
      <w:r w:rsidRPr="008802FF">
        <w:t xml:space="preserve">method, assuming that productivity losses are limited to a friction period of 84 days, </w:t>
      </w:r>
      <w:r w:rsidR="000E2B6F">
        <w:t>because</w:t>
      </w:r>
      <w:r w:rsidRPr="008802FF">
        <w:t xml:space="preserve"> an employee </w:t>
      </w:r>
      <w:r>
        <w:t xml:space="preserve">is assumed to </w:t>
      </w:r>
      <w:r w:rsidRPr="008802FF">
        <w:t>be replaced afterwards</w:t>
      </w:r>
      <w:r w:rsidR="0075366F">
        <w:t xml:space="preserve"> </w:t>
      </w:r>
      <w:r w:rsidR="0075366F">
        <w:rPr>
          <w:noProof/>
        </w:rPr>
        <w:t>[9, 10]</w:t>
      </w:r>
      <w:r w:rsidR="0075366F">
        <w:t>.</w:t>
      </w:r>
    </w:p>
    <w:p w:rsidR="000E2B6F" w:rsidRDefault="000E2B6F" w:rsidP="000E2B6F"/>
    <w:p w:rsidR="00474E40" w:rsidRDefault="00474E40">
      <w:pPr>
        <w:spacing w:after="200" w:line="276" w:lineRule="auto"/>
        <w:rPr>
          <w:bCs/>
        </w:rPr>
      </w:pPr>
      <w:bookmarkStart w:id="7" w:name="_Ref503537067"/>
      <w:r>
        <w:rPr>
          <w:b/>
        </w:rPr>
        <w:br w:type="page"/>
      </w:r>
    </w:p>
    <w:p w:rsidR="00AD1E82" w:rsidRPr="008802FF" w:rsidRDefault="00AD1E82" w:rsidP="00AD1E82">
      <w:pPr>
        <w:pStyle w:val="Caption"/>
        <w:keepNext/>
        <w:rPr>
          <w:b w:val="0"/>
          <w:color w:val="auto"/>
          <w:sz w:val="24"/>
          <w:szCs w:val="24"/>
        </w:rPr>
      </w:pPr>
      <w:r w:rsidRPr="008802FF">
        <w:rPr>
          <w:b w:val="0"/>
          <w:color w:val="auto"/>
          <w:sz w:val="24"/>
          <w:szCs w:val="24"/>
        </w:rPr>
        <w:lastRenderedPageBreak/>
        <w:t>Table S</w:t>
      </w:r>
      <w:r w:rsidRPr="008802FF">
        <w:rPr>
          <w:b w:val="0"/>
          <w:noProof/>
          <w:color w:val="auto"/>
          <w:sz w:val="24"/>
          <w:szCs w:val="24"/>
        </w:rPr>
        <w:t>4</w:t>
      </w:r>
      <w:bookmarkEnd w:id="7"/>
      <w:r w:rsidRPr="008802FF">
        <w:rPr>
          <w:b w:val="0"/>
          <w:color w:val="auto"/>
          <w:sz w:val="24"/>
          <w:szCs w:val="24"/>
        </w:rPr>
        <w:t>: HZ-related resource use</w:t>
      </w:r>
    </w:p>
    <w:tbl>
      <w:tblPr>
        <w:tblStyle w:val="TableGrid"/>
        <w:tblW w:w="97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1077"/>
        <w:gridCol w:w="907"/>
        <w:gridCol w:w="907"/>
        <w:gridCol w:w="1261"/>
        <w:gridCol w:w="1984"/>
      </w:tblGrid>
      <w:tr w:rsidR="00AD1E82" w:rsidRPr="008802FF" w:rsidTr="00997B5C">
        <w:tc>
          <w:tcPr>
            <w:tcW w:w="3628"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Variable</w:t>
            </w:r>
          </w:p>
        </w:tc>
        <w:tc>
          <w:tcPr>
            <w:tcW w:w="1077"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Base case</w:t>
            </w:r>
          </w:p>
        </w:tc>
        <w:tc>
          <w:tcPr>
            <w:tcW w:w="907"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Lower</w:t>
            </w:r>
          </w:p>
        </w:tc>
        <w:tc>
          <w:tcPr>
            <w:tcW w:w="907"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Upper</w:t>
            </w:r>
          </w:p>
        </w:tc>
        <w:tc>
          <w:tcPr>
            <w:tcW w:w="1261" w:type="dxa"/>
            <w:tcBorders>
              <w:top w:val="single" w:sz="4" w:space="0" w:color="auto"/>
              <w:bottom w:val="single" w:sz="4" w:space="0" w:color="auto"/>
            </w:tcBorders>
          </w:tcPr>
          <w:p w:rsidR="00AD1E82" w:rsidRPr="008802FF" w:rsidRDefault="00AD1E82" w:rsidP="00997B5C">
            <w:pPr>
              <w:spacing w:line="240" w:lineRule="auto"/>
              <w:rPr>
                <w:b/>
                <w:sz w:val="20"/>
              </w:rPr>
            </w:pPr>
            <w:r>
              <w:rPr>
                <w:b/>
                <w:sz w:val="20"/>
              </w:rPr>
              <w:t>Distribution</w:t>
            </w:r>
          </w:p>
        </w:tc>
        <w:tc>
          <w:tcPr>
            <w:tcW w:w="1984"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Ref.</w:t>
            </w:r>
          </w:p>
        </w:tc>
      </w:tr>
      <w:tr w:rsidR="00AD1E82" w:rsidRPr="008802FF" w:rsidTr="00997B5C">
        <w:tc>
          <w:tcPr>
            <w:tcW w:w="3628" w:type="dxa"/>
            <w:tcBorders>
              <w:top w:val="single" w:sz="4" w:space="0" w:color="auto"/>
            </w:tcBorders>
          </w:tcPr>
          <w:p w:rsidR="00AD1E82" w:rsidRPr="008802FF" w:rsidRDefault="00AD1E82" w:rsidP="00997B5C">
            <w:pPr>
              <w:spacing w:line="240" w:lineRule="auto"/>
              <w:rPr>
                <w:sz w:val="20"/>
                <w:szCs w:val="20"/>
              </w:rPr>
            </w:pPr>
            <w:r w:rsidRPr="008802FF">
              <w:rPr>
                <w:sz w:val="20"/>
                <w:szCs w:val="20"/>
              </w:rPr>
              <w:t>Number of GP visits per HZ case</w:t>
            </w:r>
          </w:p>
        </w:tc>
        <w:tc>
          <w:tcPr>
            <w:tcW w:w="1077" w:type="dxa"/>
            <w:tcBorders>
              <w:top w:val="single" w:sz="4" w:space="0" w:color="auto"/>
            </w:tcBorders>
          </w:tcPr>
          <w:p w:rsidR="00AD1E82" w:rsidRPr="008802FF" w:rsidRDefault="00AD1E82" w:rsidP="00997B5C">
            <w:pPr>
              <w:spacing w:line="240" w:lineRule="auto"/>
              <w:jc w:val="right"/>
              <w:rPr>
                <w:sz w:val="20"/>
                <w:szCs w:val="20"/>
              </w:rPr>
            </w:pPr>
          </w:p>
        </w:tc>
        <w:tc>
          <w:tcPr>
            <w:tcW w:w="907" w:type="dxa"/>
            <w:tcBorders>
              <w:top w:val="single" w:sz="4" w:space="0" w:color="auto"/>
            </w:tcBorders>
          </w:tcPr>
          <w:p w:rsidR="00AD1E82" w:rsidRPr="008802FF" w:rsidRDefault="00AD1E82" w:rsidP="00997B5C">
            <w:pPr>
              <w:spacing w:line="240" w:lineRule="auto"/>
              <w:jc w:val="right"/>
              <w:rPr>
                <w:sz w:val="20"/>
                <w:szCs w:val="20"/>
                <w:highlight w:val="yellow"/>
              </w:rPr>
            </w:pPr>
          </w:p>
        </w:tc>
        <w:tc>
          <w:tcPr>
            <w:tcW w:w="907" w:type="dxa"/>
            <w:tcBorders>
              <w:top w:val="single" w:sz="4" w:space="0" w:color="auto"/>
            </w:tcBorders>
          </w:tcPr>
          <w:p w:rsidR="00AD1E82" w:rsidRPr="008802FF" w:rsidRDefault="00AD1E82" w:rsidP="00997B5C">
            <w:pPr>
              <w:spacing w:line="240" w:lineRule="auto"/>
              <w:jc w:val="right"/>
              <w:rPr>
                <w:sz w:val="20"/>
                <w:szCs w:val="20"/>
                <w:highlight w:val="yellow"/>
              </w:rPr>
            </w:pPr>
          </w:p>
        </w:tc>
        <w:tc>
          <w:tcPr>
            <w:tcW w:w="1261" w:type="dxa"/>
            <w:tcBorders>
              <w:top w:val="single" w:sz="4" w:space="0" w:color="auto"/>
            </w:tcBorders>
          </w:tcPr>
          <w:p w:rsidR="00AD1E82" w:rsidRPr="008802FF" w:rsidRDefault="00AD1E82" w:rsidP="00997B5C">
            <w:pPr>
              <w:spacing w:line="240" w:lineRule="auto"/>
              <w:jc w:val="center"/>
              <w:rPr>
                <w:sz w:val="20"/>
                <w:szCs w:val="20"/>
              </w:rPr>
            </w:pPr>
          </w:p>
        </w:tc>
        <w:tc>
          <w:tcPr>
            <w:tcW w:w="1984" w:type="dxa"/>
            <w:vMerge w:val="restart"/>
            <w:tcBorders>
              <w:top w:val="single" w:sz="4" w:space="0" w:color="auto"/>
            </w:tcBorders>
          </w:tcPr>
          <w:p w:rsidR="00AD1E82" w:rsidRPr="008802FF" w:rsidRDefault="00AD1E82" w:rsidP="0075366F">
            <w:pPr>
              <w:spacing w:line="240" w:lineRule="auto"/>
              <w:rPr>
                <w:sz w:val="20"/>
                <w:szCs w:val="20"/>
              </w:rPr>
            </w:pPr>
            <w:r w:rsidRPr="008802FF">
              <w:rPr>
                <w:sz w:val="20"/>
              </w:rPr>
              <w:t xml:space="preserve">Van </w:t>
            </w:r>
            <w:proofErr w:type="spellStart"/>
            <w:r w:rsidRPr="008802FF">
              <w:rPr>
                <w:sz w:val="20"/>
              </w:rPr>
              <w:t>Wijck</w:t>
            </w:r>
            <w:proofErr w:type="spellEnd"/>
            <w:r w:rsidRPr="008802FF">
              <w:rPr>
                <w:sz w:val="20"/>
              </w:rPr>
              <w:t xml:space="preserve">, 2016 </w:t>
            </w:r>
            <w:r w:rsidR="0075366F">
              <w:rPr>
                <w:noProof/>
                <w:sz w:val="20"/>
                <w:szCs w:val="20"/>
              </w:rPr>
              <w:t>[1]</w:t>
            </w:r>
          </w:p>
        </w:tc>
      </w:tr>
      <w:tr w:rsidR="00AD1E82" w:rsidRPr="008802FF" w:rsidTr="00997B5C">
        <w:tc>
          <w:tcPr>
            <w:tcW w:w="3628" w:type="dxa"/>
          </w:tcPr>
          <w:p w:rsidR="00AD1E82" w:rsidRPr="008802FF" w:rsidRDefault="00AD1E82" w:rsidP="00997B5C">
            <w:pPr>
              <w:spacing w:line="240" w:lineRule="auto"/>
              <w:rPr>
                <w:sz w:val="20"/>
                <w:szCs w:val="20"/>
              </w:rPr>
            </w:pPr>
            <w:r w:rsidRPr="008802FF">
              <w:rPr>
                <w:sz w:val="20"/>
              </w:rPr>
              <w:t xml:space="preserve">   50-59 years</w:t>
            </w:r>
          </w:p>
        </w:tc>
        <w:tc>
          <w:tcPr>
            <w:tcW w:w="1077" w:type="dxa"/>
          </w:tcPr>
          <w:p w:rsidR="00AD1E82" w:rsidRPr="008802FF" w:rsidRDefault="00AD1E82" w:rsidP="00997B5C">
            <w:pPr>
              <w:spacing w:line="240" w:lineRule="auto"/>
              <w:jc w:val="right"/>
              <w:rPr>
                <w:sz w:val="20"/>
                <w:szCs w:val="20"/>
              </w:rPr>
            </w:pPr>
            <w:r>
              <w:rPr>
                <w:sz w:val="20"/>
                <w:szCs w:val="20"/>
              </w:rPr>
              <w:t>3.00</w:t>
            </w:r>
          </w:p>
        </w:tc>
        <w:tc>
          <w:tcPr>
            <w:tcW w:w="907" w:type="dxa"/>
          </w:tcPr>
          <w:p w:rsidR="00AD1E82" w:rsidRPr="00273335" w:rsidRDefault="00AD1E82" w:rsidP="00997B5C">
            <w:pPr>
              <w:spacing w:line="240" w:lineRule="auto"/>
              <w:jc w:val="right"/>
              <w:rPr>
                <w:sz w:val="20"/>
                <w:szCs w:val="20"/>
              </w:rPr>
            </w:pPr>
            <w:r w:rsidRPr="00273335">
              <w:rPr>
                <w:sz w:val="20"/>
                <w:szCs w:val="20"/>
              </w:rPr>
              <w:t>2.72</w:t>
            </w:r>
          </w:p>
        </w:tc>
        <w:tc>
          <w:tcPr>
            <w:tcW w:w="907" w:type="dxa"/>
          </w:tcPr>
          <w:p w:rsidR="00AD1E82" w:rsidRPr="00273335" w:rsidRDefault="00AD1E82" w:rsidP="00997B5C">
            <w:pPr>
              <w:spacing w:line="240" w:lineRule="auto"/>
              <w:jc w:val="right"/>
              <w:rPr>
                <w:sz w:val="20"/>
                <w:szCs w:val="20"/>
              </w:rPr>
            </w:pPr>
            <w:r w:rsidRPr="00273335">
              <w:rPr>
                <w:sz w:val="20"/>
                <w:szCs w:val="20"/>
              </w:rPr>
              <w:t>3.28</w:t>
            </w:r>
          </w:p>
        </w:tc>
        <w:tc>
          <w:tcPr>
            <w:tcW w:w="1261" w:type="dxa"/>
          </w:tcPr>
          <w:p w:rsidR="00AD1E82" w:rsidRPr="008802FF" w:rsidRDefault="00AD1E82" w:rsidP="00997B5C">
            <w:pPr>
              <w:spacing w:line="240" w:lineRule="auto"/>
              <w:jc w:val="center"/>
              <w:rPr>
                <w:sz w:val="20"/>
                <w:szCs w:val="20"/>
              </w:rPr>
            </w:pPr>
            <w:r w:rsidRPr="008802FF">
              <w:rPr>
                <w:sz w:val="20"/>
                <w:szCs w:val="20"/>
              </w:rPr>
              <w:t>Gamma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187158">
            <w:pPr>
              <w:spacing w:line="240" w:lineRule="auto"/>
              <w:rPr>
                <w:sz w:val="20"/>
                <w:szCs w:val="20"/>
              </w:rPr>
            </w:pPr>
            <w:r w:rsidRPr="008802FF">
              <w:rPr>
                <w:sz w:val="20"/>
              </w:rPr>
              <w:t xml:space="preserve">   </w:t>
            </w:r>
            <w:r w:rsidR="00187158">
              <w:rPr>
                <w:sz w:val="20"/>
              </w:rPr>
              <w:t>≥</w:t>
            </w:r>
            <w:r w:rsidRPr="008802FF">
              <w:rPr>
                <w:sz w:val="20"/>
              </w:rPr>
              <w:t>60</w:t>
            </w:r>
            <w:r>
              <w:rPr>
                <w:sz w:val="20"/>
              </w:rPr>
              <w:t xml:space="preserve"> years</w:t>
            </w:r>
          </w:p>
        </w:tc>
        <w:tc>
          <w:tcPr>
            <w:tcW w:w="1077" w:type="dxa"/>
          </w:tcPr>
          <w:p w:rsidR="00AD1E82" w:rsidRPr="008802FF" w:rsidRDefault="00AD1E82" w:rsidP="00997B5C">
            <w:pPr>
              <w:spacing w:line="240" w:lineRule="auto"/>
              <w:jc w:val="right"/>
              <w:rPr>
                <w:sz w:val="20"/>
                <w:szCs w:val="20"/>
              </w:rPr>
            </w:pPr>
            <w:r>
              <w:rPr>
                <w:sz w:val="20"/>
                <w:szCs w:val="20"/>
              </w:rPr>
              <w:t>4.01</w:t>
            </w:r>
          </w:p>
        </w:tc>
        <w:tc>
          <w:tcPr>
            <w:tcW w:w="907" w:type="dxa"/>
          </w:tcPr>
          <w:p w:rsidR="00AD1E82" w:rsidRPr="00273335" w:rsidRDefault="00AD1E82" w:rsidP="00997B5C">
            <w:pPr>
              <w:spacing w:line="240" w:lineRule="auto"/>
              <w:jc w:val="right"/>
              <w:rPr>
                <w:sz w:val="20"/>
                <w:szCs w:val="20"/>
              </w:rPr>
            </w:pPr>
            <w:r w:rsidRPr="00273335">
              <w:rPr>
                <w:sz w:val="20"/>
                <w:szCs w:val="20"/>
              </w:rPr>
              <w:t>3.58</w:t>
            </w:r>
          </w:p>
        </w:tc>
        <w:tc>
          <w:tcPr>
            <w:tcW w:w="907" w:type="dxa"/>
          </w:tcPr>
          <w:p w:rsidR="00AD1E82" w:rsidRPr="00273335" w:rsidRDefault="00AD1E82" w:rsidP="00997B5C">
            <w:pPr>
              <w:spacing w:line="240" w:lineRule="auto"/>
              <w:jc w:val="right"/>
              <w:rPr>
                <w:sz w:val="20"/>
                <w:szCs w:val="20"/>
              </w:rPr>
            </w:pPr>
            <w:r w:rsidRPr="00273335">
              <w:rPr>
                <w:sz w:val="20"/>
                <w:szCs w:val="20"/>
              </w:rPr>
              <w:t>4.43</w:t>
            </w:r>
          </w:p>
        </w:tc>
        <w:tc>
          <w:tcPr>
            <w:tcW w:w="1261" w:type="dxa"/>
          </w:tcPr>
          <w:p w:rsidR="00AD1E82" w:rsidRPr="008802FF" w:rsidRDefault="00AD1E82" w:rsidP="00997B5C">
            <w:pPr>
              <w:spacing w:line="240" w:lineRule="auto"/>
              <w:jc w:val="center"/>
              <w:rPr>
                <w:sz w:val="20"/>
                <w:szCs w:val="20"/>
              </w:rPr>
            </w:pPr>
            <w:r w:rsidRPr="008802FF">
              <w:rPr>
                <w:sz w:val="20"/>
                <w:szCs w:val="20"/>
              </w:rPr>
              <w:t>Gamma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997B5C">
            <w:pPr>
              <w:spacing w:line="240" w:lineRule="auto"/>
              <w:rPr>
                <w:sz w:val="20"/>
                <w:szCs w:val="20"/>
              </w:rPr>
            </w:pPr>
            <w:r w:rsidRPr="008802FF">
              <w:rPr>
                <w:sz w:val="20"/>
                <w:szCs w:val="20"/>
              </w:rPr>
              <w:t>Proportion specialist visit</w:t>
            </w:r>
          </w:p>
        </w:tc>
        <w:tc>
          <w:tcPr>
            <w:tcW w:w="1077" w:type="dxa"/>
          </w:tcPr>
          <w:p w:rsidR="00AD1E82" w:rsidRPr="008802FF" w:rsidRDefault="00AD1E82" w:rsidP="00997B5C">
            <w:pPr>
              <w:spacing w:line="240" w:lineRule="auto"/>
              <w:jc w:val="right"/>
              <w:rPr>
                <w:sz w:val="20"/>
                <w:szCs w:val="20"/>
              </w:rPr>
            </w:pPr>
            <w:r w:rsidRPr="008802FF">
              <w:rPr>
                <w:sz w:val="20"/>
                <w:szCs w:val="20"/>
              </w:rPr>
              <w:t>0.060</w:t>
            </w:r>
          </w:p>
        </w:tc>
        <w:tc>
          <w:tcPr>
            <w:tcW w:w="907" w:type="dxa"/>
          </w:tcPr>
          <w:p w:rsidR="00AD1E82" w:rsidRPr="008802FF" w:rsidRDefault="00AD1E82" w:rsidP="00997B5C">
            <w:pPr>
              <w:spacing w:line="240" w:lineRule="auto"/>
              <w:jc w:val="right"/>
              <w:rPr>
                <w:sz w:val="20"/>
                <w:szCs w:val="20"/>
              </w:rPr>
            </w:pPr>
            <w:r w:rsidRPr="008802FF">
              <w:rPr>
                <w:sz w:val="20"/>
                <w:szCs w:val="20"/>
              </w:rPr>
              <w:t>0.041</w:t>
            </w:r>
          </w:p>
        </w:tc>
        <w:tc>
          <w:tcPr>
            <w:tcW w:w="907" w:type="dxa"/>
          </w:tcPr>
          <w:p w:rsidR="00AD1E82" w:rsidRPr="008802FF" w:rsidRDefault="00AD1E82" w:rsidP="00997B5C">
            <w:pPr>
              <w:spacing w:line="240" w:lineRule="auto"/>
              <w:jc w:val="right"/>
              <w:rPr>
                <w:sz w:val="20"/>
                <w:szCs w:val="20"/>
              </w:rPr>
            </w:pPr>
            <w:r w:rsidRPr="008802FF">
              <w:rPr>
                <w:sz w:val="20"/>
                <w:szCs w:val="20"/>
              </w:rPr>
              <w:t>0.078</w:t>
            </w:r>
          </w:p>
        </w:tc>
        <w:tc>
          <w:tcPr>
            <w:tcW w:w="1261" w:type="dxa"/>
          </w:tcPr>
          <w:p w:rsidR="00AD1E82" w:rsidRPr="008802FF" w:rsidRDefault="00AD1E82" w:rsidP="00997B5C">
            <w:pPr>
              <w:spacing w:line="240" w:lineRule="auto"/>
              <w:jc w:val="center"/>
              <w:rPr>
                <w:sz w:val="20"/>
                <w:szCs w:val="20"/>
              </w:rPr>
            </w:pPr>
            <w:r w:rsidRPr="008802FF">
              <w:rPr>
                <w:sz w:val="20"/>
                <w:szCs w:val="20"/>
              </w:rPr>
              <w:t>Beta</w:t>
            </w:r>
          </w:p>
        </w:tc>
        <w:tc>
          <w:tcPr>
            <w:tcW w:w="1984" w:type="dxa"/>
          </w:tcPr>
          <w:p w:rsidR="00AD1E82" w:rsidRPr="008802FF" w:rsidRDefault="00AD1E82" w:rsidP="0075366F">
            <w:pPr>
              <w:spacing w:line="240" w:lineRule="auto"/>
              <w:rPr>
                <w:sz w:val="20"/>
                <w:szCs w:val="20"/>
              </w:rPr>
            </w:pPr>
            <w:r w:rsidRPr="008802FF">
              <w:rPr>
                <w:sz w:val="20"/>
              </w:rPr>
              <w:t xml:space="preserve">Van </w:t>
            </w:r>
            <w:proofErr w:type="spellStart"/>
            <w:r w:rsidRPr="008802FF">
              <w:rPr>
                <w:sz w:val="20"/>
              </w:rPr>
              <w:t>Wijck</w:t>
            </w:r>
            <w:proofErr w:type="spellEnd"/>
            <w:r w:rsidRPr="008802FF">
              <w:rPr>
                <w:sz w:val="20"/>
              </w:rPr>
              <w:t xml:space="preserve">, 2016 </w:t>
            </w:r>
            <w:r w:rsidR="0075366F">
              <w:rPr>
                <w:noProof/>
                <w:sz w:val="20"/>
                <w:szCs w:val="20"/>
              </w:rPr>
              <w:t>[1]</w:t>
            </w:r>
          </w:p>
        </w:tc>
      </w:tr>
      <w:tr w:rsidR="00AD1E82" w:rsidRPr="008802FF" w:rsidTr="00997B5C">
        <w:tc>
          <w:tcPr>
            <w:tcW w:w="3628" w:type="dxa"/>
          </w:tcPr>
          <w:p w:rsidR="00AD1E82" w:rsidRPr="008802FF" w:rsidRDefault="00AD1E82" w:rsidP="00997B5C">
            <w:pPr>
              <w:spacing w:line="240" w:lineRule="auto"/>
              <w:rPr>
                <w:sz w:val="20"/>
                <w:szCs w:val="20"/>
              </w:rPr>
            </w:pPr>
            <w:r w:rsidRPr="008802FF">
              <w:rPr>
                <w:sz w:val="20"/>
                <w:szCs w:val="20"/>
              </w:rPr>
              <w:t xml:space="preserve">Number of specialist visits </w:t>
            </w:r>
            <w:r>
              <w:rPr>
                <w:sz w:val="20"/>
                <w:szCs w:val="20"/>
              </w:rPr>
              <w:t xml:space="preserve">given </w:t>
            </w:r>
            <w:r w:rsidRPr="008802FF">
              <w:rPr>
                <w:sz w:val="20"/>
                <w:szCs w:val="20"/>
              </w:rPr>
              <w:t>referral</w:t>
            </w:r>
          </w:p>
        </w:tc>
        <w:tc>
          <w:tcPr>
            <w:tcW w:w="1077" w:type="dxa"/>
          </w:tcPr>
          <w:p w:rsidR="00AD1E82" w:rsidRPr="008802FF" w:rsidRDefault="00AD1E82" w:rsidP="00997B5C">
            <w:pPr>
              <w:spacing w:line="240" w:lineRule="auto"/>
              <w:jc w:val="right"/>
              <w:rPr>
                <w:sz w:val="20"/>
                <w:szCs w:val="20"/>
              </w:rPr>
            </w:pPr>
            <w:r w:rsidRPr="008802FF">
              <w:rPr>
                <w:sz w:val="20"/>
                <w:szCs w:val="20"/>
              </w:rPr>
              <w:t>3</w:t>
            </w:r>
          </w:p>
        </w:tc>
        <w:tc>
          <w:tcPr>
            <w:tcW w:w="907" w:type="dxa"/>
          </w:tcPr>
          <w:p w:rsidR="00AD1E82" w:rsidRPr="008802FF" w:rsidRDefault="00AD1E82" w:rsidP="00997B5C">
            <w:pPr>
              <w:spacing w:line="240" w:lineRule="auto"/>
              <w:jc w:val="right"/>
              <w:rPr>
                <w:sz w:val="20"/>
                <w:szCs w:val="20"/>
              </w:rPr>
            </w:pPr>
          </w:p>
        </w:tc>
        <w:tc>
          <w:tcPr>
            <w:tcW w:w="907" w:type="dxa"/>
          </w:tcPr>
          <w:p w:rsidR="00AD1E82" w:rsidRPr="008802FF" w:rsidRDefault="00AD1E82" w:rsidP="00997B5C">
            <w:pPr>
              <w:spacing w:line="240" w:lineRule="auto"/>
              <w:jc w:val="right"/>
              <w:rPr>
                <w:sz w:val="20"/>
                <w:szCs w:val="20"/>
              </w:rPr>
            </w:pPr>
          </w:p>
        </w:tc>
        <w:tc>
          <w:tcPr>
            <w:tcW w:w="1261" w:type="dxa"/>
          </w:tcPr>
          <w:p w:rsidR="00AD1E82" w:rsidRPr="008802FF" w:rsidRDefault="00AD1E82" w:rsidP="00997B5C">
            <w:pPr>
              <w:spacing w:line="240" w:lineRule="auto"/>
              <w:jc w:val="center"/>
              <w:rPr>
                <w:sz w:val="20"/>
                <w:szCs w:val="20"/>
              </w:rPr>
            </w:pPr>
          </w:p>
        </w:tc>
        <w:tc>
          <w:tcPr>
            <w:tcW w:w="1984" w:type="dxa"/>
          </w:tcPr>
          <w:p w:rsidR="00AD1E82" w:rsidRPr="008802FF" w:rsidRDefault="00AD1E82" w:rsidP="00997B5C">
            <w:pPr>
              <w:spacing w:line="240" w:lineRule="auto"/>
              <w:rPr>
                <w:sz w:val="20"/>
                <w:szCs w:val="20"/>
              </w:rPr>
            </w:pPr>
            <w:r w:rsidRPr="008802FF">
              <w:rPr>
                <w:sz w:val="20"/>
                <w:szCs w:val="20"/>
              </w:rPr>
              <w:t>Assumption</w:t>
            </w:r>
          </w:p>
        </w:tc>
      </w:tr>
      <w:tr w:rsidR="00AD1E82" w:rsidRPr="008802FF" w:rsidTr="00997B5C">
        <w:tc>
          <w:tcPr>
            <w:tcW w:w="3628" w:type="dxa"/>
          </w:tcPr>
          <w:p w:rsidR="00AD1E82" w:rsidRPr="008802FF" w:rsidRDefault="000E2B6F" w:rsidP="000E2B6F">
            <w:pPr>
              <w:spacing w:line="240" w:lineRule="auto"/>
              <w:rPr>
                <w:sz w:val="20"/>
              </w:rPr>
            </w:pPr>
            <w:r>
              <w:rPr>
                <w:sz w:val="20"/>
              </w:rPr>
              <w:t xml:space="preserve">Probability of </w:t>
            </w:r>
            <w:r w:rsidR="00AD1E82" w:rsidRPr="008802FF">
              <w:rPr>
                <w:sz w:val="20"/>
              </w:rPr>
              <w:t xml:space="preserve">medication </w:t>
            </w:r>
            <w:r>
              <w:rPr>
                <w:sz w:val="20"/>
              </w:rPr>
              <w:t>prescription</w:t>
            </w:r>
          </w:p>
        </w:tc>
        <w:tc>
          <w:tcPr>
            <w:tcW w:w="107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val="restart"/>
          </w:tcPr>
          <w:p w:rsidR="00AD1E82" w:rsidRPr="008802FF" w:rsidRDefault="00AD1E82" w:rsidP="0075366F">
            <w:pPr>
              <w:spacing w:line="240" w:lineRule="auto"/>
              <w:rPr>
                <w:sz w:val="20"/>
              </w:rPr>
            </w:pPr>
            <w:r w:rsidRPr="008802FF">
              <w:rPr>
                <w:sz w:val="20"/>
              </w:rPr>
              <w:t xml:space="preserve">Van </w:t>
            </w:r>
            <w:proofErr w:type="spellStart"/>
            <w:r w:rsidRPr="008802FF">
              <w:rPr>
                <w:sz w:val="20"/>
              </w:rPr>
              <w:t>Wijck</w:t>
            </w:r>
            <w:proofErr w:type="spellEnd"/>
            <w:r w:rsidRPr="008802FF">
              <w:rPr>
                <w:sz w:val="20"/>
              </w:rPr>
              <w:t xml:space="preserve">, 2016 </w:t>
            </w:r>
            <w:r w:rsidR="0075366F">
              <w:rPr>
                <w:noProof/>
                <w:sz w:val="20"/>
              </w:rPr>
              <w:t>[1]</w:t>
            </w: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iCs/>
                <w:color w:val="000000"/>
                <w:sz w:val="20"/>
                <w:szCs w:val="20"/>
              </w:rPr>
              <w:t xml:space="preserve">   Antiviral drugs</w:t>
            </w:r>
          </w:p>
        </w:tc>
        <w:tc>
          <w:tcPr>
            <w:tcW w:w="1077" w:type="dxa"/>
            <w:vAlign w:val="bottom"/>
          </w:tcPr>
          <w:p w:rsidR="00AD1E82" w:rsidRPr="008802FF" w:rsidRDefault="00AD1E82" w:rsidP="00997B5C">
            <w:pPr>
              <w:spacing w:line="240" w:lineRule="auto"/>
              <w:jc w:val="right"/>
              <w:rPr>
                <w:sz w:val="20"/>
                <w:szCs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proofErr w:type="spellStart"/>
            <w:r w:rsidRPr="008802FF">
              <w:rPr>
                <w:color w:val="000000"/>
                <w:sz w:val="20"/>
                <w:szCs w:val="20"/>
              </w:rPr>
              <w:t>Aciclovir</w:t>
            </w:r>
            <w:proofErr w:type="spellEnd"/>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0.110</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0.086</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0.135</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proofErr w:type="spellStart"/>
            <w:r w:rsidRPr="008802FF">
              <w:rPr>
                <w:color w:val="000000"/>
                <w:sz w:val="20"/>
                <w:szCs w:val="20"/>
              </w:rPr>
              <w:t>Famciclovir</w:t>
            </w:r>
            <w:proofErr w:type="spellEnd"/>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0.048</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0.032</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0.065</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proofErr w:type="spellStart"/>
            <w:r w:rsidRPr="008802FF">
              <w:rPr>
                <w:color w:val="000000"/>
                <w:sz w:val="20"/>
                <w:szCs w:val="20"/>
              </w:rPr>
              <w:t>Valaciclovir</w:t>
            </w:r>
            <w:proofErr w:type="spellEnd"/>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0.277</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0.237</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0.317</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Opiates</w:t>
            </w:r>
          </w:p>
        </w:tc>
        <w:tc>
          <w:tcPr>
            <w:tcW w:w="1077" w:type="dxa"/>
            <w:vAlign w:val="bottom"/>
          </w:tcPr>
          <w:p w:rsidR="00AD1E82" w:rsidRPr="008802FF" w:rsidRDefault="00AD1E82" w:rsidP="00997B5C">
            <w:pPr>
              <w:spacing w:line="240" w:lineRule="auto"/>
              <w:jc w:val="right"/>
              <w:rPr>
                <w:sz w:val="20"/>
                <w:szCs w:val="20"/>
              </w:rPr>
            </w:pPr>
          </w:p>
        </w:tc>
        <w:tc>
          <w:tcPr>
            <w:tcW w:w="907" w:type="dxa"/>
            <w:vAlign w:val="bottom"/>
          </w:tcPr>
          <w:p w:rsidR="00AD1E82" w:rsidRPr="008802FF" w:rsidRDefault="00AD1E82" w:rsidP="00997B5C">
            <w:pPr>
              <w:spacing w:line="240" w:lineRule="auto"/>
              <w:jc w:val="right"/>
              <w:rPr>
                <w:sz w:val="20"/>
              </w:rPr>
            </w:pPr>
          </w:p>
        </w:tc>
        <w:tc>
          <w:tcPr>
            <w:tcW w:w="907" w:type="dxa"/>
            <w:vAlign w:val="bottom"/>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Codeine / paracetamol</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0.033</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0.020</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0.047</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Tramadol</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0.091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0.070</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0.111</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Oxycodone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0.014</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0.005</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0.022</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Morphine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0.012</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0.004</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0.020</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Fentanyl</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0.009</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0.003</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0.015</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Topical treatment</w:t>
            </w:r>
          </w:p>
        </w:tc>
        <w:tc>
          <w:tcPr>
            <w:tcW w:w="1077" w:type="dxa"/>
            <w:vAlign w:val="bottom"/>
          </w:tcPr>
          <w:p w:rsidR="00AD1E82" w:rsidRPr="008802FF" w:rsidRDefault="00AD1E82" w:rsidP="00997B5C">
            <w:pPr>
              <w:spacing w:line="240" w:lineRule="auto"/>
              <w:jc w:val="right"/>
              <w:rPr>
                <w:sz w:val="20"/>
                <w:szCs w:val="20"/>
              </w:rPr>
            </w:pPr>
          </w:p>
        </w:tc>
        <w:tc>
          <w:tcPr>
            <w:tcW w:w="907" w:type="dxa"/>
            <w:vAlign w:val="bottom"/>
          </w:tcPr>
          <w:p w:rsidR="00AD1E82" w:rsidRPr="008802FF" w:rsidRDefault="00AD1E82" w:rsidP="00997B5C">
            <w:pPr>
              <w:spacing w:line="240" w:lineRule="auto"/>
              <w:jc w:val="right"/>
              <w:rPr>
                <w:sz w:val="20"/>
              </w:rPr>
            </w:pPr>
          </w:p>
        </w:tc>
        <w:tc>
          <w:tcPr>
            <w:tcW w:w="907" w:type="dxa"/>
            <w:vAlign w:val="bottom"/>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Hydrocortisone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0.009</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0.002</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0.016</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Capsaicin</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0.005</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0.010</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Antiepileptic drugs</w:t>
            </w:r>
          </w:p>
        </w:tc>
        <w:tc>
          <w:tcPr>
            <w:tcW w:w="1077" w:type="dxa"/>
            <w:vAlign w:val="bottom"/>
          </w:tcPr>
          <w:p w:rsidR="00AD1E82" w:rsidRPr="008802FF" w:rsidRDefault="00AD1E82" w:rsidP="00997B5C">
            <w:pPr>
              <w:spacing w:line="240" w:lineRule="auto"/>
              <w:jc w:val="right"/>
              <w:rPr>
                <w:sz w:val="20"/>
                <w:szCs w:val="20"/>
              </w:rPr>
            </w:pPr>
          </w:p>
        </w:tc>
        <w:tc>
          <w:tcPr>
            <w:tcW w:w="907" w:type="dxa"/>
            <w:vAlign w:val="bottom"/>
          </w:tcPr>
          <w:p w:rsidR="00AD1E82" w:rsidRPr="008802FF" w:rsidRDefault="00AD1E82" w:rsidP="00997B5C">
            <w:pPr>
              <w:spacing w:line="240" w:lineRule="auto"/>
              <w:jc w:val="right"/>
              <w:rPr>
                <w:sz w:val="20"/>
              </w:rPr>
            </w:pPr>
          </w:p>
        </w:tc>
        <w:tc>
          <w:tcPr>
            <w:tcW w:w="907" w:type="dxa"/>
            <w:vAlign w:val="bottom"/>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proofErr w:type="spellStart"/>
            <w:r w:rsidRPr="008802FF">
              <w:rPr>
                <w:color w:val="000000"/>
                <w:sz w:val="20"/>
                <w:szCs w:val="20"/>
              </w:rPr>
              <w:t>Pregabalin</w:t>
            </w:r>
            <w:proofErr w:type="spellEnd"/>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0.071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0.051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0.091</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Carbamazepine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0.002</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0.004</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rPr>
          <w:trHeight w:val="288"/>
        </w:trPr>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Gabapentin</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0.006</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0.000</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0.012</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Tricyclic antidepressant</w:t>
            </w:r>
          </w:p>
        </w:tc>
        <w:tc>
          <w:tcPr>
            <w:tcW w:w="1077" w:type="dxa"/>
            <w:vAlign w:val="bottom"/>
          </w:tcPr>
          <w:p w:rsidR="00AD1E82" w:rsidRPr="008802FF" w:rsidRDefault="00AD1E82" w:rsidP="00997B5C">
            <w:pPr>
              <w:spacing w:line="240" w:lineRule="auto"/>
              <w:jc w:val="right"/>
              <w:rPr>
                <w:sz w:val="20"/>
                <w:szCs w:val="20"/>
              </w:rPr>
            </w:pPr>
          </w:p>
        </w:tc>
        <w:tc>
          <w:tcPr>
            <w:tcW w:w="907" w:type="dxa"/>
            <w:vAlign w:val="bottom"/>
          </w:tcPr>
          <w:p w:rsidR="00AD1E82" w:rsidRPr="008802FF" w:rsidRDefault="00AD1E82" w:rsidP="00997B5C">
            <w:pPr>
              <w:spacing w:line="240" w:lineRule="auto"/>
              <w:jc w:val="right"/>
              <w:rPr>
                <w:sz w:val="20"/>
              </w:rPr>
            </w:pPr>
          </w:p>
        </w:tc>
        <w:tc>
          <w:tcPr>
            <w:tcW w:w="907" w:type="dxa"/>
            <w:vAlign w:val="bottom"/>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Amitriptyline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0.064</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0.044</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0.083</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Nortriptyline</w:t>
            </w:r>
          </w:p>
        </w:tc>
        <w:tc>
          <w:tcPr>
            <w:tcW w:w="1077" w:type="dxa"/>
            <w:vAlign w:val="bottom"/>
          </w:tcPr>
          <w:p w:rsidR="00AD1E82" w:rsidRPr="008802FF" w:rsidRDefault="00AD1E82" w:rsidP="00997B5C">
            <w:pPr>
              <w:spacing w:line="240" w:lineRule="auto"/>
              <w:jc w:val="right"/>
              <w:rPr>
                <w:sz w:val="20"/>
                <w:szCs w:val="20"/>
              </w:rPr>
            </w:pPr>
            <w:r w:rsidRPr="008802FF">
              <w:rPr>
                <w:color w:val="000000"/>
                <w:sz w:val="20"/>
                <w:szCs w:val="22"/>
              </w:rPr>
              <w:t>0.005</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0.010</w:t>
            </w:r>
          </w:p>
        </w:tc>
        <w:tc>
          <w:tcPr>
            <w:tcW w:w="1261" w:type="dxa"/>
          </w:tcPr>
          <w:p w:rsidR="00AD1E82" w:rsidRPr="008802FF" w:rsidRDefault="00AD1E82" w:rsidP="00997B5C">
            <w:pPr>
              <w:spacing w:line="240" w:lineRule="auto"/>
              <w:jc w:val="center"/>
              <w:rPr>
                <w:sz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997B5C">
            <w:pPr>
              <w:spacing w:line="240" w:lineRule="auto"/>
              <w:rPr>
                <w:sz w:val="20"/>
              </w:rPr>
            </w:pPr>
            <w:r w:rsidRPr="008802FF">
              <w:rPr>
                <w:sz w:val="20"/>
              </w:rPr>
              <w:t>Length of stay hospitalization (days)</w:t>
            </w:r>
          </w:p>
        </w:tc>
        <w:tc>
          <w:tcPr>
            <w:tcW w:w="107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rPr>
            </w:pPr>
          </w:p>
        </w:tc>
        <w:tc>
          <w:tcPr>
            <w:tcW w:w="1984" w:type="dxa"/>
          </w:tcPr>
          <w:p w:rsidR="00AD1E82" w:rsidRPr="008802FF" w:rsidRDefault="00AD1E82" w:rsidP="0075366F">
            <w:pPr>
              <w:spacing w:line="240" w:lineRule="auto"/>
              <w:rPr>
                <w:sz w:val="20"/>
              </w:rPr>
            </w:pPr>
            <w:r w:rsidRPr="008802FF">
              <w:rPr>
                <w:sz w:val="20"/>
                <w:szCs w:val="20"/>
              </w:rPr>
              <w:t>Dutch Hospital Data, 2012-2014</w:t>
            </w:r>
            <w:r w:rsidR="003523E8">
              <w:rPr>
                <w:sz w:val="20"/>
                <w:szCs w:val="20"/>
              </w:rPr>
              <w:t xml:space="preserve"> </w:t>
            </w:r>
            <w:r w:rsidR="0075366F">
              <w:rPr>
                <w:noProof/>
                <w:sz w:val="20"/>
                <w:szCs w:val="20"/>
              </w:rPr>
              <w:t>[4]</w:t>
            </w:r>
          </w:p>
        </w:tc>
      </w:tr>
      <w:tr w:rsidR="00AD1E82" w:rsidRPr="008802FF" w:rsidTr="00997B5C">
        <w:tc>
          <w:tcPr>
            <w:tcW w:w="3628" w:type="dxa"/>
          </w:tcPr>
          <w:p w:rsidR="00AD1E82" w:rsidRPr="008802FF" w:rsidRDefault="00AD1E82" w:rsidP="00997B5C">
            <w:pPr>
              <w:spacing w:line="240" w:lineRule="auto"/>
              <w:rPr>
                <w:sz w:val="20"/>
              </w:rPr>
            </w:pPr>
            <w:r w:rsidRPr="008802FF">
              <w:rPr>
                <w:sz w:val="20"/>
              </w:rPr>
              <w:t xml:space="preserve">   50-59 years</w:t>
            </w:r>
          </w:p>
        </w:tc>
        <w:tc>
          <w:tcPr>
            <w:tcW w:w="1077" w:type="dxa"/>
          </w:tcPr>
          <w:p w:rsidR="00AD1E82" w:rsidRPr="008802FF" w:rsidRDefault="00AD1E82" w:rsidP="00997B5C">
            <w:pPr>
              <w:spacing w:line="240" w:lineRule="auto"/>
              <w:jc w:val="right"/>
              <w:rPr>
                <w:sz w:val="20"/>
              </w:rPr>
            </w:pPr>
            <w:r w:rsidRPr="008802FF">
              <w:rPr>
                <w:sz w:val="20"/>
              </w:rPr>
              <w:t>5.9</w:t>
            </w:r>
          </w:p>
        </w:tc>
        <w:tc>
          <w:tcPr>
            <w:tcW w:w="907" w:type="dxa"/>
          </w:tcPr>
          <w:p w:rsidR="00AD1E82" w:rsidRPr="008802FF" w:rsidRDefault="00AD1E82" w:rsidP="00997B5C">
            <w:pPr>
              <w:spacing w:line="240" w:lineRule="auto"/>
              <w:jc w:val="right"/>
              <w:rPr>
                <w:sz w:val="20"/>
              </w:rPr>
            </w:pPr>
            <w:r w:rsidRPr="008802FF">
              <w:rPr>
                <w:sz w:val="20"/>
              </w:rPr>
              <w:t>5.1</w:t>
            </w:r>
          </w:p>
        </w:tc>
        <w:tc>
          <w:tcPr>
            <w:tcW w:w="907" w:type="dxa"/>
          </w:tcPr>
          <w:p w:rsidR="00AD1E82" w:rsidRPr="008802FF" w:rsidRDefault="00AD1E82" w:rsidP="00997B5C">
            <w:pPr>
              <w:spacing w:line="240" w:lineRule="auto"/>
              <w:jc w:val="right"/>
              <w:rPr>
                <w:sz w:val="20"/>
              </w:rPr>
            </w:pPr>
            <w:r w:rsidRPr="008802FF">
              <w:rPr>
                <w:sz w:val="20"/>
              </w:rPr>
              <w:t>6.6</w:t>
            </w:r>
          </w:p>
        </w:tc>
        <w:tc>
          <w:tcPr>
            <w:tcW w:w="1261" w:type="dxa"/>
          </w:tcPr>
          <w:p w:rsidR="00AD1E82" w:rsidRPr="008802FF" w:rsidRDefault="003523E8" w:rsidP="00997B5C">
            <w:pPr>
              <w:spacing w:line="240" w:lineRule="auto"/>
              <w:jc w:val="center"/>
              <w:rPr>
                <w:sz w:val="20"/>
              </w:rPr>
            </w:pPr>
            <w:r w:rsidRPr="008802FF">
              <w:rPr>
                <w:sz w:val="20"/>
                <w:szCs w:val="20"/>
              </w:rPr>
              <w:t>Gamma</w:t>
            </w:r>
          </w:p>
        </w:tc>
        <w:tc>
          <w:tcPr>
            <w:tcW w:w="1984" w:type="dxa"/>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997B5C">
            <w:pPr>
              <w:spacing w:line="240" w:lineRule="auto"/>
              <w:rPr>
                <w:sz w:val="20"/>
              </w:rPr>
            </w:pPr>
            <w:r w:rsidRPr="008802FF">
              <w:rPr>
                <w:sz w:val="20"/>
              </w:rPr>
              <w:t xml:space="preserve">   60-69 years</w:t>
            </w:r>
          </w:p>
        </w:tc>
        <w:tc>
          <w:tcPr>
            <w:tcW w:w="1077" w:type="dxa"/>
          </w:tcPr>
          <w:p w:rsidR="00AD1E82" w:rsidRPr="008802FF" w:rsidRDefault="00AD1E82" w:rsidP="00997B5C">
            <w:pPr>
              <w:spacing w:line="240" w:lineRule="auto"/>
              <w:jc w:val="right"/>
              <w:rPr>
                <w:sz w:val="20"/>
              </w:rPr>
            </w:pPr>
            <w:r w:rsidRPr="008802FF">
              <w:rPr>
                <w:sz w:val="20"/>
              </w:rPr>
              <w:t>7.5</w:t>
            </w:r>
          </w:p>
        </w:tc>
        <w:tc>
          <w:tcPr>
            <w:tcW w:w="907" w:type="dxa"/>
          </w:tcPr>
          <w:p w:rsidR="00AD1E82" w:rsidRPr="008802FF" w:rsidRDefault="00AD1E82" w:rsidP="00997B5C">
            <w:pPr>
              <w:spacing w:line="240" w:lineRule="auto"/>
              <w:jc w:val="right"/>
              <w:rPr>
                <w:sz w:val="20"/>
              </w:rPr>
            </w:pPr>
            <w:r w:rsidRPr="008802FF">
              <w:rPr>
                <w:sz w:val="20"/>
              </w:rPr>
              <w:t>6.5</w:t>
            </w:r>
          </w:p>
        </w:tc>
        <w:tc>
          <w:tcPr>
            <w:tcW w:w="907" w:type="dxa"/>
          </w:tcPr>
          <w:p w:rsidR="00AD1E82" w:rsidRPr="008802FF" w:rsidRDefault="00AD1E82" w:rsidP="00997B5C">
            <w:pPr>
              <w:spacing w:line="240" w:lineRule="auto"/>
              <w:jc w:val="right"/>
              <w:rPr>
                <w:sz w:val="20"/>
              </w:rPr>
            </w:pPr>
            <w:r w:rsidRPr="008802FF">
              <w:rPr>
                <w:sz w:val="20"/>
              </w:rPr>
              <w:t>8.4</w:t>
            </w:r>
          </w:p>
        </w:tc>
        <w:tc>
          <w:tcPr>
            <w:tcW w:w="1261" w:type="dxa"/>
          </w:tcPr>
          <w:p w:rsidR="00AD1E82" w:rsidRPr="008802FF" w:rsidRDefault="003523E8" w:rsidP="00997B5C">
            <w:pPr>
              <w:spacing w:line="240" w:lineRule="auto"/>
              <w:jc w:val="center"/>
              <w:rPr>
                <w:sz w:val="20"/>
              </w:rPr>
            </w:pPr>
            <w:r w:rsidRPr="008802FF">
              <w:rPr>
                <w:sz w:val="20"/>
                <w:szCs w:val="20"/>
              </w:rPr>
              <w:t>Gamma</w:t>
            </w:r>
          </w:p>
        </w:tc>
        <w:tc>
          <w:tcPr>
            <w:tcW w:w="1984" w:type="dxa"/>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997B5C">
            <w:pPr>
              <w:spacing w:line="240" w:lineRule="auto"/>
              <w:rPr>
                <w:sz w:val="20"/>
              </w:rPr>
            </w:pPr>
            <w:r w:rsidRPr="008802FF">
              <w:rPr>
                <w:sz w:val="20"/>
              </w:rPr>
              <w:t xml:space="preserve">   70-79 years</w:t>
            </w:r>
          </w:p>
        </w:tc>
        <w:tc>
          <w:tcPr>
            <w:tcW w:w="1077" w:type="dxa"/>
          </w:tcPr>
          <w:p w:rsidR="00AD1E82" w:rsidRPr="008802FF" w:rsidRDefault="00AD1E82" w:rsidP="00997B5C">
            <w:pPr>
              <w:spacing w:line="240" w:lineRule="auto"/>
              <w:jc w:val="right"/>
              <w:rPr>
                <w:sz w:val="20"/>
              </w:rPr>
            </w:pPr>
            <w:r w:rsidRPr="008802FF">
              <w:rPr>
                <w:sz w:val="20"/>
              </w:rPr>
              <w:t>7.5</w:t>
            </w:r>
          </w:p>
        </w:tc>
        <w:tc>
          <w:tcPr>
            <w:tcW w:w="907" w:type="dxa"/>
          </w:tcPr>
          <w:p w:rsidR="00AD1E82" w:rsidRPr="008802FF" w:rsidRDefault="00AD1E82" w:rsidP="00997B5C">
            <w:pPr>
              <w:spacing w:line="240" w:lineRule="auto"/>
              <w:jc w:val="right"/>
              <w:rPr>
                <w:sz w:val="20"/>
              </w:rPr>
            </w:pPr>
            <w:r w:rsidRPr="008802FF">
              <w:rPr>
                <w:sz w:val="20"/>
              </w:rPr>
              <w:t>6.8</w:t>
            </w:r>
          </w:p>
        </w:tc>
        <w:tc>
          <w:tcPr>
            <w:tcW w:w="907" w:type="dxa"/>
          </w:tcPr>
          <w:p w:rsidR="00AD1E82" w:rsidRPr="008802FF" w:rsidRDefault="00AD1E82" w:rsidP="00997B5C">
            <w:pPr>
              <w:spacing w:line="240" w:lineRule="auto"/>
              <w:jc w:val="right"/>
              <w:rPr>
                <w:sz w:val="20"/>
              </w:rPr>
            </w:pPr>
            <w:r w:rsidRPr="008802FF">
              <w:rPr>
                <w:sz w:val="20"/>
              </w:rPr>
              <w:t>8.2</w:t>
            </w:r>
          </w:p>
        </w:tc>
        <w:tc>
          <w:tcPr>
            <w:tcW w:w="1261" w:type="dxa"/>
          </w:tcPr>
          <w:p w:rsidR="00AD1E82" w:rsidRPr="008802FF" w:rsidRDefault="003523E8" w:rsidP="00997B5C">
            <w:pPr>
              <w:spacing w:line="240" w:lineRule="auto"/>
              <w:jc w:val="center"/>
              <w:rPr>
                <w:sz w:val="20"/>
              </w:rPr>
            </w:pPr>
            <w:r w:rsidRPr="008802FF">
              <w:rPr>
                <w:sz w:val="20"/>
                <w:szCs w:val="20"/>
              </w:rPr>
              <w:t>Gamma</w:t>
            </w:r>
          </w:p>
        </w:tc>
        <w:tc>
          <w:tcPr>
            <w:tcW w:w="1984" w:type="dxa"/>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AD1E82" w:rsidP="00187158">
            <w:pPr>
              <w:spacing w:line="240" w:lineRule="auto"/>
              <w:rPr>
                <w:sz w:val="20"/>
              </w:rPr>
            </w:pPr>
            <w:r w:rsidRPr="008802FF">
              <w:rPr>
                <w:sz w:val="20"/>
              </w:rPr>
              <w:t xml:space="preserve">   </w:t>
            </w:r>
            <w:r w:rsidR="00187158">
              <w:rPr>
                <w:sz w:val="20"/>
              </w:rPr>
              <w:t>≥</w:t>
            </w:r>
            <w:r w:rsidRPr="008802FF">
              <w:rPr>
                <w:sz w:val="20"/>
              </w:rPr>
              <w:t>80 years</w:t>
            </w:r>
          </w:p>
        </w:tc>
        <w:tc>
          <w:tcPr>
            <w:tcW w:w="1077" w:type="dxa"/>
          </w:tcPr>
          <w:p w:rsidR="00AD1E82" w:rsidRPr="008802FF" w:rsidRDefault="00AD1E82" w:rsidP="00997B5C">
            <w:pPr>
              <w:spacing w:line="240" w:lineRule="auto"/>
              <w:jc w:val="right"/>
              <w:rPr>
                <w:sz w:val="20"/>
              </w:rPr>
            </w:pPr>
            <w:r w:rsidRPr="008802FF">
              <w:rPr>
                <w:sz w:val="20"/>
              </w:rPr>
              <w:t>9.2</w:t>
            </w:r>
          </w:p>
        </w:tc>
        <w:tc>
          <w:tcPr>
            <w:tcW w:w="907" w:type="dxa"/>
          </w:tcPr>
          <w:p w:rsidR="00AD1E82" w:rsidRPr="008802FF" w:rsidRDefault="00AD1E82" w:rsidP="00997B5C">
            <w:pPr>
              <w:spacing w:line="240" w:lineRule="auto"/>
              <w:jc w:val="right"/>
              <w:rPr>
                <w:sz w:val="20"/>
              </w:rPr>
            </w:pPr>
            <w:r w:rsidRPr="008802FF">
              <w:rPr>
                <w:sz w:val="20"/>
              </w:rPr>
              <w:t>8.4</w:t>
            </w:r>
          </w:p>
        </w:tc>
        <w:tc>
          <w:tcPr>
            <w:tcW w:w="907" w:type="dxa"/>
          </w:tcPr>
          <w:p w:rsidR="00AD1E82" w:rsidRPr="008802FF" w:rsidRDefault="00AD1E82" w:rsidP="00997B5C">
            <w:pPr>
              <w:spacing w:line="240" w:lineRule="auto"/>
              <w:jc w:val="right"/>
              <w:rPr>
                <w:sz w:val="20"/>
              </w:rPr>
            </w:pPr>
            <w:r w:rsidRPr="008802FF">
              <w:rPr>
                <w:sz w:val="20"/>
              </w:rPr>
              <w:t>10.1</w:t>
            </w:r>
          </w:p>
        </w:tc>
        <w:tc>
          <w:tcPr>
            <w:tcW w:w="1261" w:type="dxa"/>
          </w:tcPr>
          <w:p w:rsidR="00AD1E82" w:rsidRPr="008802FF" w:rsidRDefault="003523E8" w:rsidP="00997B5C">
            <w:pPr>
              <w:spacing w:line="240" w:lineRule="auto"/>
              <w:jc w:val="center"/>
              <w:rPr>
                <w:sz w:val="20"/>
              </w:rPr>
            </w:pPr>
            <w:r w:rsidRPr="008802FF">
              <w:rPr>
                <w:sz w:val="20"/>
                <w:szCs w:val="20"/>
              </w:rPr>
              <w:t>Gamma</w:t>
            </w:r>
          </w:p>
        </w:tc>
        <w:tc>
          <w:tcPr>
            <w:tcW w:w="1984" w:type="dxa"/>
          </w:tcPr>
          <w:p w:rsidR="00AD1E82" w:rsidRPr="008802FF" w:rsidRDefault="00AD1E82" w:rsidP="00997B5C">
            <w:pPr>
              <w:spacing w:line="240" w:lineRule="auto"/>
              <w:rPr>
                <w:sz w:val="20"/>
              </w:rPr>
            </w:pPr>
          </w:p>
        </w:tc>
      </w:tr>
      <w:tr w:rsidR="00AD1E82" w:rsidRPr="008802FF" w:rsidTr="00997B5C">
        <w:tc>
          <w:tcPr>
            <w:tcW w:w="3628" w:type="dxa"/>
          </w:tcPr>
          <w:p w:rsidR="00AD1E82" w:rsidRPr="008802FF" w:rsidRDefault="003523E8" w:rsidP="00997B5C">
            <w:pPr>
              <w:spacing w:line="240" w:lineRule="auto"/>
              <w:rPr>
                <w:sz w:val="20"/>
              </w:rPr>
            </w:pPr>
            <w:r>
              <w:rPr>
                <w:sz w:val="20"/>
              </w:rPr>
              <w:t xml:space="preserve">Probability of </w:t>
            </w:r>
            <w:r w:rsidR="00AD1E82" w:rsidRPr="008802FF">
              <w:rPr>
                <w:sz w:val="20"/>
              </w:rPr>
              <w:t>OTC medication</w:t>
            </w:r>
          </w:p>
        </w:tc>
        <w:tc>
          <w:tcPr>
            <w:tcW w:w="107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szCs w:val="20"/>
              </w:rPr>
            </w:pPr>
          </w:p>
        </w:tc>
        <w:tc>
          <w:tcPr>
            <w:tcW w:w="1984" w:type="dxa"/>
            <w:vMerge w:val="restart"/>
          </w:tcPr>
          <w:p w:rsidR="00AD1E82" w:rsidRPr="008802FF" w:rsidRDefault="00AD1E82" w:rsidP="0075366F">
            <w:pPr>
              <w:spacing w:line="240" w:lineRule="auto"/>
              <w:rPr>
                <w:sz w:val="20"/>
              </w:rPr>
            </w:pPr>
            <w:r w:rsidRPr="008802FF">
              <w:rPr>
                <w:sz w:val="20"/>
              </w:rPr>
              <w:t xml:space="preserve">Van </w:t>
            </w:r>
            <w:proofErr w:type="spellStart"/>
            <w:r w:rsidRPr="008802FF">
              <w:rPr>
                <w:sz w:val="20"/>
              </w:rPr>
              <w:t>Wijck</w:t>
            </w:r>
            <w:proofErr w:type="spellEnd"/>
            <w:r w:rsidRPr="008802FF">
              <w:rPr>
                <w:sz w:val="20"/>
              </w:rPr>
              <w:t>, 2016</w:t>
            </w:r>
            <w:r w:rsidR="003523E8">
              <w:rPr>
                <w:sz w:val="20"/>
              </w:rPr>
              <w:t xml:space="preserve"> </w:t>
            </w:r>
            <w:r w:rsidR="0075366F">
              <w:rPr>
                <w:noProof/>
                <w:sz w:val="20"/>
              </w:rPr>
              <w:t>[1]</w:t>
            </w: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iCs/>
                <w:color w:val="000000"/>
                <w:sz w:val="20"/>
                <w:szCs w:val="20"/>
              </w:rPr>
              <w:t xml:space="preserve">   Pain killers</w:t>
            </w:r>
          </w:p>
        </w:tc>
        <w:tc>
          <w:tcPr>
            <w:tcW w:w="107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szCs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Paracetamol</w:t>
            </w:r>
          </w:p>
        </w:tc>
        <w:tc>
          <w:tcPr>
            <w:tcW w:w="1077" w:type="dxa"/>
            <w:vAlign w:val="bottom"/>
          </w:tcPr>
          <w:p w:rsidR="00AD1E82" w:rsidRPr="008802FF" w:rsidRDefault="00AD1E82" w:rsidP="00997B5C">
            <w:pPr>
              <w:spacing w:line="240" w:lineRule="auto"/>
              <w:jc w:val="right"/>
              <w:rPr>
                <w:sz w:val="20"/>
              </w:rPr>
            </w:pPr>
            <w:r w:rsidRPr="008802FF">
              <w:rPr>
                <w:color w:val="000000"/>
                <w:sz w:val="20"/>
                <w:szCs w:val="22"/>
              </w:rPr>
              <w:t>0.383</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0.023</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0.337</w:t>
            </w:r>
          </w:p>
        </w:tc>
        <w:tc>
          <w:tcPr>
            <w:tcW w:w="1261" w:type="dxa"/>
          </w:tcPr>
          <w:p w:rsidR="00AD1E82" w:rsidRPr="008802FF" w:rsidRDefault="00AD1E82" w:rsidP="00997B5C">
            <w:pPr>
              <w:spacing w:line="240" w:lineRule="auto"/>
              <w:jc w:val="center"/>
              <w:rPr>
                <w:sz w:val="20"/>
                <w:szCs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NSAID</w:t>
            </w:r>
          </w:p>
        </w:tc>
        <w:tc>
          <w:tcPr>
            <w:tcW w:w="1077" w:type="dxa"/>
            <w:vAlign w:val="bottom"/>
          </w:tcPr>
          <w:p w:rsidR="00AD1E82" w:rsidRPr="008802FF" w:rsidRDefault="00AD1E82" w:rsidP="00997B5C">
            <w:pPr>
              <w:spacing w:line="240" w:lineRule="auto"/>
              <w:jc w:val="right"/>
              <w:rPr>
                <w:sz w:val="20"/>
              </w:rPr>
            </w:pPr>
            <w:r w:rsidRPr="008802FF">
              <w:rPr>
                <w:color w:val="000000"/>
                <w:sz w:val="20"/>
                <w:szCs w:val="22"/>
              </w:rPr>
              <w:t>0.171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0.016</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0.139</w:t>
            </w:r>
          </w:p>
        </w:tc>
        <w:tc>
          <w:tcPr>
            <w:tcW w:w="1261" w:type="dxa"/>
          </w:tcPr>
          <w:p w:rsidR="00AD1E82" w:rsidRPr="008802FF" w:rsidRDefault="00AD1E82" w:rsidP="00997B5C">
            <w:pPr>
              <w:spacing w:line="240" w:lineRule="auto"/>
              <w:jc w:val="center"/>
              <w:rPr>
                <w:sz w:val="20"/>
                <w:szCs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iCs/>
                <w:color w:val="000000"/>
                <w:sz w:val="20"/>
                <w:szCs w:val="20"/>
              </w:rPr>
              <w:t xml:space="preserve">   Topical</w:t>
            </w:r>
          </w:p>
        </w:tc>
        <w:tc>
          <w:tcPr>
            <w:tcW w:w="107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907" w:type="dxa"/>
          </w:tcPr>
          <w:p w:rsidR="00AD1E82" w:rsidRPr="008802FF" w:rsidRDefault="00AD1E82" w:rsidP="00997B5C">
            <w:pPr>
              <w:spacing w:line="240" w:lineRule="auto"/>
              <w:jc w:val="right"/>
              <w:rPr>
                <w:sz w:val="20"/>
              </w:rPr>
            </w:pPr>
          </w:p>
        </w:tc>
        <w:tc>
          <w:tcPr>
            <w:tcW w:w="1261" w:type="dxa"/>
          </w:tcPr>
          <w:p w:rsidR="00AD1E82" w:rsidRPr="008802FF" w:rsidRDefault="00AD1E82" w:rsidP="00997B5C">
            <w:pPr>
              <w:spacing w:line="240" w:lineRule="auto"/>
              <w:jc w:val="center"/>
              <w:rPr>
                <w:sz w:val="20"/>
                <w:szCs w:val="20"/>
              </w:rPr>
            </w:pP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Zink oxide</w:t>
            </w:r>
          </w:p>
        </w:tc>
        <w:tc>
          <w:tcPr>
            <w:tcW w:w="1077" w:type="dxa"/>
            <w:vAlign w:val="bottom"/>
          </w:tcPr>
          <w:p w:rsidR="00AD1E82" w:rsidRPr="008802FF" w:rsidRDefault="00AD1E82" w:rsidP="00997B5C">
            <w:pPr>
              <w:spacing w:line="240" w:lineRule="auto"/>
              <w:jc w:val="right"/>
              <w:rPr>
                <w:sz w:val="20"/>
              </w:rPr>
            </w:pPr>
            <w:r w:rsidRPr="008802FF">
              <w:rPr>
                <w:color w:val="000000"/>
                <w:sz w:val="20"/>
                <w:szCs w:val="22"/>
              </w:rPr>
              <w:t>0.050</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0.009</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0.033</w:t>
            </w:r>
          </w:p>
        </w:tc>
        <w:tc>
          <w:tcPr>
            <w:tcW w:w="1261" w:type="dxa"/>
          </w:tcPr>
          <w:p w:rsidR="00AD1E82" w:rsidRPr="008802FF" w:rsidRDefault="00AD1E82" w:rsidP="00997B5C">
            <w:pPr>
              <w:spacing w:line="240" w:lineRule="auto"/>
              <w:jc w:val="center"/>
              <w:rPr>
                <w:sz w:val="20"/>
                <w:szCs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Lidocaine</w:t>
            </w:r>
          </w:p>
        </w:tc>
        <w:tc>
          <w:tcPr>
            <w:tcW w:w="1077" w:type="dxa"/>
            <w:vAlign w:val="bottom"/>
          </w:tcPr>
          <w:p w:rsidR="00AD1E82" w:rsidRPr="008802FF" w:rsidRDefault="00AD1E82" w:rsidP="00997B5C">
            <w:pPr>
              <w:spacing w:line="240" w:lineRule="auto"/>
              <w:jc w:val="right"/>
              <w:rPr>
                <w:sz w:val="20"/>
              </w:rPr>
            </w:pPr>
            <w:r w:rsidRPr="008802FF">
              <w:rPr>
                <w:color w:val="000000"/>
                <w:sz w:val="20"/>
                <w:szCs w:val="22"/>
              </w:rPr>
              <w:t>0.077</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0.056</w:t>
            </w:r>
          </w:p>
        </w:tc>
        <w:tc>
          <w:tcPr>
            <w:tcW w:w="1261" w:type="dxa"/>
          </w:tcPr>
          <w:p w:rsidR="00AD1E82" w:rsidRPr="008802FF" w:rsidRDefault="00AD1E82" w:rsidP="00997B5C">
            <w:pPr>
              <w:spacing w:line="240" w:lineRule="auto"/>
              <w:jc w:val="center"/>
              <w:rPr>
                <w:sz w:val="20"/>
                <w:szCs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AD1E82" w:rsidRPr="008802FF" w:rsidTr="00997B5C">
        <w:tc>
          <w:tcPr>
            <w:tcW w:w="3628" w:type="dxa"/>
            <w:vAlign w:val="bottom"/>
          </w:tcPr>
          <w:p w:rsidR="00AD1E82" w:rsidRPr="008802FF" w:rsidRDefault="00AD1E82" w:rsidP="00997B5C">
            <w:pPr>
              <w:spacing w:line="240" w:lineRule="auto"/>
              <w:rPr>
                <w:sz w:val="20"/>
                <w:szCs w:val="20"/>
              </w:rPr>
            </w:pPr>
            <w:r w:rsidRPr="008802FF">
              <w:rPr>
                <w:iCs/>
                <w:color w:val="000000"/>
                <w:sz w:val="20"/>
                <w:szCs w:val="20"/>
              </w:rPr>
              <w:t xml:space="preserve">      </w:t>
            </w:r>
            <w:r w:rsidRPr="008802FF">
              <w:rPr>
                <w:color w:val="000000"/>
                <w:sz w:val="20"/>
                <w:szCs w:val="20"/>
              </w:rPr>
              <w:t>Hydrophobic ointment</w:t>
            </w:r>
          </w:p>
        </w:tc>
        <w:tc>
          <w:tcPr>
            <w:tcW w:w="1077" w:type="dxa"/>
            <w:vAlign w:val="bottom"/>
          </w:tcPr>
          <w:p w:rsidR="00AD1E82" w:rsidRPr="008802FF" w:rsidRDefault="00AD1E82" w:rsidP="00997B5C">
            <w:pPr>
              <w:spacing w:line="240" w:lineRule="auto"/>
              <w:jc w:val="right"/>
              <w:rPr>
                <w:sz w:val="20"/>
              </w:rPr>
            </w:pPr>
            <w:r w:rsidRPr="008802FF">
              <w:rPr>
                <w:color w:val="000000"/>
                <w:sz w:val="20"/>
                <w:szCs w:val="22"/>
              </w:rPr>
              <w:t>0.085</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0.011</w:t>
            </w:r>
          </w:p>
        </w:tc>
        <w:tc>
          <w:tcPr>
            <w:tcW w:w="907" w:type="dxa"/>
            <w:vAlign w:val="bottom"/>
          </w:tcPr>
          <w:p w:rsidR="00AD1E82" w:rsidRPr="008802FF" w:rsidRDefault="00AD1E82" w:rsidP="00997B5C">
            <w:pPr>
              <w:spacing w:line="240" w:lineRule="auto"/>
              <w:jc w:val="right"/>
              <w:rPr>
                <w:sz w:val="20"/>
              </w:rPr>
            </w:pPr>
            <w:r w:rsidRPr="008802FF">
              <w:rPr>
                <w:color w:val="000000"/>
                <w:sz w:val="20"/>
                <w:szCs w:val="22"/>
              </w:rPr>
              <w:t>0.063</w:t>
            </w:r>
          </w:p>
        </w:tc>
        <w:tc>
          <w:tcPr>
            <w:tcW w:w="1261" w:type="dxa"/>
          </w:tcPr>
          <w:p w:rsidR="00AD1E82" w:rsidRPr="008802FF" w:rsidRDefault="00AD1E82" w:rsidP="00997B5C">
            <w:pPr>
              <w:spacing w:line="240" w:lineRule="auto"/>
              <w:jc w:val="center"/>
              <w:rPr>
                <w:sz w:val="20"/>
                <w:szCs w:val="20"/>
              </w:rPr>
            </w:pPr>
            <w:r w:rsidRPr="008802FF">
              <w:rPr>
                <w:sz w:val="20"/>
              </w:rPr>
              <w:t>Beta</w:t>
            </w:r>
          </w:p>
        </w:tc>
        <w:tc>
          <w:tcPr>
            <w:tcW w:w="1984" w:type="dxa"/>
            <w:vMerge/>
          </w:tcPr>
          <w:p w:rsidR="00AD1E82" w:rsidRPr="008802FF" w:rsidRDefault="00AD1E82" w:rsidP="00997B5C">
            <w:pPr>
              <w:spacing w:line="240" w:lineRule="auto"/>
              <w:rPr>
                <w:sz w:val="20"/>
              </w:rPr>
            </w:pP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Absenteeism given HZ (days)</w:t>
            </w:r>
          </w:p>
        </w:tc>
        <w:tc>
          <w:tcPr>
            <w:tcW w:w="1077" w:type="dxa"/>
          </w:tcPr>
          <w:p w:rsidR="003523E8" w:rsidRPr="008802FF" w:rsidRDefault="003523E8" w:rsidP="00997B5C">
            <w:pPr>
              <w:spacing w:line="240" w:lineRule="auto"/>
              <w:jc w:val="right"/>
              <w:rPr>
                <w:sz w:val="20"/>
                <w:szCs w:val="20"/>
              </w:rPr>
            </w:pPr>
          </w:p>
        </w:tc>
        <w:tc>
          <w:tcPr>
            <w:tcW w:w="907" w:type="dxa"/>
          </w:tcPr>
          <w:p w:rsidR="003523E8" w:rsidRPr="008802FF" w:rsidRDefault="003523E8" w:rsidP="00997B5C">
            <w:pPr>
              <w:spacing w:line="240" w:lineRule="auto"/>
              <w:jc w:val="right"/>
              <w:rPr>
                <w:sz w:val="20"/>
                <w:szCs w:val="20"/>
              </w:rPr>
            </w:pPr>
          </w:p>
        </w:tc>
        <w:tc>
          <w:tcPr>
            <w:tcW w:w="907" w:type="dxa"/>
          </w:tcPr>
          <w:p w:rsidR="003523E8" w:rsidRPr="008802FF" w:rsidRDefault="003523E8" w:rsidP="00997B5C">
            <w:pPr>
              <w:spacing w:line="240" w:lineRule="auto"/>
              <w:jc w:val="right"/>
              <w:rPr>
                <w:sz w:val="20"/>
                <w:szCs w:val="20"/>
              </w:rPr>
            </w:pPr>
          </w:p>
        </w:tc>
        <w:tc>
          <w:tcPr>
            <w:tcW w:w="1261" w:type="dxa"/>
          </w:tcPr>
          <w:p w:rsidR="003523E8" w:rsidRPr="008802FF" w:rsidRDefault="003523E8" w:rsidP="00997B5C">
            <w:pPr>
              <w:spacing w:line="240" w:lineRule="auto"/>
              <w:jc w:val="center"/>
              <w:rPr>
                <w:sz w:val="20"/>
              </w:rPr>
            </w:pPr>
          </w:p>
        </w:tc>
        <w:tc>
          <w:tcPr>
            <w:tcW w:w="1984" w:type="dxa"/>
            <w:vMerge w:val="restart"/>
          </w:tcPr>
          <w:p w:rsidR="003523E8" w:rsidRPr="008802FF" w:rsidRDefault="003523E8" w:rsidP="0075366F">
            <w:pPr>
              <w:spacing w:line="240" w:lineRule="auto"/>
              <w:rPr>
                <w:sz w:val="20"/>
              </w:rPr>
            </w:pPr>
            <w:r w:rsidRPr="008802FF">
              <w:rPr>
                <w:sz w:val="20"/>
              </w:rPr>
              <w:t xml:space="preserve">Van </w:t>
            </w:r>
            <w:proofErr w:type="spellStart"/>
            <w:r w:rsidRPr="008802FF">
              <w:rPr>
                <w:sz w:val="20"/>
              </w:rPr>
              <w:t>Wijck</w:t>
            </w:r>
            <w:proofErr w:type="spellEnd"/>
            <w:r w:rsidRPr="008802FF">
              <w:rPr>
                <w:sz w:val="20"/>
              </w:rPr>
              <w:t>, 2016</w:t>
            </w:r>
            <w:r>
              <w:rPr>
                <w:sz w:val="20"/>
              </w:rPr>
              <w:t xml:space="preserve"> </w:t>
            </w:r>
            <w:r w:rsidR="0075366F">
              <w:rPr>
                <w:noProof/>
                <w:sz w:val="20"/>
              </w:rPr>
              <w:t>[1]</w:t>
            </w:r>
            <w:r>
              <w:rPr>
                <w:sz w:val="20"/>
              </w:rPr>
              <w:t xml:space="preserve">, adjusted for age-specific labour participation rates. People aged </w:t>
            </w:r>
            <w:r>
              <w:t>≥</w:t>
            </w:r>
            <w:r>
              <w:rPr>
                <w:sz w:val="20"/>
              </w:rPr>
              <w:t>70 years were assumed to be retired</w:t>
            </w: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 xml:space="preserve">   50-</w:t>
            </w:r>
            <w:r>
              <w:rPr>
                <w:sz w:val="20"/>
              </w:rPr>
              <w:t>59 years</w:t>
            </w:r>
          </w:p>
        </w:tc>
        <w:tc>
          <w:tcPr>
            <w:tcW w:w="1077" w:type="dxa"/>
          </w:tcPr>
          <w:p w:rsidR="003523E8" w:rsidRPr="00273335" w:rsidRDefault="003523E8" w:rsidP="00997B5C">
            <w:pPr>
              <w:spacing w:line="240" w:lineRule="auto"/>
              <w:jc w:val="right"/>
              <w:rPr>
                <w:color w:val="000000"/>
                <w:sz w:val="20"/>
                <w:szCs w:val="20"/>
              </w:rPr>
            </w:pPr>
            <w:r w:rsidRPr="00273335">
              <w:rPr>
                <w:color w:val="000000"/>
                <w:sz w:val="20"/>
                <w:szCs w:val="20"/>
              </w:rPr>
              <w:t>1.72</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0.99</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3.21</w:t>
            </w:r>
          </w:p>
        </w:tc>
        <w:tc>
          <w:tcPr>
            <w:tcW w:w="1261" w:type="dxa"/>
          </w:tcPr>
          <w:p w:rsidR="003523E8" w:rsidRPr="008802FF" w:rsidRDefault="003523E8" w:rsidP="00997B5C">
            <w:pPr>
              <w:spacing w:line="240" w:lineRule="auto"/>
              <w:jc w:val="center"/>
              <w:rPr>
                <w:sz w:val="20"/>
              </w:rPr>
            </w:pPr>
            <w:r w:rsidRPr="008802FF">
              <w:rPr>
                <w:sz w:val="20"/>
              </w:rPr>
              <w:t>Gamma</w:t>
            </w: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 xml:space="preserve">   60</w:t>
            </w:r>
            <w:r>
              <w:rPr>
                <w:sz w:val="20"/>
              </w:rPr>
              <w:t>-69 years</w:t>
            </w:r>
          </w:p>
        </w:tc>
        <w:tc>
          <w:tcPr>
            <w:tcW w:w="1077" w:type="dxa"/>
          </w:tcPr>
          <w:p w:rsidR="003523E8" w:rsidRPr="00273335" w:rsidRDefault="003523E8" w:rsidP="00997B5C">
            <w:pPr>
              <w:spacing w:line="240" w:lineRule="auto"/>
              <w:jc w:val="right"/>
              <w:rPr>
                <w:color w:val="000000"/>
                <w:sz w:val="20"/>
                <w:szCs w:val="20"/>
              </w:rPr>
            </w:pPr>
            <w:r w:rsidRPr="00273335">
              <w:rPr>
                <w:color w:val="000000"/>
                <w:sz w:val="20"/>
                <w:szCs w:val="20"/>
              </w:rPr>
              <w:t>0.76</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0.43</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1.45</w:t>
            </w:r>
          </w:p>
        </w:tc>
        <w:tc>
          <w:tcPr>
            <w:tcW w:w="1261" w:type="dxa"/>
          </w:tcPr>
          <w:p w:rsidR="003523E8" w:rsidRPr="008802FF" w:rsidRDefault="003523E8" w:rsidP="00997B5C">
            <w:pPr>
              <w:spacing w:line="240" w:lineRule="auto"/>
              <w:jc w:val="center"/>
              <w:rPr>
                <w:sz w:val="20"/>
              </w:rPr>
            </w:pPr>
            <w:r w:rsidRPr="008802FF">
              <w:rPr>
                <w:sz w:val="20"/>
              </w:rPr>
              <w:t>Gamma</w:t>
            </w: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187158">
            <w:pPr>
              <w:spacing w:line="240" w:lineRule="auto"/>
              <w:rPr>
                <w:sz w:val="20"/>
              </w:rPr>
            </w:pPr>
            <w:r>
              <w:rPr>
                <w:sz w:val="20"/>
              </w:rPr>
              <w:t xml:space="preserve">   ≥70 years</w:t>
            </w:r>
          </w:p>
        </w:tc>
        <w:tc>
          <w:tcPr>
            <w:tcW w:w="1077" w:type="dxa"/>
          </w:tcPr>
          <w:p w:rsidR="003523E8" w:rsidRPr="00273335" w:rsidRDefault="003523E8" w:rsidP="00997B5C">
            <w:pPr>
              <w:spacing w:line="240" w:lineRule="auto"/>
              <w:jc w:val="right"/>
              <w:rPr>
                <w:color w:val="000000"/>
                <w:sz w:val="20"/>
                <w:szCs w:val="20"/>
              </w:rPr>
            </w:pPr>
            <w:r w:rsidRPr="00273335">
              <w:rPr>
                <w:color w:val="000000"/>
                <w:sz w:val="20"/>
                <w:szCs w:val="20"/>
              </w:rPr>
              <w:t>0</w:t>
            </w:r>
          </w:p>
        </w:tc>
        <w:tc>
          <w:tcPr>
            <w:tcW w:w="907" w:type="dxa"/>
          </w:tcPr>
          <w:p w:rsidR="003523E8" w:rsidRPr="008802FF" w:rsidRDefault="003523E8" w:rsidP="00997B5C">
            <w:pPr>
              <w:spacing w:line="240" w:lineRule="auto"/>
              <w:jc w:val="right"/>
              <w:rPr>
                <w:sz w:val="20"/>
                <w:szCs w:val="20"/>
                <w:highlight w:val="yellow"/>
              </w:rPr>
            </w:pPr>
          </w:p>
        </w:tc>
        <w:tc>
          <w:tcPr>
            <w:tcW w:w="907" w:type="dxa"/>
          </w:tcPr>
          <w:p w:rsidR="003523E8" w:rsidRPr="008802FF" w:rsidRDefault="003523E8" w:rsidP="00997B5C">
            <w:pPr>
              <w:spacing w:line="240" w:lineRule="auto"/>
              <w:jc w:val="right"/>
              <w:rPr>
                <w:sz w:val="20"/>
                <w:szCs w:val="20"/>
                <w:highlight w:val="yellow"/>
              </w:rPr>
            </w:pPr>
          </w:p>
        </w:tc>
        <w:tc>
          <w:tcPr>
            <w:tcW w:w="1261" w:type="dxa"/>
          </w:tcPr>
          <w:p w:rsidR="003523E8" w:rsidRPr="008802FF" w:rsidRDefault="003523E8" w:rsidP="00997B5C">
            <w:pPr>
              <w:spacing w:line="240" w:lineRule="auto"/>
              <w:jc w:val="center"/>
              <w:rPr>
                <w:sz w:val="20"/>
              </w:rPr>
            </w:pP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Presenteeism given HZ (days)</w:t>
            </w:r>
          </w:p>
        </w:tc>
        <w:tc>
          <w:tcPr>
            <w:tcW w:w="1077" w:type="dxa"/>
          </w:tcPr>
          <w:p w:rsidR="003523E8" w:rsidRPr="00273335" w:rsidRDefault="003523E8" w:rsidP="00997B5C">
            <w:pPr>
              <w:spacing w:line="240" w:lineRule="auto"/>
              <w:jc w:val="right"/>
              <w:rPr>
                <w:color w:val="000000"/>
                <w:sz w:val="20"/>
                <w:szCs w:val="20"/>
              </w:rPr>
            </w:pPr>
          </w:p>
        </w:tc>
        <w:tc>
          <w:tcPr>
            <w:tcW w:w="907" w:type="dxa"/>
          </w:tcPr>
          <w:p w:rsidR="003523E8" w:rsidRPr="008802FF" w:rsidRDefault="003523E8" w:rsidP="00997B5C">
            <w:pPr>
              <w:spacing w:line="240" w:lineRule="auto"/>
              <w:jc w:val="right"/>
              <w:rPr>
                <w:color w:val="000000"/>
                <w:sz w:val="20"/>
                <w:szCs w:val="20"/>
              </w:rPr>
            </w:pPr>
          </w:p>
        </w:tc>
        <w:tc>
          <w:tcPr>
            <w:tcW w:w="907" w:type="dxa"/>
          </w:tcPr>
          <w:p w:rsidR="003523E8" w:rsidRPr="008802FF" w:rsidRDefault="003523E8" w:rsidP="00997B5C">
            <w:pPr>
              <w:spacing w:line="240" w:lineRule="auto"/>
              <w:jc w:val="right"/>
              <w:rPr>
                <w:color w:val="000000"/>
                <w:sz w:val="20"/>
                <w:szCs w:val="20"/>
              </w:rPr>
            </w:pPr>
          </w:p>
        </w:tc>
        <w:tc>
          <w:tcPr>
            <w:tcW w:w="1261" w:type="dxa"/>
          </w:tcPr>
          <w:p w:rsidR="003523E8" w:rsidRPr="008802FF" w:rsidRDefault="003523E8" w:rsidP="00997B5C">
            <w:pPr>
              <w:spacing w:line="240" w:lineRule="auto"/>
              <w:jc w:val="center"/>
              <w:rPr>
                <w:sz w:val="20"/>
              </w:rPr>
            </w:pP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 xml:space="preserve">   50-59 years</w:t>
            </w:r>
          </w:p>
        </w:tc>
        <w:tc>
          <w:tcPr>
            <w:tcW w:w="1077" w:type="dxa"/>
          </w:tcPr>
          <w:p w:rsidR="003523E8" w:rsidRPr="00273335" w:rsidRDefault="003523E8" w:rsidP="00997B5C">
            <w:pPr>
              <w:spacing w:line="240" w:lineRule="auto"/>
              <w:jc w:val="right"/>
              <w:rPr>
                <w:color w:val="000000"/>
                <w:sz w:val="20"/>
                <w:szCs w:val="20"/>
              </w:rPr>
            </w:pPr>
            <w:r w:rsidRPr="00273335">
              <w:rPr>
                <w:color w:val="000000"/>
                <w:sz w:val="20"/>
                <w:szCs w:val="20"/>
              </w:rPr>
              <w:t>0.54</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0.30</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0.81</w:t>
            </w:r>
          </w:p>
        </w:tc>
        <w:tc>
          <w:tcPr>
            <w:tcW w:w="1261" w:type="dxa"/>
          </w:tcPr>
          <w:p w:rsidR="003523E8" w:rsidRPr="008802FF" w:rsidRDefault="003523E8" w:rsidP="00997B5C">
            <w:pPr>
              <w:spacing w:line="240" w:lineRule="auto"/>
              <w:jc w:val="center"/>
              <w:rPr>
                <w:sz w:val="20"/>
              </w:rPr>
            </w:pPr>
            <w:r w:rsidRPr="008802FF">
              <w:rPr>
                <w:sz w:val="20"/>
              </w:rPr>
              <w:t>Gamma</w:t>
            </w: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997B5C">
            <w:pPr>
              <w:spacing w:line="240" w:lineRule="auto"/>
              <w:rPr>
                <w:sz w:val="20"/>
              </w:rPr>
            </w:pPr>
            <w:r w:rsidRPr="008802FF">
              <w:rPr>
                <w:sz w:val="20"/>
              </w:rPr>
              <w:t xml:space="preserve">   60</w:t>
            </w:r>
            <w:r>
              <w:rPr>
                <w:sz w:val="20"/>
              </w:rPr>
              <w:t>-69 years</w:t>
            </w:r>
          </w:p>
        </w:tc>
        <w:tc>
          <w:tcPr>
            <w:tcW w:w="1077" w:type="dxa"/>
          </w:tcPr>
          <w:p w:rsidR="003523E8" w:rsidRPr="00273335" w:rsidRDefault="003523E8" w:rsidP="00997B5C">
            <w:pPr>
              <w:spacing w:line="240" w:lineRule="auto"/>
              <w:jc w:val="right"/>
              <w:rPr>
                <w:color w:val="000000"/>
                <w:sz w:val="20"/>
                <w:szCs w:val="20"/>
              </w:rPr>
            </w:pPr>
            <w:r w:rsidRPr="00273335">
              <w:rPr>
                <w:color w:val="000000"/>
                <w:sz w:val="20"/>
                <w:szCs w:val="20"/>
              </w:rPr>
              <w:t>0.24</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0.13</w:t>
            </w:r>
          </w:p>
        </w:tc>
        <w:tc>
          <w:tcPr>
            <w:tcW w:w="907" w:type="dxa"/>
          </w:tcPr>
          <w:p w:rsidR="003523E8" w:rsidRPr="008802FF" w:rsidRDefault="003523E8" w:rsidP="00997B5C">
            <w:pPr>
              <w:spacing w:line="240" w:lineRule="auto"/>
              <w:jc w:val="right"/>
              <w:rPr>
                <w:color w:val="000000"/>
                <w:sz w:val="20"/>
                <w:szCs w:val="20"/>
              </w:rPr>
            </w:pPr>
            <w:r>
              <w:rPr>
                <w:color w:val="000000"/>
                <w:sz w:val="20"/>
                <w:szCs w:val="20"/>
              </w:rPr>
              <w:t>0.36</w:t>
            </w:r>
          </w:p>
        </w:tc>
        <w:tc>
          <w:tcPr>
            <w:tcW w:w="1261" w:type="dxa"/>
          </w:tcPr>
          <w:p w:rsidR="003523E8" w:rsidRPr="008802FF" w:rsidRDefault="003523E8" w:rsidP="00997B5C">
            <w:pPr>
              <w:spacing w:line="240" w:lineRule="auto"/>
              <w:jc w:val="center"/>
              <w:rPr>
                <w:sz w:val="20"/>
              </w:rPr>
            </w:pPr>
            <w:r w:rsidRPr="008802FF">
              <w:rPr>
                <w:sz w:val="20"/>
              </w:rPr>
              <w:t>Gamma</w:t>
            </w:r>
          </w:p>
        </w:tc>
        <w:tc>
          <w:tcPr>
            <w:tcW w:w="1984" w:type="dxa"/>
            <w:vMerge/>
          </w:tcPr>
          <w:p w:rsidR="003523E8" w:rsidRPr="008802FF" w:rsidRDefault="003523E8" w:rsidP="00997B5C">
            <w:pPr>
              <w:spacing w:line="240" w:lineRule="auto"/>
              <w:rPr>
                <w:sz w:val="20"/>
              </w:rPr>
            </w:pPr>
          </w:p>
        </w:tc>
      </w:tr>
      <w:tr w:rsidR="003523E8" w:rsidRPr="008802FF" w:rsidTr="00997B5C">
        <w:tc>
          <w:tcPr>
            <w:tcW w:w="3628" w:type="dxa"/>
          </w:tcPr>
          <w:p w:rsidR="003523E8" w:rsidRPr="008802FF" w:rsidRDefault="003523E8" w:rsidP="00187158">
            <w:pPr>
              <w:spacing w:line="240" w:lineRule="auto"/>
              <w:rPr>
                <w:sz w:val="20"/>
              </w:rPr>
            </w:pPr>
            <w:r>
              <w:rPr>
                <w:sz w:val="20"/>
              </w:rPr>
              <w:t xml:space="preserve">   ≥70 years</w:t>
            </w:r>
          </w:p>
        </w:tc>
        <w:tc>
          <w:tcPr>
            <w:tcW w:w="1077" w:type="dxa"/>
          </w:tcPr>
          <w:p w:rsidR="003523E8" w:rsidRPr="00273335" w:rsidRDefault="003523E8" w:rsidP="00997B5C">
            <w:pPr>
              <w:spacing w:line="240" w:lineRule="auto"/>
              <w:jc w:val="right"/>
              <w:rPr>
                <w:color w:val="000000"/>
                <w:sz w:val="20"/>
                <w:szCs w:val="20"/>
              </w:rPr>
            </w:pPr>
            <w:r>
              <w:rPr>
                <w:color w:val="000000"/>
                <w:sz w:val="20"/>
                <w:szCs w:val="20"/>
              </w:rPr>
              <w:t>0</w:t>
            </w:r>
          </w:p>
        </w:tc>
        <w:tc>
          <w:tcPr>
            <w:tcW w:w="907" w:type="dxa"/>
          </w:tcPr>
          <w:p w:rsidR="003523E8" w:rsidRDefault="003523E8" w:rsidP="00997B5C">
            <w:pPr>
              <w:spacing w:line="240" w:lineRule="auto"/>
              <w:jc w:val="right"/>
              <w:rPr>
                <w:color w:val="000000"/>
                <w:sz w:val="20"/>
                <w:szCs w:val="20"/>
              </w:rPr>
            </w:pPr>
          </w:p>
        </w:tc>
        <w:tc>
          <w:tcPr>
            <w:tcW w:w="907" w:type="dxa"/>
          </w:tcPr>
          <w:p w:rsidR="003523E8" w:rsidRDefault="003523E8" w:rsidP="00997B5C">
            <w:pPr>
              <w:spacing w:line="240" w:lineRule="auto"/>
              <w:jc w:val="right"/>
              <w:rPr>
                <w:color w:val="000000"/>
                <w:sz w:val="20"/>
                <w:szCs w:val="20"/>
              </w:rPr>
            </w:pPr>
          </w:p>
        </w:tc>
        <w:tc>
          <w:tcPr>
            <w:tcW w:w="1261" w:type="dxa"/>
          </w:tcPr>
          <w:p w:rsidR="003523E8" w:rsidRPr="008802FF" w:rsidRDefault="003523E8" w:rsidP="00997B5C">
            <w:pPr>
              <w:spacing w:line="240" w:lineRule="auto"/>
              <w:jc w:val="center"/>
              <w:rPr>
                <w:sz w:val="20"/>
              </w:rPr>
            </w:pPr>
          </w:p>
        </w:tc>
        <w:tc>
          <w:tcPr>
            <w:tcW w:w="1984" w:type="dxa"/>
            <w:vMerge/>
          </w:tcPr>
          <w:p w:rsidR="003523E8" w:rsidRPr="008802FF" w:rsidRDefault="003523E8" w:rsidP="00997B5C">
            <w:pPr>
              <w:spacing w:line="240" w:lineRule="auto"/>
              <w:rPr>
                <w:sz w:val="20"/>
              </w:rPr>
            </w:pPr>
          </w:p>
        </w:tc>
      </w:tr>
      <w:tr w:rsidR="00AD1E82" w:rsidRPr="008802FF" w:rsidTr="00997B5C">
        <w:tc>
          <w:tcPr>
            <w:tcW w:w="3628" w:type="dxa"/>
            <w:tcBorders>
              <w:bottom w:val="single" w:sz="4" w:space="0" w:color="auto"/>
            </w:tcBorders>
          </w:tcPr>
          <w:p w:rsidR="00AD1E82" w:rsidRPr="008802FF" w:rsidRDefault="00AD1E82" w:rsidP="00997B5C">
            <w:pPr>
              <w:spacing w:line="240" w:lineRule="auto"/>
              <w:rPr>
                <w:sz w:val="20"/>
              </w:rPr>
            </w:pPr>
            <w:r w:rsidRPr="008802FF">
              <w:rPr>
                <w:sz w:val="20"/>
              </w:rPr>
              <w:t>Number of working days lost HZ death</w:t>
            </w:r>
          </w:p>
        </w:tc>
        <w:tc>
          <w:tcPr>
            <w:tcW w:w="1077" w:type="dxa"/>
            <w:tcBorders>
              <w:bottom w:val="single" w:sz="4" w:space="0" w:color="auto"/>
            </w:tcBorders>
          </w:tcPr>
          <w:p w:rsidR="00AD1E82" w:rsidRPr="008802FF" w:rsidRDefault="00AD1E82" w:rsidP="00997B5C">
            <w:pPr>
              <w:spacing w:line="240" w:lineRule="auto"/>
              <w:jc w:val="right"/>
              <w:rPr>
                <w:sz w:val="20"/>
              </w:rPr>
            </w:pPr>
            <w:r w:rsidRPr="008802FF">
              <w:rPr>
                <w:sz w:val="20"/>
              </w:rPr>
              <w:t>84</w:t>
            </w:r>
          </w:p>
        </w:tc>
        <w:tc>
          <w:tcPr>
            <w:tcW w:w="907" w:type="dxa"/>
            <w:tcBorders>
              <w:bottom w:val="single" w:sz="4" w:space="0" w:color="auto"/>
            </w:tcBorders>
          </w:tcPr>
          <w:p w:rsidR="00AD1E82" w:rsidRPr="008802FF" w:rsidRDefault="00AD1E82" w:rsidP="00997B5C">
            <w:pPr>
              <w:spacing w:line="240" w:lineRule="auto"/>
              <w:jc w:val="right"/>
              <w:rPr>
                <w:sz w:val="20"/>
              </w:rPr>
            </w:pPr>
          </w:p>
        </w:tc>
        <w:tc>
          <w:tcPr>
            <w:tcW w:w="907" w:type="dxa"/>
            <w:tcBorders>
              <w:bottom w:val="single" w:sz="4" w:space="0" w:color="auto"/>
            </w:tcBorders>
          </w:tcPr>
          <w:p w:rsidR="00AD1E82" w:rsidRPr="008802FF" w:rsidRDefault="00AD1E82" w:rsidP="00997B5C">
            <w:pPr>
              <w:spacing w:line="240" w:lineRule="auto"/>
              <w:jc w:val="right"/>
              <w:rPr>
                <w:sz w:val="20"/>
              </w:rPr>
            </w:pPr>
          </w:p>
        </w:tc>
        <w:tc>
          <w:tcPr>
            <w:tcW w:w="1261" w:type="dxa"/>
            <w:tcBorders>
              <w:bottom w:val="single" w:sz="4" w:space="0" w:color="auto"/>
            </w:tcBorders>
          </w:tcPr>
          <w:p w:rsidR="00AD1E82" w:rsidRPr="008802FF" w:rsidRDefault="00AD1E82" w:rsidP="00997B5C">
            <w:pPr>
              <w:spacing w:line="240" w:lineRule="auto"/>
              <w:jc w:val="center"/>
              <w:rPr>
                <w:sz w:val="20"/>
              </w:rPr>
            </w:pPr>
          </w:p>
        </w:tc>
        <w:tc>
          <w:tcPr>
            <w:tcW w:w="1984" w:type="dxa"/>
            <w:tcBorders>
              <w:bottom w:val="single" w:sz="4" w:space="0" w:color="auto"/>
            </w:tcBorders>
          </w:tcPr>
          <w:p w:rsidR="00AD1E82" w:rsidRPr="008802FF" w:rsidRDefault="00AD1E82" w:rsidP="0075366F">
            <w:pPr>
              <w:spacing w:line="240" w:lineRule="auto"/>
              <w:rPr>
                <w:sz w:val="20"/>
              </w:rPr>
            </w:pPr>
            <w:r w:rsidRPr="008802FF">
              <w:rPr>
                <w:sz w:val="20"/>
              </w:rPr>
              <w:t xml:space="preserve">Friction period </w:t>
            </w:r>
            <w:r w:rsidR="0075366F">
              <w:rPr>
                <w:noProof/>
                <w:sz w:val="20"/>
              </w:rPr>
              <w:t>[10]</w:t>
            </w:r>
          </w:p>
        </w:tc>
      </w:tr>
    </w:tbl>
    <w:p w:rsidR="00AD1E82" w:rsidRPr="0023009D" w:rsidRDefault="00AD1E82" w:rsidP="00AD1E82">
      <w:pPr>
        <w:spacing w:line="240" w:lineRule="auto"/>
        <w:rPr>
          <w:sz w:val="20"/>
        </w:rPr>
      </w:pPr>
      <w:r w:rsidRPr="0023009D">
        <w:rPr>
          <w:sz w:val="20"/>
        </w:rPr>
        <w:t>HZ: Herpes zoster, GP: General practitioner, NSAID: Nonsteroidal anti-inflammatory drug</w:t>
      </w:r>
    </w:p>
    <w:p w:rsidR="0023009D" w:rsidRDefault="00AD1E82" w:rsidP="00AD1E82">
      <w:pPr>
        <w:ind w:firstLine="720"/>
      </w:pPr>
      <w:r w:rsidRPr="008802FF">
        <w:lastRenderedPageBreak/>
        <w:t>Costs per unit are based on standardized costing data and are listed in Table S</w:t>
      </w:r>
      <w:r w:rsidRPr="008802FF">
        <w:rPr>
          <w:noProof/>
        </w:rPr>
        <w:t>4</w:t>
      </w:r>
      <w:r w:rsidRPr="008802FF">
        <w:t>. Drug regimen schemes were assumed to be equal to standard available Dutch treatment guidelines for neurological pain</w:t>
      </w:r>
      <w:r w:rsidR="0075366F">
        <w:t xml:space="preserve"> </w:t>
      </w:r>
      <w:r w:rsidR="0075366F">
        <w:rPr>
          <w:noProof/>
        </w:rPr>
        <w:t>[11]</w:t>
      </w:r>
      <w:r w:rsidR="0075366F">
        <w:t>.</w:t>
      </w:r>
      <w:r w:rsidRPr="008802FF">
        <w:t xml:space="preserve"> Duration of short-term treatment was assumed to be 7 days for antivirals and 1 month for topical medication. Pain treatment was assumed to be equal to the average duration of any pain like used for estimating the number of GP visits. Additionally, prescription only drugs included a €12 pharmacy fee, consisting of a €6 standard prescription fee and a €6 fee for instructions at first time use</w:t>
      </w:r>
      <w:r w:rsidR="0075366F">
        <w:t xml:space="preserve"> </w:t>
      </w:r>
      <w:r w:rsidR="0075366F">
        <w:rPr>
          <w:noProof/>
        </w:rPr>
        <w:t>[10]</w:t>
      </w:r>
      <w:r w:rsidR="0075366F">
        <w:t>.</w:t>
      </w:r>
      <w:r w:rsidRPr="008802FF">
        <w:t xml:space="preserve"> Since the most recent update of the Dutch guidelines for cost-effectiveness research, healthcare costs in gained life-years of averted deaths, i.e. indirect healthcare costs, should be taken into account</w:t>
      </w:r>
      <w:r w:rsidR="0075366F">
        <w:t xml:space="preserve"> </w:t>
      </w:r>
      <w:r w:rsidR="0075366F">
        <w:rPr>
          <w:noProof/>
        </w:rPr>
        <w:t>[10]</w:t>
      </w:r>
      <w:r w:rsidR="0075366F">
        <w:t>.</w:t>
      </w:r>
      <w:r w:rsidRPr="008802FF">
        <w:t xml:space="preserve"> We estimated these costs by using age-specific life-expectancy and health care costs per year that were not related to HZ (obtained from the Practical Application to Include Disease Costs (PAID) toolkit</w:t>
      </w:r>
      <w:r w:rsidR="0075366F">
        <w:t xml:space="preserve"> </w:t>
      </w:r>
      <w:r w:rsidR="0075366F">
        <w:rPr>
          <w:noProof/>
        </w:rPr>
        <w:t>[12]</w:t>
      </w:r>
      <w:r w:rsidRPr="008802FF">
        <w:t xml:space="preserve">). Travel costs included transportation costs to the hospital, GP visit, </w:t>
      </w:r>
      <w:proofErr w:type="gramStart"/>
      <w:r w:rsidRPr="008802FF">
        <w:t>pharmacist</w:t>
      </w:r>
      <w:proofErr w:type="gramEnd"/>
      <w:r w:rsidRPr="008802FF">
        <w:t xml:space="preserve"> and were calculated using Dutch average distances from the specific health care provider multiplied by standard costs of €0.14 per </w:t>
      </w:r>
      <w:r w:rsidR="0075366F" w:rsidRPr="008802FF">
        <w:t>kilometr</w:t>
      </w:r>
      <w:r w:rsidR="0075366F">
        <w:t xml:space="preserve">e </w:t>
      </w:r>
      <w:r w:rsidR="0075366F">
        <w:rPr>
          <w:noProof/>
        </w:rPr>
        <w:t>[10]</w:t>
      </w:r>
      <w:r w:rsidR="0075366F">
        <w:t>.</w:t>
      </w:r>
      <w:r w:rsidRPr="008802FF">
        <w:t xml:space="preserve"> Productivity loss per hour was set at €34.75</w:t>
      </w:r>
      <w:r w:rsidR="0075366F">
        <w:t xml:space="preserve"> </w:t>
      </w:r>
      <w:r w:rsidR="0075366F">
        <w:rPr>
          <w:noProof/>
        </w:rPr>
        <w:t>[10]</w:t>
      </w:r>
      <w:r w:rsidRPr="008802FF">
        <w:t xml:space="preserve"> and was adjusted for the proportion of the population working using age-specific labour participation rates</w:t>
      </w:r>
      <w:r w:rsidR="0075366F">
        <w:t xml:space="preserve"> </w:t>
      </w:r>
      <w:r w:rsidR="0075366F">
        <w:rPr>
          <w:noProof/>
        </w:rPr>
        <w:t>[7]</w:t>
      </w:r>
      <w:r w:rsidR="0075366F">
        <w:t>.</w:t>
      </w:r>
      <w:r w:rsidRPr="008802FF">
        <w:t xml:space="preserve"> For </w:t>
      </w:r>
      <w:r w:rsidR="00187158">
        <w:t>≥</w:t>
      </w:r>
      <w:r w:rsidRPr="008802FF">
        <w:t>70</w:t>
      </w:r>
      <w:r w:rsidR="00187158">
        <w:t>-</w:t>
      </w:r>
      <w:r w:rsidRPr="008802FF">
        <w:t xml:space="preserve">year-olds </w:t>
      </w:r>
      <w:r w:rsidR="000E2B6F">
        <w:t>we ignored</w:t>
      </w:r>
      <w:r w:rsidRPr="008802FF">
        <w:t xml:space="preserve"> productivity losses, because these people were assumed to be retired.</w:t>
      </w:r>
    </w:p>
    <w:p w:rsidR="0023009D" w:rsidRDefault="0023009D" w:rsidP="0023009D">
      <w:r>
        <w:br w:type="page"/>
      </w:r>
    </w:p>
    <w:p w:rsidR="00AD1E82" w:rsidRPr="000E2B6F" w:rsidRDefault="00AD1E82" w:rsidP="00AD1E82">
      <w:pPr>
        <w:pStyle w:val="Caption"/>
        <w:keepNext/>
        <w:rPr>
          <w:b w:val="0"/>
          <w:color w:val="auto"/>
          <w:sz w:val="24"/>
          <w:szCs w:val="24"/>
        </w:rPr>
      </w:pPr>
      <w:bookmarkStart w:id="8" w:name="_Ref503537161"/>
      <w:r w:rsidRPr="000E2B6F">
        <w:rPr>
          <w:b w:val="0"/>
          <w:color w:val="auto"/>
          <w:sz w:val="24"/>
          <w:szCs w:val="24"/>
        </w:rPr>
        <w:lastRenderedPageBreak/>
        <w:t>Table S</w:t>
      </w:r>
      <w:r w:rsidRPr="000E2B6F">
        <w:rPr>
          <w:b w:val="0"/>
          <w:noProof/>
          <w:color w:val="auto"/>
          <w:sz w:val="24"/>
          <w:szCs w:val="24"/>
        </w:rPr>
        <w:t>5</w:t>
      </w:r>
      <w:bookmarkEnd w:id="8"/>
      <w:r w:rsidRPr="000E2B6F">
        <w:rPr>
          <w:b w:val="0"/>
          <w:color w:val="auto"/>
          <w:sz w:val="24"/>
          <w:szCs w:val="24"/>
        </w:rPr>
        <w:t>: Unit costs (price year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1701"/>
        <w:gridCol w:w="3969"/>
      </w:tblGrid>
      <w:tr w:rsidR="00AD1E82" w:rsidRPr="008802FF" w:rsidTr="00997B5C">
        <w:tc>
          <w:tcPr>
            <w:tcW w:w="2840"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Unit</w:t>
            </w:r>
          </w:p>
        </w:tc>
        <w:tc>
          <w:tcPr>
            <w:tcW w:w="1701"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Cost per unit (€)</w:t>
            </w:r>
          </w:p>
        </w:tc>
        <w:tc>
          <w:tcPr>
            <w:tcW w:w="3969" w:type="dxa"/>
            <w:tcBorders>
              <w:top w:val="single" w:sz="4" w:space="0" w:color="auto"/>
              <w:bottom w:val="single" w:sz="4" w:space="0" w:color="auto"/>
            </w:tcBorders>
          </w:tcPr>
          <w:p w:rsidR="00AD1E82" w:rsidRPr="008802FF" w:rsidRDefault="00AD1E82" w:rsidP="00997B5C">
            <w:pPr>
              <w:spacing w:line="240" w:lineRule="auto"/>
              <w:rPr>
                <w:b/>
                <w:sz w:val="20"/>
              </w:rPr>
            </w:pPr>
            <w:r w:rsidRPr="008802FF">
              <w:rPr>
                <w:b/>
                <w:sz w:val="20"/>
              </w:rPr>
              <w:t>Reference</w:t>
            </w:r>
          </w:p>
        </w:tc>
      </w:tr>
      <w:tr w:rsidR="00AD1E82" w:rsidRPr="008802FF" w:rsidTr="00997B5C">
        <w:tc>
          <w:tcPr>
            <w:tcW w:w="2840" w:type="dxa"/>
            <w:tcBorders>
              <w:top w:val="single" w:sz="4" w:space="0" w:color="auto"/>
            </w:tcBorders>
          </w:tcPr>
          <w:p w:rsidR="00AD1E82" w:rsidRPr="008802FF" w:rsidRDefault="00AD1E82" w:rsidP="00997B5C">
            <w:pPr>
              <w:tabs>
                <w:tab w:val="center" w:pos="1312"/>
              </w:tabs>
              <w:spacing w:line="240" w:lineRule="auto"/>
              <w:rPr>
                <w:b/>
                <w:sz w:val="20"/>
              </w:rPr>
            </w:pPr>
            <w:r w:rsidRPr="008802FF">
              <w:rPr>
                <w:b/>
                <w:sz w:val="20"/>
              </w:rPr>
              <w:t>Health care costs</w:t>
            </w:r>
          </w:p>
        </w:tc>
        <w:tc>
          <w:tcPr>
            <w:tcW w:w="1701" w:type="dxa"/>
            <w:tcBorders>
              <w:top w:val="single" w:sz="4" w:space="0" w:color="auto"/>
            </w:tcBorders>
          </w:tcPr>
          <w:p w:rsidR="00AD1E82" w:rsidRPr="008802FF" w:rsidRDefault="00AD1E82" w:rsidP="00997B5C">
            <w:pPr>
              <w:spacing w:line="240" w:lineRule="auto"/>
              <w:rPr>
                <w:sz w:val="20"/>
              </w:rPr>
            </w:pPr>
          </w:p>
        </w:tc>
        <w:tc>
          <w:tcPr>
            <w:tcW w:w="3969" w:type="dxa"/>
            <w:tcBorders>
              <w:top w:val="single" w:sz="4" w:space="0" w:color="auto"/>
            </w:tcBorders>
          </w:tcPr>
          <w:p w:rsidR="00AD1E82" w:rsidRPr="008802FF" w:rsidRDefault="00AD1E82" w:rsidP="00997B5C">
            <w:pPr>
              <w:spacing w:line="240" w:lineRule="auto"/>
              <w:rPr>
                <w:sz w:val="20"/>
              </w:rPr>
            </w:pPr>
          </w:p>
        </w:tc>
      </w:tr>
      <w:tr w:rsidR="00AD1E82" w:rsidRPr="008802FF" w:rsidTr="00997B5C">
        <w:tc>
          <w:tcPr>
            <w:tcW w:w="2840" w:type="dxa"/>
          </w:tcPr>
          <w:p w:rsidR="00AD1E82" w:rsidRPr="008802FF" w:rsidRDefault="00AD1E82" w:rsidP="00997B5C">
            <w:pPr>
              <w:tabs>
                <w:tab w:val="center" w:pos="1312"/>
              </w:tabs>
              <w:spacing w:line="240" w:lineRule="auto"/>
              <w:rPr>
                <w:sz w:val="20"/>
              </w:rPr>
            </w:pPr>
            <w:r w:rsidRPr="008802FF">
              <w:rPr>
                <w:sz w:val="20"/>
              </w:rPr>
              <w:t>GP visit</w:t>
            </w:r>
            <w:r w:rsidRPr="008802FF">
              <w:rPr>
                <w:sz w:val="20"/>
              </w:rPr>
              <w:tab/>
            </w:r>
          </w:p>
        </w:tc>
        <w:tc>
          <w:tcPr>
            <w:tcW w:w="1701" w:type="dxa"/>
          </w:tcPr>
          <w:p w:rsidR="00AD1E82" w:rsidRPr="008802FF" w:rsidRDefault="00AD1E82" w:rsidP="000E2B6F">
            <w:pPr>
              <w:spacing w:line="240" w:lineRule="auto"/>
              <w:jc w:val="right"/>
              <w:rPr>
                <w:sz w:val="20"/>
              </w:rPr>
            </w:pPr>
            <w:r w:rsidRPr="008802FF">
              <w:rPr>
                <w:sz w:val="20"/>
              </w:rPr>
              <w:t>33.</w:t>
            </w:r>
            <w:r w:rsidR="000E2B6F">
              <w:rPr>
                <w:sz w:val="20"/>
              </w:rPr>
              <w:t>76</w:t>
            </w:r>
          </w:p>
        </w:tc>
        <w:tc>
          <w:tcPr>
            <w:tcW w:w="3969" w:type="dxa"/>
          </w:tcPr>
          <w:p w:rsidR="00AD1E82" w:rsidRPr="008802FF" w:rsidRDefault="00AD1E82" w:rsidP="0075366F">
            <w:pPr>
              <w:spacing w:line="240" w:lineRule="auto"/>
              <w:rPr>
                <w:sz w:val="20"/>
              </w:rPr>
            </w:pPr>
            <w:r w:rsidRPr="008802FF">
              <w:rPr>
                <w:sz w:val="20"/>
              </w:rPr>
              <w:t xml:space="preserve">NHCI, 2016 </w:t>
            </w:r>
            <w:r w:rsidR="0075366F">
              <w:rPr>
                <w:noProof/>
                <w:sz w:val="20"/>
              </w:rPr>
              <w:t>[10]</w:t>
            </w:r>
          </w:p>
        </w:tc>
      </w:tr>
      <w:tr w:rsidR="00AD1E82" w:rsidRPr="008802FF" w:rsidTr="00997B5C">
        <w:tc>
          <w:tcPr>
            <w:tcW w:w="2840" w:type="dxa"/>
          </w:tcPr>
          <w:p w:rsidR="00AD1E82" w:rsidRPr="008802FF" w:rsidRDefault="00AD1E82" w:rsidP="00997B5C">
            <w:pPr>
              <w:spacing w:line="240" w:lineRule="auto"/>
              <w:rPr>
                <w:sz w:val="20"/>
              </w:rPr>
            </w:pPr>
            <w:r w:rsidRPr="008802FF">
              <w:rPr>
                <w:sz w:val="20"/>
              </w:rPr>
              <w:t>Specialist visit</w:t>
            </w:r>
          </w:p>
        </w:tc>
        <w:tc>
          <w:tcPr>
            <w:tcW w:w="1701" w:type="dxa"/>
          </w:tcPr>
          <w:p w:rsidR="00AD1E82" w:rsidRPr="008802FF" w:rsidRDefault="000E2B6F" w:rsidP="00997B5C">
            <w:pPr>
              <w:spacing w:line="240" w:lineRule="auto"/>
              <w:jc w:val="right"/>
              <w:rPr>
                <w:sz w:val="20"/>
              </w:rPr>
            </w:pPr>
            <w:r>
              <w:rPr>
                <w:sz w:val="20"/>
              </w:rPr>
              <w:t>93.11</w:t>
            </w:r>
          </w:p>
        </w:tc>
        <w:tc>
          <w:tcPr>
            <w:tcW w:w="3969" w:type="dxa"/>
          </w:tcPr>
          <w:p w:rsidR="00AD1E82" w:rsidRPr="008802FF" w:rsidRDefault="00AD1E82" w:rsidP="0075366F">
            <w:pPr>
              <w:spacing w:line="240" w:lineRule="auto"/>
              <w:rPr>
                <w:sz w:val="20"/>
              </w:rPr>
            </w:pPr>
            <w:r w:rsidRPr="008802FF">
              <w:rPr>
                <w:sz w:val="20"/>
              </w:rPr>
              <w:t xml:space="preserve">NHCI, 2016 </w:t>
            </w:r>
            <w:r w:rsidR="0075366F">
              <w:rPr>
                <w:noProof/>
                <w:sz w:val="20"/>
              </w:rPr>
              <w:t>[10]</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Prescribed medication</w:t>
            </w:r>
          </w:p>
        </w:tc>
        <w:tc>
          <w:tcPr>
            <w:tcW w:w="1701" w:type="dxa"/>
          </w:tcPr>
          <w:p w:rsidR="000E2B6F" w:rsidRPr="008802FF" w:rsidRDefault="000E2B6F" w:rsidP="00997B5C">
            <w:pPr>
              <w:spacing w:line="240" w:lineRule="auto"/>
              <w:jc w:val="right"/>
              <w:rPr>
                <w:sz w:val="20"/>
              </w:rPr>
            </w:pPr>
          </w:p>
        </w:tc>
        <w:tc>
          <w:tcPr>
            <w:tcW w:w="3969" w:type="dxa"/>
            <w:vMerge w:val="restart"/>
          </w:tcPr>
          <w:p w:rsidR="000E2B6F" w:rsidRPr="008802FF" w:rsidRDefault="000E2B6F" w:rsidP="0075366F">
            <w:pPr>
              <w:spacing w:line="240" w:lineRule="auto"/>
              <w:rPr>
                <w:sz w:val="20"/>
              </w:rPr>
            </w:pPr>
            <w:r w:rsidRPr="008802FF">
              <w:rPr>
                <w:sz w:val="20"/>
              </w:rPr>
              <w:t xml:space="preserve">Medicijnkosten.nl, 2017 and </w:t>
            </w:r>
            <w:proofErr w:type="spellStart"/>
            <w:r w:rsidRPr="008802FF">
              <w:rPr>
                <w:sz w:val="20"/>
              </w:rPr>
              <w:t>Farmacotherapeutisch</w:t>
            </w:r>
            <w:proofErr w:type="spellEnd"/>
            <w:r w:rsidRPr="008802FF">
              <w:rPr>
                <w:sz w:val="20"/>
              </w:rPr>
              <w:t xml:space="preserve"> </w:t>
            </w:r>
            <w:proofErr w:type="spellStart"/>
            <w:r w:rsidRPr="008802FF">
              <w:rPr>
                <w:sz w:val="20"/>
              </w:rPr>
              <w:t>kompas</w:t>
            </w:r>
            <w:proofErr w:type="spellEnd"/>
            <w:r w:rsidRPr="008802FF">
              <w:rPr>
                <w:sz w:val="20"/>
              </w:rPr>
              <w:t xml:space="preserve">, 2017 </w:t>
            </w:r>
            <w:r w:rsidR="0075366F">
              <w:rPr>
                <w:noProof/>
                <w:sz w:val="20"/>
              </w:rPr>
              <w:t>[11, 13]</w:t>
            </w: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iCs/>
                <w:color w:val="000000"/>
                <w:sz w:val="20"/>
                <w:szCs w:val="20"/>
              </w:rPr>
              <w:t xml:space="preserve">   Antiviral drugs</w:t>
            </w:r>
          </w:p>
        </w:tc>
        <w:tc>
          <w:tcPr>
            <w:tcW w:w="1701" w:type="dxa"/>
          </w:tcPr>
          <w:p w:rsidR="000E2B6F" w:rsidRPr="008802FF" w:rsidRDefault="000E2B6F" w:rsidP="00997B5C">
            <w:pPr>
              <w:spacing w:line="240" w:lineRule="auto"/>
              <w:jc w:val="right"/>
              <w:rPr>
                <w:sz w:val="20"/>
              </w:rPr>
            </w:pP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proofErr w:type="spellStart"/>
            <w:r w:rsidRPr="008802FF">
              <w:rPr>
                <w:color w:val="000000"/>
                <w:sz w:val="20"/>
                <w:szCs w:val="20"/>
              </w:rPr>
              <w:t>Aciclovir</w:t>
            </w:r>
            <w:proofErr w:type="spellEnd"/>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34.40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proofErr w:type="spellStart"/>
            <w:r w:rsidRPr="008802FF">
              <w:rPr>
                <w:color w:val="000000"/>
                <w:sz w:val="20"/>
                <w:szCs w:val="20"/>
              </w:rPr>
              <w:t>Famciclovir</w:t>
            </w:r>
            <w:proofErr w:type="spellEnd"/>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136.11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proofErr w:type="spellStart"/>
            <w:r w:rsidRPr="008802FF">
              <w:rPr>
                <w:color w:val="000000"/>
                <w:sz w:val="20"/>
                <w:szCs w:val="20"/>
              </w:rPr>
              <w:t>Valaciclovir</w:t>
            </w:r>
            <w:proofErr w:type="spellEnd"/>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17.46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Opiates</w:t>
            </w:r>
          </w:p>
        </w:tc>
        <w:tc>
          <w:tcPr>
            <w:tcW w:w="1701" w:type="dxa"/>
            <w:vAlign w:val="bottom"/>
          </w:tcPr>
          <w:p w:rsidR="000E2B6F" w:rsidRPr="008802FF" w:rsidRDefault="000E2B6F" w:rsidP="00997B5C">
            <w:pPr>
              <w:spacing w:line="240" w:lineRule="auto"/>
              <w:jc w:val="right"/>
              <w:rPr>
                <w:sz w:val="20"/>
              </w:rPr>
            </w:pP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Codeine / paracetamol</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20.70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Tramadol</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15.60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Oxycodone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14.82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Morphine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28.80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Fentanyl</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16.83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Topical treatment</w:t>
            </w:r>
          </w:p>
        </w:tc>
        <w:tc>
          <w:tcPr>
            <w:tcW w:w="1701" w:type="dxa"/>
            <w:vAlign w:val="bottom"/>
          </w:tcPr>
          <w:p w:rsidR="000E2B6F" w:rsidRPr="008802FF" w:rsidRDefault="000E2B6F" w:rsidP="00997B5C">
            <w:pPr>
              <w:spacing w:line="240" w:lineRule="auto"/>
              <w:jc w:val="right"/>
              <w:rPr>
                <w:sz w:val="20"/>
              </w:rPr>
            </w:pP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Hydrocortisone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13.38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Capsaicin</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13.23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Antiepileptic drugs</w:t>
            </w:r>
          </w:p>
        </w:tc>
        <w:tc>
          <w:tcPr>
            <w:tcW w:w="1701" w:type="dxa"/>
            <w:vAlign w:val="bottom"/>
          </w:tcPr>
          <w:p w:rsidR="000E2B6F" w:rsidRPr="008802FF" w:rsidRDefault="000E2B6F" w:rsidP="00997B5C">
            <w:pPr>
              <w:spacing w:line="240" w:lineRule="auto"/>
              <w:jc w:val="right"/>
              <w:rPr>
                <w:sz w:val="20"/>
              </w:rPr>
            </w:pP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proofErr w:type="spellStart"/>
            <w:r w:rsidRPr="008802FF">
              <w:rPr>
                <w:color w:val="000000"/>
                <w:sz w:val="20"/>
                <w:szCs w:val="20"/>
              </w:rPr>
              <w:t>Pregabalin</w:t>
            </w:r>
            <w:proofErr w:type="spellEnd"/>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123.60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Carbamazepine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20.46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Gabapentin</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20.46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Tricyclic antidepressant</w:t>
            </w:r>
          </w:p>
        </w:tc>
        <w:tc>
          <w:tcPr>
            <w:tcW w:w="1701" w:type="dxa"/>
            <w:vAlign w:val="bottom"/>
          </w:tcPr>
          <w:p w:rsidR="000E2B6F" w:rsidRPr="008802FF" w:rsidRDefault="000E2B6F" w:rsidP="00997B5C">
            <w:pPr>
              <w:spacing w:line="240" w:lineRule="auto"/>
              <w:jc w:val="right"/>
              <w:rPr>
                <w:sz w:val="20"/>
              </w:rPr>
            </w:pP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Amitriptyline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18.12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Nortriptyline</w:t>
            </w:r>
          </w:p>
        </w:tc>
        <w:tc>
          <w:tcPr>
            <w:tcW w:w="1701" w:type="dxa"/>
            <w:vAlign w:val="bottom"/>
          </w:tcPr>
          <w:p w:rsidR="000E2B6F" w:rsidRPr="008802FF" w:rsidRDefault="000E2B6F" w:rsidP="00997B5C">
            <w:pPr>
              <w:spacing w:line="240" w:lineRule="auto"/>
              <w:jc w:val="right"/>
              <w:rPr>
                <w:sz w:val="20"/>
              </w:rPr>
            </w:pPr>
            <w:r w:rsidRPr="008802FF">
              <w:rPr>
                <w:color w:val="000000"/>
                <w:sz w:val="20"/>
                <w:szCs w:val="22"/>
              </w:rPr>
              <w:t xml:space="preserve">        40.08 </w:t>
            </w:r>
          </w:p>
        </w:tc>
        <w:tc>
          <w:tcPr>
            <w:tcW w:w="3969" w:type="dxa"/>
            <w:vMerge/>
          </w:tcPr>
          <w:p w:rsidR="000E2B6F" w:rsidRPr="008802FF" w:rsidRDefault="000E2B6F" w:rsidP="00997B5C">
            <w:pPr>
              <w:spacing w:line="240" w:lineRule="auto"/>
              <w:rPr>
                <w:sz w:val="20"/>
              </w:rPr>
            </w:pPr>
          </w:p>
        </w:tc>
      </w:tr>
      <w:tr w:rsidR="000E2B6F" w:rsidRPr="008802FF" w:rsidTr="00997B5C">
        <w:tc>
          <w:tcPr>
            <w:tcW w:w="2840" w:type="dxa"/>
          </w:tcPr>
          <w:p w:rsidR="000E2B6F" w:rsidRPr="008802FF" w:rsidRDefault="000E2B6F" w:rsidP="00D917EE">
            <w:pPr>
              <w:spacing w:line="240" w:lineRule="auto"/>
              <w:rPr>
                <w:sz w:val="20"/>
              </w:rPr>
            </w:pPr>
            <w:r w:rsidRPr="008802FF">
              <w:rPr>
                <w:sz w:val="20"/>
              </w:rPr>
              <w:t>Hospitalization (per day)</w:t>
            </w:r>
          </w:p>
        </w:tc>
        <w:tc>
          <w:tcPr>
            <w:tcW w:w="1701" w:type="dxa"/>
          </w:tcPr>
          <w:p w:rsidR="000E2B6F" w:rsidRPr="008802FF" w:rsidRDefault="000E2B6F" w:rsidP="00D917EE">
            <w:pPr>
              <w:spacing w:line="240" w:lineRule="auto"/>
              <w:jc w:val="right"/>
              <w:rPr>
                <w:sz w:val="20"/>
              </w:rPr>
            </w:pPr>
            <w:r>
              <w:rPr>
                <w:sz w:val="20"/>
              </w:rPr>
              <w:t>487.01</w:t>
            </w:r>
          </w:p>
        </w:tc>
        <w:tc>
          <w:tcPr>
            <w:tcW w:w="3969" w:type="dxa"/>
          </w:tcPr>
          <w:p w:rsidR="000E2B6F" w:rsidRPr="008802FF" w:rsidRDefault="000E2B6F" w:rsidP="0075366F">
            <w:pPr>
              <w:spacing w:line="240" w:lineRule="auto"/>
              <w:rPr>
                <w:sz w:val="20"/>
              </w:rPr>
            </w:pPr>
            <w:r w:rsidRPr="008802FF">
              <w:rPr>
                <w:sz w:val="20"/>
              </w:rPr>
              <w:t xml:space="preserve">NHCI, 2016 </w:t>
            </w:r>
            <w:r w:rsidR="0075366F">
              <w:rPr>
                <w:noProof/>
                <w:sz w:val="20"/>
              </w:rPr>
              <w:t>[10]</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Hospital day visit</w:t>
            </w:r>
          </w:p>
        </w:tc>
        <w:tc>
          <w:tcPr>
            <w:tcW w:w="1701" w:type="dxa"/>
          </w:tcPr>
          <w:p w:rsidR="000E2B6F" w:rsidRPr="008802FF" w:rsidRDefault="000E2B6F" w:rsidP="00997B5C">
            <w:pPr>
              <w:spacing w:line="240" w:lineRule="auto"/>
              <w:jc w:val="right"/>
              <w:rPr>
                <w:sz w:val="20"/>
              </w:rPr>
            </w:pPr>
            <w:r>
              <w:rPr>
                <w:sz w:val="20"/>
              </w:rPr>
              <w:t>282.25</w:t>
            </w:r>
          </w:p>
        </w:tc>
        <w:tc>
          <w:tcPr>
            <w:tcW w:w="3969" w:type="dxa"/>
          </w:tcPr>
          <w:p w:rsidR="000E2B6F" w:rsidRPr="008802FF" w:rsidRDefault="000E2B6F" w:rsidP="00997B5C">
            <w:pPr>
              <w:spacing w:line="240" w:lineRule="auto"/>
              <w:rPr>
                <w:sz w:val="20"/>
              </w:rPr>
            </w:pPr>
            <w:r>
              <w:rPr>
                <w:sz w:val="20"/>
              </w:rPr>
              <w:t>NHCI, 2009</w:t>
            </w:r>
          </w:p>
        </w:tc>
      </w:tr>
      <w:tr w:rsidR="000E2B6F" w:rsidRPr="008802FF" w:rsidTr="00997B5C">
        <w:tc>
          <w:tcPr>
            <w:tcW w:w="2840" w:type="dxa"/>
          </w:tcPr>
          <w:p w:rsidR="000E2B6F" w:rsidRPr="008802FF" w:rsidRDefault="000E2B6F" w:rsidP="00997B5C">
            <w:pPr>
              <w:spacing w:line="240" w:lineRule="auto"/>
              <w:rPr>
                <w:b/>
                <w:sz w:val="20"/>
              </w:rPr>
            </w:pPr>
            <w:r w:rsidRPr="008802FF">
              <w:rPr>
                <w:b/>
                <w:sz w:val="20"/>
              </w:rPr>
              <w:t>Non-healthcare costs</w:t>
            </w:r>
          </w:p>
        </w:tc>
        <w:tc>
          <w:tcPr>
            <w:tcW w:w="1701" w:type="dxa"/>
          </w:tcPr>
          <w:p w:rsidR="000E2B6F" w:rsidRPr="008802FF" w:rsidRDefault="000E2B6F" w:rsidP="00997B5C">
            <w:pPr>
              <w:spacing w:line="240" w:lineRule="auto"/>
              <w:jc w:val="right"/>
              <w:rPr>
                <w:sz w:val="20"/>
              </w:rPr>
            </w:pPr>
          </w:p>
        </w:tc>
        <w:tc>
          <w:tcPr>
            <w:tcW w:w="3969" w:type="dxa"/>
          </w:tcPr>
          <w:p w:rsidR="000E2B6F" w:rsidRPr="008802FF" w:rsidRDefault="000E2B6F" w:rsidP="00997B5C">
            <w:pPr>
              <w:spacing w:line="240" w:lineRule="auto"/>
              <w:rPr>
                <w:sz w:val="20"/>
              </w:rPr>
            </w:pP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Travel costs GP visit</w:t>
            </w:r>
          </w:p>
        </w:tc>
        <w:tc>
          <w:tcPr>
            <w:tcW w:w="1701" w:type="dxa"/>
          </w:tcPr>
          <w:p w:rsidR="000E2B6F" w:rsidRPr="008802FF" w:rsidRDefault="000E2B6F" w:rsidP="000E2B6F">
            <w:pPr>
              <w:spacing w:line="240" w:lineRule="auto"/>
              <w:jc w:val="right"/>
              <w:rPr>
                <w:sz w:val="20"/>
              </w:rPr>
            </w:pPr>
            <w:r w:rsidRPr="008802FF">
              <w:rPr>
                <w:sz w:val="20"/>
              </w:rPr>
              <w:t>0.4</w:t>
            </w:r>
            <w:r>
              <w:rPr>
                <w:sz w:val="20"/>
              </w:rPr>
              <w:t>3</w:t>
            </w:r>
          </w:p>
        </w:tc>
        <w:tc>
          <w:tcPr>
            <w:tcW w:w="3969" w:type="dxa"/>
          </w:tcPr>
          <w:p w:rsidR="000E2B6F" w:rsidRPr="008802FF" w:rsidRDefault="000E2B6F" w:rsidP="0075366F">
            <w:pPr>
              <w:spacing w:line="240" w:lineRule="auto"/>
              <w:rPr>
                <w:sz w:val="20"/>
              </w:rPr>
            </w:pPr>
            <w:r w:rsidRPr="008802FF">
              <w:rPr>
                <w:sz w:val="20"/>
              </w:rPr>
              <w:t xml:space="preserve">NHCI, 2016 </w:t>
            </w:r>
            <w:r w:rsidR="0075366F">
              <w:rPr>
                <w:noProof/>
                <w:sz w:val="20"/>
              </w:rPr>
              <w:t>[10]</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Travel costs pharmacist</w:t>
            </w:r>
          </w:p>
        </w:tc>
        <w:tc>
          <w:tcPr>
            <w:tcW w:w="1701" w:type="dxa"/>
          </w:tcPr>
          <w:p w:rsidR="000E2B6F" w:rsidRPr="008802FF" w:rsidRDefault="000E2B6F" w:rsidP="000E2B6F">
            <w:pPr>
              <w:spacing w:line="240" w:lineRule="auto"/>
              <w:jc w:val="right"/>
              <w:rPr>
                <w:sz w:val="20"/>
              </w:rPr>
            </w:pPr>
            <w:r w:rsidRPr="008802FF">
              <w:rPr>
                <w:sz w:val="20"/>
              </w:rPr>
              <w:t>0.5</w:t>
            </w:r>
            <w:r>
              <w:rPr>
                <w:sz w:val="20"/>
              </w:rPr>
              <w:t>1</w:t>
            </w:r>
          </w:p>
        </w:tc>
        <w:tc>
          <w:tcPr>
            <w:tcW w:w="3969" w:type="dxa"/>
          </w:tcPr>
          <w:p w:rsidR="000E2B6F" w:rsidRPr="008802FF" w:rsidRDefault="000E2B6F" w:rsidP="0075366F">
            <w:pPr>
              <w:spacing w:line="240" w:lineRule="auto"/>
              <w:rPr>
                <w:sz w:val="20"/>
              </w:rPr>
            </w:pPr>
            <w:r w:rsidRPr="008802FF">
              <w:rPr>
                <w:sz w:val="20"/>
              </w:rPr>
              <w:t xml:space="preserve">NHCI, 2016 </w:t>
            </w:r>
            <w:r w:rsidR="0075366F">
              <w:rPr>
                <w:noProof/>
                <w:sz w:val="20"/>
              </w:rPr>
              <w:t>[10]</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Travel costs hospital visit</w:t>
            </w:r>
          </w:p>
        </w:tc>
        <w:tc>
          <w:tcPr>
            <w:tcW w:w="1701" w:type="dxa"/>
          </w:tcPr>
          <w:p w:rsidR="000E2B6F" w:rsidRPr="008802FF" w:rsidRDefault="000E2B6F" w:rsidP="000E2B6F">
            <w:pPr>
              <w:spacing w:line="240" w:lineRule="auto"/>
              <w:jc w:val="right"/>
              <w:rPr>
                <w:sz w:val="20"/>
              </w:rPr>
            </w:pPr>
            <w:r w:rsidRPr="008802FF">
              <w:rPr>
                <w:sz w:val="20"/>
              </w:rPr>
              <w:t>5.7</w:t>
            </w:r>
            <w:r>
              <w:rPr>
                <w:sz w:val="20"/>
              </w:rPr>
              <w:t>9</w:t>
            </w:r>
          </w:p>
        </w:tc>
        <w:tc>
          <w:tcPr>
            <w:tcW w:w="3969" w:type="dxa"/>
          </w:tcPr>
          <w:p w:rsidR="000E2B6F" w:rsidRPr="008802FF" w:rsidRDefault="000E2B6F" w:rsidP="0075366F">
            <w:pPr>
              <w:spacing w:line="240" w:lineRule="auto"/>
              <w:rPr>
                <w:sz w:val="20"/>
              </w:rPr>
            </w:pPr>
            <w:r w:rsidRPr="008802FF">
              <w:rPr>
                <w:sz w:val="20"/>
              </w:rPr>
              <w:t xml:space="preserve">NHCI, 2016 </w:t>
            </w:r>
            <w:r w:rsidR="0075366F">
              <w:rPr>
                <w:noProof/>
                <w:sz w:val="20"/>
              </w:rPr>
              <w:t>[10]</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OTC medication</w:t>
            </w:r>
          </w:p>
        </w:tc>
        <w:tc>
          <w:tcPr>
            <w:tcW w:w="1701" w:type="dxa"/>
          </w:tcPr>
          <w:p w:rsidR="000E2B6F" w:rsidRPr="008802FF" w:rsidRDefault="000E2B6F" w:rsidP="00997B5C">
            <w:pPr>
              <w:spacing w:line="240" w:lineRule="auto"/>
              <w:rPr>
                <w:sz w:val="20"/>
              </w:rPr>
            </w:pPr>
          </w:p>
        </w:tc>
        <w:tc>
          <w:tcPr>
            <w:tcW w:w="3969" w:type="dxa"/>
          </w:tcPr>
          <w:p w:rsidR="000E2B6F" w:rsidRPr="008802FF" w:rsidRDefault="000E2B6F" w:rsidP="0075366F">
            <w:pPr>
              <w:spacing w:line="240" w:lineRule="auto"/>
              <w:rPr>
                <w:sz w:val="20"/>
              </w:rPr>
            </w:pPr>
            <w:r w:rsidRPr="008802FF">
              <w:rPr>
                <w:sz w:val="20"/>
              </w:rPr>
              <w:t>Medicijnkosten.nl, 2017</w:t>
            </w:r>
            <w:r w:rsidR="0075366F">
              <w:rPr>
                <w:noProof/>
                <w:sz w:val="20"/>
              </w:rPr>
              <w:t>[13]</w:t>
            </w:r>
            <w:r w:rsidRPr="008802FF">
              <w:rPr>
                <w:sz w:val="20"/>
              </w:rPr>
              <w:t xml:space="preserve"> and </w:t>
            </w:r>
            <w:proofErr w:type="spellStart"/>
            <w:r w:rsidRPr="008802FF">
              <w:rPr>
                <w:sz w:val="20"/>
              </w:rPr>
              <w:t>Fa</w:t>
            </w:r>
            <w:r>
              <w:rPr>
                <w:sz w:val="20"/>
              </w:rPr>
              <w:t>rmacotherapeutisch</w:t>
            </w:r>
            <w:proofErr w:type="spellEnd"/>
            <w:r>
              <w:rPr>
                <w:sz w:val="20"/>
              </w:rPr>
              <w:t xml:space="preserve"> </w:t>
            </w:r>
            <w:proofErr w:type="spellStart"/>
            <w:r>
              <w:rPr>
                <w:sz w:val="20"/>
              </w:rPr>
              <w:t>kompas</w:t>
            </w:r>
            <w:proofErr w:type="spellEnd"/>
            <w:r>
              <w:rPr>
                <w:sz w:val="20"/>
              </w:rPr>
              <w:t>, 2017</w:t>
            </w:r>
            <w:r w:rsidR="0075366F">
              <w:rPr>
                <w:noProof/>
                <w:sz w:val="20"/>
              </w:rPr>
              <w:t>[11]</w:t>
            </w: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iCs/>
                <w:color w:val="000000"/>
                <w:sz w:val="20"/>
                <w:szCs w:val="20"/>
              </w:rPr>
              <w:t xml:space="preserve">   Pain killers</w:t>
            </w:r>
          </w:p>
        </w:tc>
        <w:tc>
          <w:tcPr>
            <w:tcW w:w="1701" w:type="dxa"/>
          </w:tcPr>
          <w:p w:rsidR="000E2B6F" w:rsidRPr="008802FF" w:rsidRDefault="000E2B6F" w:rsidP="00997B5C">
            <w:pPr>
              <w:spacing w:line="240" w:lineRule="auto"/>
              <w:rPr>
                <w:sz w:val="20"/>
              </w:rPr>
            </w:pP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Paracetamol</w:t>
            </w:r>
          </w:p>
        </w:tc>
        <w:tc>
          <w:tcPr>
            <w:tcW w:w="1701" w:type="dxa"/>
          </w:tcPr>
          <w:p w:rsidR="000E2B6F" w:rsidRPr="008802FF" w:rsidRDefault="000E2B6F" w:rsidP="00997B5C">
            <w:pPr>
              <w:spacing w:line="240" w:lineRule="auto"/>
              <w:jc w:val="right"/>
              <w:rPr>
                <w:sz w:val="20"/>
              </w:rPr>
            </w:pPr>
            <w:r w:rsidRPr="008802FF">
              <w:rPr>
                <w:color w:val="000000"/>
                <w:sz w:val="20"/>
                <w:szCs w:val="22"/>
              </w:rPr>
              <w:t xml:space="preserve">        10.35 </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NSAID</w:t>
            </w:r>
          </w:p>
        </w:tc>
        <w:tc>
          <w:tcPr>
            <w:tcW w:w="1701" w:type="dxa"/>
          </w:tcPr>
          <w:p w:rsidR="000E2B6F" w:rsidRPr="008802FF" w:rsidRDefault="000E2B6F" w:rsidP="00997B5C">
            <w:pPr>
              <w:spacing w:line="240" w:lineRule="auto"/>
              <w:jc w:val="right"/>
              <w:rPr>
                <w:sz w:val="20"/>
              </w:rPr>
            </w:pPr>
            <w:r w:rsidRPr="008802FF">
              <w:rPr>
                <w:color w:val="000000"/>
                <w:sz w:val="20"/>
                <w:szCs w:val="22"/>
              </w:rPr>
              <w:t xml:space="preserve">        15.39 </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iCs/>
                <w:color w:val="000000"/>
                <w:sz w:val="20"/>
                <w:szCs w:val="20"/>
              </w:rPr>
              <w:t xml:space="preserve">   Topical</w:t>
            </w:r>
          </w:p>
        </w:tc>
        <w:tc>
          <w:tcPr>
            <w:tcW w:w="1701" w:type="dxa"/>
          </w:tcPr>
          <w:p w:rsidR="000E2B6F" w:rsidRPr="008802FF" w:rsidRDefault="000E2B6F" w:rsidP="00997B5C">
            <w:pPr>
              <w:spacing w:line="240" w:lineRule="auto"/>
              <w:jc w:val="right"/>
              <w:rPr>
                <w:sz w:val="20"/>
              </w:rPr>
            </w:pP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Zink oxide</w:t>
            </w:r>
          </w:p>
        </w:tc>
        <w:tc>
          <w:tcPr>
            <w:tcW w:w="1701" w:type="dxa"/>
          </w:tcPr>
          <w:p w:rsidR="000E2B6F" w:rsidRPr="008802FF" w:rsidRDefault="000E2B6F" w:rsidP="00997B5C">
            <w:pPr>
              <w:spacing w:line="240" w:lineRule="auto"/>
              <w:jc w:val="right"/>
              <w:rPr>
                <w:sz w:val="20"/>
              </w:rPr>
            </w:pPr>
            <w:r w:rsidRPr="008802FF">
              <w:rPr>
                <w:color w:val="000000"/>
                <w:sz w:val="20"/>
                <w:szCs w:val="22"/>
              </w:rPr>
              <w:t xml:space="preserve">          4.35 </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color w:val="000000"/>
                <w:sz w:val="20"/>
                <w:szCs w:val="20"/>
              </w:rPr>
              <w:t xml:space="preserve">   </w:t>
            </w:r>
            <w:r w:rsidRPr="008802FF">
              <w:rPr>
                <w:iCs/>
                <w:color w:val="000000"/>
                <w:sz w:val="20"/>
                <w:szCs w:val="20"/>
              </w:rPr>
              <w:t xml:space="preserve">   </w:t>
            </w:r>
            <w:r w:rsidRPr="008802FF">
              <w:rPr>
                <w:color w:val="000000"/>
                <w:sz w:val="20"/>
                <w:szCs w:val="20"/>
              </w:rPr>
              <w:t>Lidocaine</w:t>
            </w:r>
          </w:p>
        </w:tc>
        <w:tc>
          <w:tcPr>
            <w:tcW w:w="1701" w:type="dxa"/>
          </w:tcPr>
          <w:p w:rsidR="000E2B6F" w:rsidRPr="008802FF" w:rsidRDefault="000E2B6F" w:rsidP="00997B5C">
            <w:pPr>
              <w:spacing w:line="240" w:lineRule="auto"/>
              <w:jc w:val="right"/>
              <w:rPr>
                <w:sz w:val="20"/>
              </w:rPr>
            </w:pPr>
            <w:r w:rsidRPr="008802FF">
              <w:rPr>
                <w:color w:val="000000"/>
                <w:sz w:val="20"/>
                <w:szCs w:val="22"/>
              </w:rPr>
              <w:t xml:space="preserve">          0.37 </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vAlign w:val="bottom"/>
          </w:tcPr>
          <w:p w:rsidR="000E2B6F" w:rsidRPr="008802FF" w:rsidRDefault="000E2B6F" w:rsidP="00997B5C">
            <w:pPr>
              <w:spacing w:line="240" w:lineRule="auto"/>
              <w:rPr>
                <w:sz w:val="20"/>
              </w:rPr>
            </w:pPr>
            <w:r w:rsidRPr="008802FF">
              <w:rPr>
                <w:iCs/>
                <w:color w:val="000000"/>
                <w:sz w:val="20"/>
                <w:szCs w:val="20"/>
              </w:rPr>
              <w:t xml:space="preserve">      </w:t>
            </w:r>
            <w:r w:rsidRPr="008802FF">
              <w:rPr>
                <w:color w:val="000000"/>
                <w:sz w:val="20"/>
                <w:szCs w:val="20"/>
              </w:rPr>
              <w:t>Hydrophobic ointment</w:t>
            </w:r>
          </w:p>
        </w:tc>
        <w:tc>
          <w:tcPr>
            <w:tcW w:w="1701" w:type="dxa"/>
          </w:tcPr>
          <w:p w:rsidR="000E2B6F" w:rsidRPr="008802FF" w:rsidRDefault="000E2B6F" w:rsidP="00997B5C">
            <w:pPr>
              <w:spacing w:line="240" w:lineRule="auto"/>
              <w:jc w:val="right"/>
              <w:rPr>
                <w:sz w:val="20"/>
              </w:rPr>
            </w:pPr>
            <w:r w:rsidRPr="008802FF">
              <w:rPr>
                <w:color w:val="000000"/>
                <w:sz w:val="20"/>
                <w:szCs w:val="22"/>
              </w:rPr>
              <w:t xml:space="preserve">          1.44 </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Productivity loss per lost labour day</w:t>
            </w:r>
          </w:p>
        </w:tc>
        <w:tc>
          <w:tcPr>
            <w:tcW w:w="1701" w:type="dxa"/>
          </w:tcPr>
          <w:p w:rsidR="000E2B6F" w:rsidRPr="008802FF" w:rsidRDefault="000E2B6F" w:rsidP="00997B5C">
            <w:pPr>
              <w:spacing w:line="240" w:lineRule="auto"/>
              <w:rPr>
                <w:sz w:val="20"/>
              </w:rPr>
            </w:pPr>
          </w:p>
        </w:tc>
        <w:tc>
          <w:tcPr>
            <w:tcW w:w="3969" w:type="dxa"/>
          </w:tcPr>
          <w:p w:rsidR="000E2B6F" w:rsidRPr="008802FF" w:rsidRDefault="000E2B6F" w:rsidP="0075366F">
            <w:pPr>
              <w:spacing w:line="240" w:lineRule="auto"/>
              <w:rPr>
                <w:sz w:val="20"/>
              </w:rPr>
            </w:pPr>
            <w:r w:rsidRPr="008802FF">
              <w:rPr>
                <w:sz w:val="20"/>
              </w:rPr>
              <w:t>Productivity loss per hour from NHCI 2016</w:t>
            </w:r>
            <w:r w:rsidR="0075366F">
              <w:rPr>
                <w:noProof/>
                <w:sz w:val="20"/>
              </w:rPr>
              <w:t>[10]</w:t>
            </w:r>
            <w:r w:rsidRPr="008802FF">
              <w:rPr>
                <w:sz w:val="20"/>
              </w:rPr>
              <w:t xml:space="preserve"> multiplied by the average duration of a work d</w:t>
            </w:r>
            <w:r>
              <w:rPr>
                <w:sz w:val="20"/>
              </w:rPr>
              <w:t>ay from Statistics Netherlands, 2016</w:t>
            </w:r>
            <w:r w:rsidR="0075366F">
              <w:rPr>
                <w:sz w:val="20"/>
              </w:rPr>
              <w:t xml:space="preserve"> </w:t>
            </w:r>
            <w:r w:rsidR="0075366F">
              <w:rPr>
                <w:noProof/>
                <w:sz w:val="20"/>
              </w:rPr>
              <w:t>[7]</w:t>
            </w:r>
            <w:r w:rsidR="0075366F">
              <w:rPr>
                <w:sz w:val="20"/>
              </w:rPr>
              <w:t>.</w:t>
            </w:r>
          </w:p>
        </w:tc>
      </w:tr>
      <w:tr w:rsidR="000E2B6F" w:rsidRPr="008802FF" w:rsidTr="00997B5C">
        <w:tc>
          <w:tcPr>
            <w:tcW w:w="2840" w:type="dxa"/>
          </w:tcPr>
          <w:p w:rsidR="000E2B6F" w:rsidRPr="008802FF" w:rsidRDefault="000E2B6F" w:rsidP="00997B5C">
            <w:pPr>
              <w:spacing w:line="240" w:lineRule="auto"/>
              <w:rPr>
                <w:sz w:val="20"/>
              </w:rPr>
            </w:pPr>
            <w:r w:rsidRPr="008802FF">
              <w:rPr>
                <w:sz w:val="20"/>
              </w:rPr>
              <w:t xml:space="preserve">   50-59 years</w:t>
            </w:r>
          </w:p>
        </w:tc>
        <w:tc>
          <w:tcPr>
            <w:tcW w:w="1701" w:type="dxa"/>
            <w:vAlign w:val="bottom"/>
          </w:tcPr>
          <w:p w:rsidR="000E2B6F" w:rsidRPr="00F031AC" w:rsidRDefault="000E2B6F" w:rsidP="00997B5C">
            <w:pPr>
              <w:spacing w:line="240" w:lineRule="auto"/>
              <w:jc w:val="right"/>
              <w:rPr>
                <w:sz w:val="20"/>
                <w:szCs w:val="20"/>
              </w:rPr>
            </w:pPr>
            <w:r w:rsidRPr="00F031AC">
              <w:rPr>
                <w:color w:val="000000"/>
                <w:sz w:val="20"/>
                <w:szCs w:val="20"/>
              </w:rPr>
              <w:t>231.7</w:t>
            </w:r>
            <w:r>
              <w:rPr>
                <w:color w:val="000000"/>
                <w:sz w:val="20"/>
                <w:szCs w:val="20"/>
              </w:rPr>
              <w:t>3</w:t>
            </w:r>
          </w:p>
        </w:tc>
        <w:tc>
          <w:tcPr>
            <w:tcW w:w="3969" w:type="dxa"/>
          </w:tcPr>
          <w:p w:rsidR="000E2B6F" w:rsidRPr="008802FF" w:rsidRDefault="000E2B6F" w:rsidP="00997B5C">
            <w:pPr>
              <w:spacing w:line="240" w:lineRule="auto"/>
              <w:rPr>
                <w:sz w:val="20"/>
              </w:rPr>
            </w:pPr>
          </w:p>
        </w:tc>
      </w:tr>
      <w:tr w:rsidR="000E2B6F" w:rsidRPr="008802FF" w:rsidTr="00997B5C">
        <w:tc>
          <w:tcPr>
            <w:tcW w:w="2840" w:type="dxa"/>
            <w:tcBorders>
              <w:bottom w:val="single" w:sz="4" w:space="0" w:color="auto"/>
            </w:tcBorders>
          </w:tcPr>
          <w:p w:rsidR="000E2B6F" w:rsidRPr="008802FF" w:rsidRDefault="000E2B6F" w:rsidP="00187158">
            <w:pPr>
              <w:spacing w:line="240" w:lineRule="auto"/>
              <w:rPr>
                <w:sz w:val="20"/>
              </w:rPr>
            </w:pPr>
            <w:r w:rsidRPr="008802FF">
              <w:rPr>
                <w:sz w:val="20"/>
              </w:rPr>
              <w:t xml:space="preserve">   </w:t>
            </w:r>
            <w:r>
              <w:rPr>
                <w:sz w:val="20"/>
              </w:rPr>
              <w:t>≥6</w:t>
            </w:r>
            <w:r w:rsidRPr="008802FF">
              <w:rPr>
                <w:sz w:val="20"/>
              </w:rPr>
              <w:t>0 years</w:t>
            </w:r>
          </w:p>
        </w:tc>
        <w:tc>
          <w:tcPr>
            <w:tcW w:w="1701" w:type="dxa"/>
            <w:tcBorders>
              <w:bottom w:val="single" w:sz="4" w:space="0" w:color="auto"/>
            </w:tcBorders>
          </w:tcPr>
          <w:p w:rsidR="000E2B6F" w:rsidRPr="008802FF" w:rsidRDefault="000E2B6F" w:rsidP="00997B5C">
            <w:pPr>
              <w:spacing w:line="240" w:lineRule="auto"/>
              <w:jc w:val="right"/>
              <w:rPr>
                <w:sz w:val="20"/>
                <w:szCs w:val="20"/>
              </w:rPr>
            </w:pPr>
            <w:r w:rsidRPr="00F031AC">
              <w:rPr>
                <w:color w:val="000000"/>
                <w:sz w:val="20"/>
                <w:szCs w:val="20"/>
              </w:rPr>
              <w:t>180.0</w:t>
            </w:r>
            <w:r>
              <w:rPr>
                <w:color w:val="000000"/>
                <w:sz w:val="20"/>
                <w:szCs w:val="20"/>
              </w:rPr>
              <w:t>2</w:t>
            </w:r>
          </w:p>
        </w:tc>
        <w:tc>
          <w:tcPr>
            <w:tcW w:w="3969" w:type="dxa"/>
            <w:tcBorders>
              <w:bottom w:val="single" w:sz="4" w:space="0" w:color="auto"/>
            </w:tcBorders>
          </w:tcPr>
          <w:p w:rsidR="000E2B6F" w:rsidRPr="008802FF" w:rsidRDefault="000E2B6F" w:rsidP="00997B5C">
            <w:pPr>
              <w:spacing w:line="240" w:lineRule="auto"/>
              <w:rPr>
                <w:sz w:val="20"/>
              </w:rPr>
            </w:pPr>
          </w:p>
        </w:tc>
      </w:tr>
    </w:tbl>
    <w:p w:rsidR="00AD1E82" w:rsidRPr="008802FF" w:rsidRDefault="00AD1E82" w:rsidP="00AD1E82">
      <w:pPr>
        <w:spacing w:line="240" w:lineRule="auto"/>
        <w:rPr>
          <w:rFonts w:ascii="Arial" w:hAnsi="Arial" w:cs="Arial"/>
          <w:kern w:val="32"/>
          <w:sz w:val="32"/>
          <w:szCs w:val="32"/>
        </w:rPr>
      </w:pPr>
      <w:r w:rsidRPr="0023009D">
        <w:rPr>
          <w:sz w:val="20"/>
        </w:rPr>
        <w:t>GP: General practitioner, OTC: Over-the-counter, NHCI: National Health Care Institute, NSAID: Nonsteroidal anti-inflammatory drug</w:t>
      </w:r>
      <w:r w:rsidRPr="008802FF">
        <w:br w:type="page"/>
      </w:r>
    </w:p>
    <w:p w:rsidR="00AD1E82" w:rsidRPr="008802FF" w:rsidRDefault="00AD1E82" w:rsidP="00AD1E82">
      <w:pPr>
        <w:pStyle w:val="Heading2"/>
      </w:pPr>
      <w:r w:rsidRPr="008802FF">
        <w:lastRenderedPageBreak/>
        <w:t>Vaccine characteristics</w:t>
      </w:r>
    </w:p>
    <w:p w:rsidR="00AD1E82" w:rsidRPr="0019207A" w:rsidRDefault="00AD1E82" w:rsidP="00AD1E82">
      <w:r w:rsidRPr="008802FF">
        <w:t xml:space="preserve">The efficacy </w:t>
      </w:r>
      <w:r>
        <w:t xml:space="preserve">of </w:t>
      </w:r>
      <w:r w:rsidRPr="008802FF">
        <w:t xml:space="preserve">HZ/su against HZ incidence was obtained from two published clinical trials, conducted among individuals aged </w:t>
      </w:r>
      <w:r w:rsidR="00187158">
        <w:rPr>
          <w:sz w:val="20"/>
        </w:rPr>
        <w:t>≥</w:t>
      </w:r>
      <w:r w:rsidRPr="008802FF">
        <w:t xml:space="preserve">50 years (ZOE-50 trial) with mean follow-up of 3.2 years and </w:t>
      </w:r>
      <w:r w:rsidR="00187158">
        <w:t>≥</w:t>
      </w:r>
      <w:r w:rsidRPr="008802FF">
        <w:t>70 years (ZOE-70 trial) with a mean follow-up period of 3.7 years</w:t>
      </w:r>
      <w:r w:rsidR="0075366F">
        <w:t xml:space="preserve"> </w:t>
      </w:r>
      <w:r w:rsidR="0075366F">
        <w:rPr>
          <w:noProof/>
        </w:rPr>
        <w:t>[14, 15]</w:t>
      </w:r>
      <w:r w:rsidRPr="008802FF">
        <w:t>.</w:t>
      </w:r>
      <w:r>
        <w:t xml:space="preserve"> For the </w:t>
      </w:r>
      <w:r w:rsidR="00187158">
        <w:rPr>
          <w:sz w:val="20"/>
        </w:rPr>
        <w:t>≥</w:t>
      </w:r>
      <w:r>
        <w:t>70</w:t>
      </w:r>
      <w:r w:rsidR="00187158">
        <w:t>-</w:t>
      </w:r>
      <w:r>
        <w:t>year-olds, we fitted a linear model over the annual vaccine efficacy data using R (</w:t>
      </w:r>
      <w:r>
        <w:rPr>
          <w:color w:val="222222"/>
        </w:rPr>
        <w:t>http://www</w:t>
      </w:r>
      <w:r w:rsidRPr="001553F2">
        <w:rPr>
          <w:color w:val="222222"/>
        </w:rPr>
        <w:t>.</w:t>
      </w:r>
      <w:r w:rsidRPr="001553F2">
        <w:rPr>
          <w:bCs/>
          <w:color w:val="000000"/>
        </w:rPr>
        <w:t>R</w:t>
      </w:r>
      <w:r w:rsidRPr="001553F2">
        <w:rPr>
          <w:color w:val="222222"/>
        </w:rPr>
        <w:t>-</w:t>
      </w:r>
      <w:r w:rsidRPr="001553F2">
        <w:rPr>
          <w:bCs/>
          <w:color w:val="000000"/>
        </w:rPr>
        <w:t>project</w:t>
      </w:r>
      <w:r>
        <w:rPr>
          <w:color w:val="222222"/>
        </w:rPr>
        <w:t>.org</w:t>
      </w:r>
      <w:r>
        <w:t xml:space="preserve">), in which a weighting factor for the standard error was </w:t>
      </w:r>
      <w:r w:rsidR="00D16DF0">
        <w:t>included</w:t>
      </w:r>
      <w:r>
        <w:t>. The standard error</w:t>
      </w:r>
      <w:r w:rsidR="00D16DF0">
        <w:t xml:space="preserve"> of the</w:t>
      </w:r>
      <w:r>
        <w:t xml:space="preserve"> vaccine efficacy</w:t>
      </w:r>
      <w:r w:rsidR="00D16DF0">
        <w:t xml:space="preserve"> by year</w:t>
      </w:r>
      <w:r>
        <w:t xml:space="preserve"> was estimated as follows: (95%CI</w:t>
      </w:r>
      <w:r>
        <w:rPr>
          <w:vertAlign w:val="subscript"/>
        </w:rPr>
        <w:t>UPPER</w:t>
      </w:r>
      <w:r>
        <w:t xml:space="preserve"> - 95%CI</w:t>
      </w:r>
      <w:r>
        <w:rPr>
          <w:vertAlign w:val="subscript"/>
        </w:rPr>
        <w:t>LOWER</w:t>
      </w:r>
      <w:r>
        <w:t>) / (2*1.96). The weighting factor was</w:t>
      </w:r>
      <w:r w:rsidR="00D16DF0">
        <w:t xml:space="preserve"> then calculated by doing </w:t>
      </w:r>
      <w:r>
        <w:t>1</w:t>
      </w:r>
      <w:proofErr w:type="gramStart"/>
      <w:r>
        <w:t>/(</w:t>
      </w:r>
      <w:proofErr w:type="gramEnd"/>
      <w:r>
        <w:t>standard error)</w:t>
      </w:r>
      <w:r>
        <w:rPr>
          <w:vertAlign w:val="superscript"/>
        </w:rPr>
        <w:t>2</w:t>
      </w:r>
      <w:r>
        <w:t xml:space="preserve">, meaning that </w:t>
      </w:r>
      <w:r w:rsidR="00D16DF0">
        <w:t>years w</w:t>
      </w:r>
      <w:r>
        <w:t>ith a small confidence interval were given a heavier weight. We also tried to fit elbow</w:t>
      </w:r>
      <w:r w:rsidR="003523E8">
        <w:t>-</w:t>
      </w:r>
      <w:r>
        <w:t xml:space="preserve">shaped functions (exponential, </w:t>
      </w:r>
      <w:r w:rsidR="005069EE">
        <w:t>logarithmic</w:t>
      </w:r>
      <w:r>
        <w:t>) and a knee</w:t>
      </w:r>
      <w:r w:rsidR="003523E8">
        <w:t>-</w:t>
      </w:r>
      <w:r>
        <w:t>shaped function (1-minus-exponential), but, due to the short follow-</w:t>
      </w:r>
      <w:r w:rsidR="000569ED">
        <w:t xml:space="preserve">up </w:t>
      </w:r>
      <w:r>
        <w:t xml:space="preserve">period of the data, these models resulted in </w:t>
      </w:r>
      <w:r w:rsidR="00D16DF0">
        <w:t>unrealistic</w:t>
      </w:r>
      <w:r>
        <w:t xml:space="preserve"> long (~lifelong</w:t>
      </w:r>
      <w:r w:rsidR="00D16DF0">
        <w:t xml:space="preserve"> &gt;95%</w:t>
      </w:r>
      <w:r w:rsidR="00CA075C">
        <w:t xml:space="preserve"> efficacy</w:t>
      </w:r>
      <w:r>
        <w:t>) or short duration</w:t>
      </w:r>
      <w:r w:rsidR="00CA075C">
        <w:t>s</w:t>
      </w:r>
      <w:r>
        <w:t xml:space="preserve"> of protection (</w:t>
      </w:r>
      <w:r w:rsidR="00D16DF0">
        <w:t>to 0%</w:t>
      </w:r>
      <w:r w:rsidR="00CA075C">
        <w:t xml:space="preserve"> efficacy</w:t>
      </w:r>
      <w:r w:rsidR="00D16DF0">
        <w:t xml:space="preserve"> within </w:t>
      </w:r>
      <w:r>
        <w:t>5 years). For the 50-</w:t>
      </w:r>
      <w:r w:rsidR="00187158">
        <w:t xml:space="preserve"> to </w:t>
      </w:r>
      <w:r>
        <w:t>69</w:t>
      </w:r>
      <w:r w:rsidR="00187158">
        <w:t>-</w:t>
      </w:r>
      <w:r>
        <w:t>year-olds, only annual point-estimates without confidence intervals were available</w:t>
      </w:r>
      <w:r w:rsidR="0075366F">
        <w:t xml:space="preserve"> </w:t>
      </w:r>
      <w:r w:rsidR="0075366F">
        <w:rPr>
          <w:noProof/>
        </w:rPr>
        <w:t>[16]</w:t>
      </w:r>
      <w:r w:rsidR="0075366F">
        <w:t>.</w:t>
      </w:r>
      <w:r>
        <w:t xml:space="preserve"> Therefore, we used an unweighted linear model for this age-group. The model fits are shown </w:t>
      </w:r>
      <w:r w:rsidRPr="008B5DEE">
        <w:t>in</w:t>
      </w:r>
      <w:r w:rsidR="008B5DEE" w:rsidRPr="008B5DEE">
        <w:t xml:space="preserve"> Figure S</w:t>
      </w:r>
      <w:r w:rsidR="008B5DEE" w:rsidRPr="008B5DEE">
        <w:rPr>
          <w:noProof/>
        </w:rPr>
        <w:t>5</w:t>
      </w:r>
      <w:r w:rsidR="008B5DEE">
        <w:t xml:space="preserve"> and</w:t>
      </w:r>
      <w:r w:rsidRPr="0019207A">
        <w:t xml:space="preserve"> </w:t>
      </w:r>
      <w:bookmarkStart w:id="9" w:name="_Ref502925187"/>
      <w:r w:rsidR="008B5DEE" w:rsidRPr="008B5DEE">
        <w:t>Figure S6</w:t>
      </w:r>
      <w:r w:rsidRPr="0019207A">
        <w:t>.</w:t>
      </w:r>
    </w:p>
    <w:p w:rsidR="00AD1E82" w:rsidRDefault="00AD1E82" w:rsidP="00AD1E82">
      <w:pPr>
        <w:spacing w:line="240" w:lineRule="auto"/>
      </w:pPr>
    </w:p>
    <w:p w:rsidR="00AD1E82" w:rsidRDefault="00B06E91" w:rsidP="00AD1E82">
      <w:pPr>
        <w:keepNext/>
        <w:spacing w:line="240" w:lineRule="auto"/>
      </w:pPr>
      <w:r>
        <w:rPr>
          <w:noProof/>
          <w:lang w:val="en-US"/>
        </w:rPr>
        <w:lastRenderedPageBreak/>
        <w:drawing>
          <wp:inline distT="0" distB="0" distL="0" distR="0">
            <wp:extent cx="4879848" cy="2590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9848" cy="2590800"/>
                    </a:xfrm>
                    <a:prstGeom prst="rect">
                      <a:avLst/>
                    </a:prstGeom>
                  </pic:spPr>
                </pic:pic>
              </a:graphicData>
            </a:graphic>
          </wp:inline>
        </w:drawing>
      </w:r>
    </w:p>
    <w:p w:rsidR="003333B7" w:rsidRDefault="003333B7" w:rsidP="003333B7">
      <w:pPr>
        <w:pStyle w:val="Caption"/>
        <w:rPr>
          <w:b w:val="0"/>
          <w:color w:val="auto"/>
          <w:sz w:val="24"/>
          <w:szCs w:val="24"/>
        </w:rPr>
      </w:pPr>
      <w:bookmarkStart w:id="10" w:name="_Ref515969226"/>
      <w:r w:rsidRPr="00920D6E">
        <w:rPr>
          <w:b w:val="0"/>
          <w:color w:val="auto"/>
          <w:sz w:val="24"/>
          <w:szCs w:val="24"/>
        </w:rPr>
        <w:t>Figure S</w:t>
      </w:r>
      <w:r w:rsidR="00864629">
        <w:rPr>
          <w:b w:val="0"/>
          <w:noProof/>
          <w:color w:val="auto"/>
          <w:sz w:val="24"/>
          <w:szCs w:val="24"/>
        </w:rPr>
        <w:t>5</w:t>
      </w:r>
      <w:bookmarkEnd w:id="10"/>
      <w:r w:rsidRPr="00920D6E">
        <w:rPr>
          <w:b w:val="0"/>
          <w:color w:val="auto"/>
          <w:sz w:val="24"/>
          <w:szCs w:val="24"/>
        </w:rPr>
        <w:t xml:space="preserve">: The </w:t>
      </w:r>
      <w:r>
        <w:rPr>
          <w:b w:val="0"/>
          <w:color w:val="auto"/>
          <w:sz w:val="24"/>
          <w:szCs w:val="24"/>
        </w:rPr>
        <w:t>linear</w:t>
      </w:r>
      <w:r w:rsidRPr="00920D6E">
        <w:rPr>
          <w:b w:val="0"/>
          <w:color w:val="auto"/>
          <w:sz w:val="24"/>
          <w:szCs w:val="24"/>
        </w:rPr>
        <w:t xml:space="preserve"> function that </w:t>
      </w:r>
      <w:proofErr w:type="gramStart"/>
      <w:r w:rsidRPr="00920D6E">
        <w:rPr>
          <w:b w:val="0"/>
          <w:color w:val="auto"/>
          <w:sz w:val="24"/>
          <w:szCs w:val="24"/>
        </w:rPr>
        <w:t>was fitted</w:t>
      </w:r>
      <w:proofErr w:type="gramEnd"/>
      <w:r w:rsidRPr="00920D6E">
        <w:rPr>
          <w:b w:val="0"/>
          <w:color w:val="auto"/>
          <w:sz w:val="24"/>
          <w:szCs w:val="24"/>
        </w:rPr>
        <w:t xml:space="preserve"> for the </w:t>
      </w:r>
      <w:r>
        <w:rPr>
          <w:b w:val="0"/>
          <w:color w:val="auto"/>
          <w:sz w:val="24"/>
          <w:szCs w:val="24"/>
        </w:rPr>
        <w:t xml:space="preserve">herpes zoster subunit (HZ/su) vaccine for 50- to 69-year-olds </w:t>
      </w:r>
      <w:r w:rsidRPr="00920D6E">
        <w:rPr>
          <w:b w:val="0"/>
          <w:color w:val="auto"/>
          <w:sz w:val="24"/>
          <w:szCs w:val="24"/>
        </w:rPr>
        <w:t xml:space="preserve">using trial data up to </w:t>
      </w:r>
      <w:r>
        <w:rPr>
          <w:b w:val="0"/>
          <w:color w:val="auto"/>
          <w:sz w:val="24"/>
          <w:szCs w:val="24"/>
        </w:rPr>
        <w:t>4</w:t>
      </w:r>
      <w:r w:rsidRPr="00920D6E">
        <w:rPr>
          <w:b w:val="0"/>
          <w:color w:val="auto"/>
          <w:sz w:val="24"/>
          <w:szCs w:val="24"/>
        </w:rPr>
        <w:t xml:space="preserve"> years</w:t>
      </w:r>
      <w:r>
        <w:rPr>
          <w:b w:val="0"/>
          <w:color w:val="auto"/>
          <w:sz w:val="24"/>
          <w:szCs w:val="24"/>
        </w:rPr>
        <w:t>. The function was estimated at 0.981 (±0.038) – 0.009 (±0.0169)*years, with R</w:t>
      </w:r>
      <w:r>
        <w:rPr>
          <w:b w:val="0"/>
          <w:color w:val="auto"/>
          <w:sz w:val="24"/>
          <w:szCs w:val="24"/>
          <w:vertAlign w:val="superscript"/>
        </w:rPr>
        <w:t>2</w:t>
      </w:r>
      <w:r>
        <w:rPr>
          <w:b w:val="0"/>
          <w:color w:val="auto"/>
          <w:sz w:val="24"/>
          <w:szCs w:val="24"/>
        </w:rPr>
        <w:t xml:space="preserve"> = 0.124. Note that the x-axis starts at 0.5.</w:t>
      </w:r>
      <w:r w:rsidR="0023467D">
        <w:rPr>
          <w:b w:val="0"/>
          <w:color w:val="auto"/>
          <w:sz w:val="24"/>
          <w:szCs w:val="24"/>
        </w:rPr>
        <w:t xml:space="preserve"> </w:t>
      </w:r>
      <w:r w:rsidR="0023467D" w:rsidRPr="00E1511A">
        <w:rPr>
          <w:b w:val="0"/>
          <w:color w:val="auto"/>
          <w:sz w:val="24"/>
          <w:szCs w:val="24"/>
        </w:rPr>
        <w:t xml:space="preserve">HZ: Herpes zoster, </w:t>
      </w:r>
      <w:r w:rsidR="0023467D">
        <w:rPr>
          <w:b w:val="0"/>
          <w:color w:val="auto"/>
          <w:sz w:val="24"/>
          <w:szCs w:val="24"/>
        </w:rPr>
        <w:t>VE: Vaccine efficacy.</w:t>
      </w:r>
    </w:p>
    <w:p w:rsidR="003333B7" w:rsidRDefault="003333B7" w:rsidP="00AD1E82">
      <w:pPr>
        <w:keepNext/>
        <w:spacing w:line="240" w:lineRule="auto"/>
      </w:pPr>
    </w:p>
    <w:p w:rsidR="00AD1E82" w:rsidRDefault="00B06E91" w:rsidP="00AD1E82">
      <w:pPr>
        <w:keepNext/>
        <w:spacing w:line="240" w:lineRule="auto"/>
      </w:pPr>
      <w:r>
        <w:rPr>
          <w:noProof/>
          <w:lang w:val="en-US"/>
        </w:rPr>
        <w:drawing>
          <wp:inline distT="0" distB="0" distL="0" distR="0">
            <wp:extent cx="4934712" cy="25298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4712" cy="2529840"/>
                    </a:xfrm>
                    <a:prstGeom prst="rect">
                      <a:avLst/>
                    </a:prstGeom>
                  </pic:spPr>
                </pic:pic>
              </a:graphicData>
            </a:graphic>
          </wp:inline>
        </w:drawing>
      </w:r>
    </w:p>
    <w:p w:rsidR="00AD1E82" w:rsidRDefault="00AD1E82" w:rsidP="00AD1E82">
      <w:pPr>
        <w:pStyle w:val="Caption"/>
        <w:rPr>
          <w:b w:val="0"/>
          <w:color w:val="auto"/>
          <w:sz w:val="24"/>
          <w:szCs w:val="24"/>
        </w:rPr>
      </w:pPr>
      <w:bookmarkStart w:id="11" w:name="_Ref513558789"/>
      <w:r w:rsidRPr="00920D6E">
        <w:rPr>
          <w:b w:val="0"/>
          <w:color w:val="auto"/>
          <w:sz w:val="24"/>
          <w:szCs w:val="24"/>
        </w:rPr>
        <w:t>Figure S</w:t>
      </w:r>
      <w:r w:rsidR="00864629">
        <w:rPr>
          <w:b w:val="0"/>
          <w:noProof/>
          <w:color w:val="auto"/>
          <w:sz w:val="24"/>
          <w:szCs w:val="24"/>
        </w:rPr>
        <w:t>6</w:t>
      </w:r>
      <w:bookmarkEnd w:id="11"/>
      <w:r w:rsidRPr="00920D6E">
        <w:rPr>
          <w:b w:val="0"/>
          <w:color w:val="auto"/>
          <w:sz w:val="24"/>
          <w:szCs w:val="24"/>
        </w:rPr>
        <w:t xml:space="preserve">: The </w:t>
      </w:r>
      <w:r>
        <w:rPr>
          <w:b w:val="0"/>
          <w:color w:val="auto"/>
          <w:sz w:val="24"/>
          <w:szCs w:val="24"/>
        </w:rPr>
        <w:t>linear</w:t>
      </w:r>
      <w:r w:rsidRPr="00920D6E">
        <w:rPr>
          <w:b w:val="0"/>
          <w:color w:val="auto"/>
          <w:sz w:val="24"/>
          <w:szCs w:val="24"/>
        </w:rPr>
        <w:t xml:space="preserve"> function that </w:t>
      </w:r>
      <w:proofErr w:type="gramStart"/>
      <w:r w:rsidRPr="00920D6E">
        <w:rPr>
          <w:b w:val="0"/>
          <w:color w:val="auto"/>
          <w:sz w:val="24"/>
          <w:szCs w:val="24"/>
        </w:rPr>
        <w:t>was fitted</w:t>
      </w:r>
      <w:proofErr w:type="gramEnd"/>
      <w:r w:rsidRPr="00920D6E">
        <w:rPr>
          <w:b w:val="0"/>
          <w:color w:val="auto"/>
          <w:sz w:val="24"/>
          <w:szCs w:val="24"/>
        </w:rPr>
        <w:t xml:space="preserve"> for the </w:t>
      </w:r>
      <w:r>
        <w:rPr>
          <w:b w:val="0"/>
          <w:color w:val="auto"/>
          <w:sz w:val="24"/>
          <w:szCs w:val="24"/>
        </w:rPr>
        <w:t xml:space="preserve">herpes zoster subunit (HZ/su) vaccine for </w:t>
      </w:r>
      <w:r w:rsidR="00187158" w:rsidRPr="003333B7">
        <w:rPr>
          <w:color w:val="auto"/>
          <w:sz w:val="24"/>
          <w:szCs w:val="24"/>
        </w:rPr>
        <w:t>≥</w:t>
      </w:r>
      <w:r w:rsidRPr="003333B7">
        <w:rPr>
          <w:b w:val="0"/>
          <w:color w:val="auto"/>
          <w:sz w:val="24"/>
          <w:szCs w:val="24"/>
        </w:rPr>
        <w:t>70</w:t>
      </w:r>
      <w:r w:rsidR="00187158" w:rsidRPr="003333B7">
        <w:rPr>
          <w:b w:val="0"/>
          <w:color w:val="auto"/>
          <w:sz w:val="24"/>
          <w:szCs w:val="24"/>
        </w:rPr>
        <w:t>-</w:t>
      </w:r>
      <w:r w:rsidRPr="003333B7">
        <w:rPr>
          <w:b w:val="0"/>
          <w:color w:val="auto"/>
          <w:sz w:val="24"/>
          <w:szCs w:val="24"/>
        </w:rPr>
        <w:t>year-</w:t>
      </w:r>
      <w:r>
        <w:rPr>
          <w:b w:val="0"/>
          <w:color w:val="auto"/>
          <w:sz w:val="24"/>
          <w:szCs w:val="24"/>
        </w:rPr>
        <w:t xml:space="preserve">olds </w:t>
      </w:r>
      <w:r w:rsidRPr="00920D6E">
        <w:rPr>
          <w:b w:val="0"/>
          <w:color w:val="auto"/>
          <w:sz w:val="24"/>
          <w:szCs w:val="24"/>
        </w:rPr>
        <w:t xml:space="preserve">using trial data up to </w:t>
      </w:r>
      <w:r>
        <w:rPr>
          <w:b w:val="0"/>
          <w:color w:val="auto"/>
          <w:sz w:val="24"/>
          <w:szCs w:val="24"/>
        </w:rPr>
        <w:t>4</w:t>
      </w:r>
      <w:r w:rsidRPr="00920D6E">
        <w:rPr>
          <w:b w:val="0"/>
          <w:color w:val="auto"/>
          <w:sz w:val="24"/>
          <w:szCs w:val="24"/>
        </w:rPr>
        <w:t xml:space="preserve"> years</w:t>
      </w:r>
      <w:r>
        <w:rPr>
          <w:b w:val="0"/>
          <w:color w:val="auto"/>
          <w:sz w:val="24"/>
          <w:szCs w:val="24"/>
        </w:rPr>
        <w:t xml:space="preserve">. </w:t>
      </w:r>
      <w:r w:rsidR="003333B7">
        <w:rPr>
          <w:b w:val="0"/>
          <w:color w:val="auto"/>
          <w:sz w:val="24"/>
          <w:szCs w:val="24"/>
        </w:rPr>
        <w:t>The function was estimated at 0.992 (±0.018) – 0.041 (±0.012)*years, with R</w:t>
      </w:r>
      <w:r w:rsidR="003333B7">
        <w:rPr>
          <w:b w:val="0"/>
          <w:color w:val="auto"/>
          <w:sz w:val="24"/>
          <w:szCs w:val="24"/>
          <w:vertAlign w:val="superscript"/>
        </w:rPr>
        <w:t>2</w:t>
      </w:r>
      <w:r w:rsidR="003333B7">
        <w:rPr>
          <w:b w:val="0"/>
          <w:color w:val="auto"/>
          <w:sz w:val="24"/>
          <w:szCs w:val="24"/>
        </w:rPr>
        <w:t xml:space="preserve"> = 0.857. Note that the x-axis starts at 0.5.</w:t>
      </w:r>
      <w:r w:rsidR="0023467D">
        <w:rPr>
          <w:b w:val="0"/>
          <w:color w:val="auto"/>
          <w:sz w:val="24"/>
          <w:szCs w:val="24"/>
        </w:rPr>
        <w:t xml:space="preserve"> </w:t>
      </w:r>
      <w:r w:rsidR="0023467D" w:rsidRPr="00E1511A">
        <w:rPr>
          <w:b w:val="0"/>
          <w:color w:val="auto"/>
          <w:sz w:val="24"/>
          <w:szCs w:val="24"/>
        </w:rPr>
        <w:t xml:space="preserve">HZ: Herpes zoster, </w:t>
      </w:r>
      <w:r w:rsidR="0023467D">
        <w:rPr>
          <w:b w:val="0"/>
          <w:color w:val="auto"/>
          <w:sz w:val="24"/>
          <w:szCs w:val="24"/>
        </w:rPr>
        <w:t>VE: Vaccine efficacy.</w:t>
      </w:r>
    </w:p>
    <w:p w:rsidR="00AD1E82" w:rsidRDefault="00AD1E82" w:rsidP="00AD1E82">
      <w:pPr>
        <w:pStyle w:val="Caption"/>
        <w:rPr>
          <w:b w:val="0"/>
          <w:color w:val="auto"/>
          <w:sz w:val="24"/>
          <w:szCs w:val="24"/>
        </w:rPr>
      </w:pPr>
    </w:p>
    <w:p w:rsidR="00AD1E82" w:rsidRPr="00920D6E" w:rsidRDefault="00AD1E82" w:rsidP="00AD1E82">
      <w:pPr>
        <w:pStyle w:val="Caption"/>
        <w:rPr>
          <w:b w:val="0"/>
          <w:sz w:val="24"/>
          <w:szCs w:val="24"/>
        </w:rPr>
      </w:pPr>
      <w:r w:rsidRPr="00920D6E">
        <w:rPr>
          <w:b w:val="0"/>
          <w:sz w:val="24"/>
          <w:szCs w:val="24"/>
        </w:rPr>
        <w:br w:type="page"/>
      </w:r>
    </w:p>
    <w:p w:rsidR="00AD1E82" w:rsidRDefault="00AD1E82" w:rsidP="00AD1E82">
      <w:pPr>
        <w:ind w:firstLine="720"/>
      </w:pPr>
      <w:r w:rsidRPr="008802FF">
        <w:lastRenderedPageBreak/>
        <w:t xml:space="preserve">Efficacy of ZVL over time was modelled using data from published clinical trials. The Shingles Prevention Study (SPS) reported efficacy of ZVL among immunocompetent </w:t>
      </w:r>
      <w:r w:rsidR="00187158">
        <w:rPr>
          <w:sz w:val="20"/>
        </w:rPr>
        <w:t>≥</w:t>
      </w:r>
      <w:r w:rsidRPr="008802FF">
        <w:t>60</w:t>
      </w:r>
      <w:r w:rsidR="00187158">
        <w:t>-</w:t>
      </w:r>
      <w:r w:rsidRPr="008802FF">
        <w:t>year-olds through 4 years, with a mean follow-up of 3.1 years</w:t>
      </w:r>
      <w:r w:rsidR="0075366F">
        <w:t xml:space="preserve"> </w:t>
      </w:r>
      <w:r w:rsidR="0075366F">
        <w:rPr>
          <w:noProof/>
        </w:rPr>
        <w:t>[17]</w:t>
      </w:r>
      <w:r w:rsidR="0075366F">
        <w:t>.</w:t>
      </w:r>
      <w:r w:rsidRPr="008802FF">
        <w:t xml:space="preserve"> After the SPS, </w:t>
      </w:r>
      <w:proofErr w:type="gramStart"/>
      <w:r w:rsidRPr="008802FF">
        <w:t>a subset of the participants were</w:t>
      </w:r>
      <w:proofErr w:type="gramEnd"/>
      <w:r w:rsidRPr="008802FF">
        <w:t xml:space="preserve"> enrolled in the STPS, which reported efficacy from 3.3 to 7.8 years post-vaccination</w:t>
      </w:r>
      <w:r w:rsidR="0075366F">
        <w:t xml:space="preserve"> </w:t>
      </w:r>
      <w:r w:rsidR="0075366F">
        <w:rPr>
          <w:noProof/>
        </w:rPr>
        <w:t>[18]</w:t>
      </w:r>
      <w:r w:rsidR="0075366F">
        <w:t>.</w:t>
      </w:r>
      <w:r w:rsidRPr="008802FF">
        <w:t xml:space="preserve"> The LTPS further assessed the duration of efficacy by following a cohort of SPS vaccine recipients from 4.7 to as long as 11.6 years post-vaccination</w:t>
      </w:r>
      <w:r w:rsidR="0075366F">
        <w:t xml:space="preserve"> </w:t>
      </w:r>
      <w:r w:rsidR="0075366F">
        <w:rPr>
          <w:noProof/>
        </w:rPr>
        <w:t>[19]</w:t>
      </w:r>
      <w:r w:rsidR="0075366F">
        <w:t>.</w:t>
      </w:r>
      <w:r>
        <w:t xml:space="preserve"> </w:t>
      </w:r>
      <w:r w:rsidRPr="008802FF">
        <w:t xml:space="preserve">As no placebo control was available </w:t>
      </w:r>
      <w:r>
        <w:t>in</w:t>
      </w:r>
      <w:r w:rsidRPr="008802FF">
        <w:t xml:space="preserve"> the LTPS study, the efficacy </w:t>
      </w:r>
      <w:r w:rsidR="003523E8">
        <w:t>for this period</w:t>
      </w:r>
      <w:r w:rsidR="003523E8" w:rsidRPr="008802FF">
        <w:t xml:space="preserve"> </w:t>
      </w:r>
      <w:r w:rsidRPr="008802FF">
        <w:t xml:space="preserve">was estimated using a historical control group. </w:t>
      </w:r>
      <w:r>
        <w:t xml:space="preserve">A one-minus-exponential function was fitted on the annual vaccine efficacy data for </w:t>
      </w:r>
      <w:r w:rsidR="00187158">
        <w:rPr>
          <w:sz w:val="20"/>
        </w:rPr>
        <w:t>≥</w:t>
      </w:r>
      <w:r>
        <w:t>60</w:t>
      </w:r>
      <w:r w:rsidR="00187158">
        <w:t>-</w:t>
      </w:r>
      <w:r>
        <w:t>year-olds with the standard error as a weighting factor. This type of function provided a be</w:t>
      </w:r>
      <w:r w:rsidR="005069EE">
        <w:t>tter fit as compared with a linear function or other knee-shaped and</w:t>
      </w:r>
      <w:r>
        <w:t xml:space="preserve"> elbow-shaped functions. The one-minus-exponential function is shown in </w:t>
      </w:r>
      <w:r w:rsidR="008B5DEE" w:rsidRPr="008B5DEE">
        <w:t>Figure S7</w:t>
      </w:r>
      <w:r>
        <w:t>.</w:t>
      </w:r>
    </w:p>
    <w:p w:rsidR="00AD1E82" w:rsidRDefault="00B06E91" w:rsidP="00AD1E82">
      <w:pPr>
        <w:keepNext/>
      </w:pPr>
      <w:r>
        <w:rPr>
          <w:noProof/>
          <w:lang w:val="en-US"/>
        </w:rPr>
        <w:drawing>
          <wp:inline distT="0" distB="0" distL="0" distR="0">
            <wp:extent cx="5062728" cy="2907792"/>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2728" cy="2907792"/>
                    </a:xfrm>
                    <a:prstGeom prst="rect">
                      <a:avLst/>
                    </a:prstGeom>
                  </pic:spPr>
                </pic:pic>
              </a:graphicData>
            </a:graphic>
          </wp:inline>
        </w:drawing>
      </w:r>
    </w:p>
    <w:p w:rsidR="00AD1E82" w:rsidRPr="00AD2D23" w:rsidRDefault="00AD1E82" w:rsidP="00AD1E82">
      <w:pPr>
        <w:pStyle w:val="Caption"/>
        <w:rPr>
          <w:b w:val="0"/>
          <w:color w:val="auto"/>
          <w:sz w:val="24"/>
          <w:szCs w:val="24"/>
        </w:rPr>
      </w:pPr>
      <w:bookmarkStart w:id="12" w:name="_Ref513456882"/>
      <w:r w:rsidRPr="00AD2D23">
        <w:rPr>
          <w:b w:val="0"/>
          <w:color w:val="auto"/>
          <w:sz w:val="24"/>
          <w:szCs w:val="24"/>
        </w:rPr>
        <w:t>Figure S</w:t>
      </w:r>
      <w:r w:rsidR="00864629">
        <w:rPr>
          <w:b w:val="0"/>
          <w:noProof/>
          <w:color w:val="auto"/>
          <w:sz w:val="24"/>
          <w:szCs w:val="24"/>
        </w:rPr>
        <w:t>7</w:t>
      </w:r>
      <w:bookmarkEnd w:id="12"/>
      <w:r w:rsidRPr="00AD2D23">
        <w:rPr>
          <w:b w:val="0"/>
          <w:color w:val="auto"/>
          <w:sz w:val="24"/>
          <w:szCs w:val="24"/>
        </w:rPr>
        <w:t xml:space="preserve">: </w:t>
      </w:r>
      <w:r>
        <w:rPr>
          <w:b w:val="0"/>
          <w:color w:val="auto"/>
          <w:sz w:val="24"/>
          <w:szCs w:val="24"/>
        </w:rPr>
        <w:t>The one-minus-exponential function that was fitted for the live-</w:t>
      </w:r>
      <w:r w:rsidRPr="00AD2D23">
        <w:rPr>
          <w:b w:val="0"/>
          <w:color w:val="auto"/>
          <w:sz w:val="24"/>
          <w:szCs w:val="24"/>
        </w:rPr>
        <w:t>attenuated vaccine (zoster vaccine live [ZVL]) using trial data up to 11 years</w:t>
      </w:r>
      <w:r w:rsidR="0075366F">
        <w:rPr>
          <w:b w:val="0"/>
          <w:color w:val="auto"/>
          <w:sz w:val="24"/>
          <w:szCs w:val="24"/>
        </w:rPr>
        <w:t xml:space="preserve"> </w:t>
      </w:r>
      <w:r w:rsidR="0075366F">
        <w:rPr>
          <w:b w:val="0"/>
          <w:noProof/>
          <w:color w:val="auto"/>
          <w:sz w:val="24"/>
          <w:szCs w:val="24"/>
        </w:rPr>
        <w:t>[19]</w:t>
      </w:r>
      <w:r w:rsidR="0075366F">
        <w:rPr>
          <w:b w:val="0"/>
          <w:color w:val="auto"/>
          <w:sz w:val="24"/>
          <w:szCs w:val="24"/>
        </w:rPr>
        <w:t>.</w:t>
      </w:r>
      <w:r w:rsidRPr="00AD2D23">
        <w:rPr>
          <w:b w:val="0"/>
          <w:color w:val="auto"/>
          <w:sz w:val="24"/>
          <w:szCs w:val="24"/>
        </w:rPr>
        <w:t xml:space="preserve"> </w:t>
      </w:r>
      <w:r w:rsidR="003333B7">
        <w:rPr>
          <w:b w:val="0"/>
          <w:color w:val="auto"/>
          <w:sz w:val="24"/>
          <w:szCs w:val="24"/>
        </w:rPr>
        <w:t xml:space="preserve">The function was estimated at 1- </w:t>
      </w:r>
      <w:proofErr w:type="spellStart"/>
      <w:proofErr w:type="gramStart"/>
      <w:r w:rsidR="003333B7">
        <w:rPr>
          <w:b w:val="0"/>
          <w:color w:val="auto"/>
          <w:sz w:val="24"/>
          <w:szCs w:val="24"/>
        </w:rPr>
        <w:t>exp</w:t>
      </w:r>
      <w:proofErr w:type="spellEnd"/>
      <w:r w:rsidR="003333B7">
        <w:rPr>
          <w:b w:val="0"/>
          <w:color w:val="auto"/>
          <w:sz w:val="24"/>
          <w:szCs w:val="24"/>
        </w:rPr>
        <w:t>(</w:t>
      </w:r>
      <w:proofErr w:type="gramEnd"/>
      <w:r w:rsidR="008B5DEE">
        <w:rPr>
          <w:b w:val="0"/>
          <w:color w:val="auto"/>
          <w:sz w:val="24"/>
          <w:szCs w:val="24"/>
        </w:rPr>
        <w:t>-0.893</w:t>
      </w:r>
      <w:r w:rsidR="003333B7">
        <w:rPr>
          <w:b w:val="0"/>
          <w:color w:val="auto"/>
          <w:sz w:val="24"/>
          <w:szCs w:val="24"/>
        </w:rPr>
        <w:t xml:space="preserve"> (±</w:t>
      </w:r>
      <w:r w:rsidR="008B5DEE">
        <w:rPr>
          <w:b w:val="0"/>
          <w:color w:val="auto"/>
          <w:sz w:val="24"/>
          <w:szCs w:val="24"/>
        </w:rPr>
        <w:t>0.074</w:t>
      </w:r>
      <w:r w:rsidR="003333B7">
        <w:rPr>
          <w:b w:val="0"/>
          <w:color w:val="auto"/>
          <w:sz w:val="24"/>
          <w:szCs w:val="24"/>
        </w:rPr>
        <w:t>) – 0.0</w:t>
      </w:r>
      <w:r w:rsidR="008B5DEE">
        <w:rPr>
          <w:b w:val="0"/>
          <w:color w:val="auto"/>
          <w:sz w:val="24"/>
          <w:szCs w:val="24"/>
        </w:rPr>
        <w:t>81</w:t>
      </w:r>
      <w:r w:rsidR="003333B7">
        <w:rPr>
          <w:b w:val="0"/>
          <w:color w:val="auto"/>
          <w:sz w:val="24"/>
          <w:szCs w:val="24"/>
        </w:rPr>
        <w:t xml:space="preserve"> (±0.01</w:t>
      </w:r>
      <w:r w:rsidR="008B5DEE">
        <w:rPr>
          <w:b w:val="0"/>
          <w:color w:val="auto"/>
          <w:sz w:val="24"/>
          <w:szCs w:val="24"/>
        </w:rPr>
        <w:t>2</w:t>
      </w:r>
      <w:r w:rsidR="003333B7">
        <w:rPr>
          <w:b w:val="0"/>
          <w:color w:val="auto"/>
          <w:sz w:val="24"/>
          <w:szCs w:val="24"/>
        </w:rPr>
        <w:t>)*years</w:t>
      </w:r>
      <w:r w:rsidR="008B5DEE">
        <w:rPr>
          <w:b w:val="0"/>
          <w:color w:val="auto"/>
          <w:sz w:val="24"/>
          <w:szCs w:val="24"/>
        </w:rPr>
        <w:t>)</w:t>
      </w:r>
      <w:r w:rsidR="003333B7">
        <w:rPr>
          <w:b w:val="0"/>
          <w:color w:val="auto"/>
          <w:sz w:val="24"/>
          <w:szCs w:val="24"/>
        </w:rPr>
        <w:t>, with R</w:t>
      </w:r>
      <w:r w:rsidR="003333B7">
        <w:rPr>
          <w:b w:val="0"/>
          <w:color w:val="auto"/>
          <w:sz w:val="24"/>
          <w:szCs w:val="24"/>
          <w:vertAlign w:val="superscript"/>
        </w:rPr>
        <w:t>2</w:t>
      </w:r>
      <w:r w:rsidR="003333B7">
        <w:rPr>
          <w:b w:val="0"/>
          <w:color w:val="auto"/>
          <w:sz w:val="24"/>
          <w:szCs w:val="24"/>
        </w:rPr>
        <w:t xml:space="preserve"> = 0.8</w:t>
      </w:r>
      <w:r w:rsidR="008B5DEE">
        <w:rPr>
          <w:b w:val="0"/>
          <w:color w:val="auto"/>
          <w:sz w:val="24"/>
          <w:szCs w:val="24"/>
        </w:rPr>
        <w:t>40</w:t>
      </w:r>
      <w:r w:rsidR="003333B7">
        <w:rPr>
          <w:b w:val="0"/>
          <w:color w:val="auto"/>
          <w:sz w:val="24"/>
          <w:szCs w:val="24"/>
        </w:rPr>
        <w:t>.</w:t>
      </w:r>
      <w:r w:rsidR="0023467D">
        <w:rPr>
          <w:b w:val="0"/>
          <w:color w:val="auto"/>
          <w:sz w:val="24"/>
          <w:szCs w:val="24"/>
        </w:rPr>
        <w:t xml:space="preserve"> </w:t>
      </w:r>
      <w:r w:rsidR="0023467D" w:rsidRPr="00E1511A">
        <w:rPr>
          <w:b w:val="0"/>
          <w:color w:val="auto"/>
          <w:sz w:val="24"/>
          <w:szCs w:val="24"/>
        </w:rPr>
        <w:t xml:space="preserve">HZ: Herpes zoster, </w:t>
      </w:r>
      <w:r w:rsidR="0023467D">
        <w:rPr>
          <w:b w:val="0"/>
          <w:color w:val="auto"/>
          <w:sz w:val="24"/>
          <w:szCs w:val="24"/>
        </w:rPr>
        <w:t>VE: Vaccine efficacy.</w:t>
      </w:r>
    </w:p>
    <w:p w:rsidR="00AD1E82" w:rsidRDefault="00AD1E82" w:rsidP="00AD1E82"/>
    <w:p w:rsidR="00AD1E82" w:rsidRDefault="00AD1E82" w:rsidP="00AD1E82">
      <w:pPr>
        <w:ind w:firstLine="720"/>
      </w:pPr>
      <w:r w:rsidRPr="008802FF">
        <w:lastRenderedPageBreak/>
        <w:t xml:space="preserve">The SPS study showed a decline of vaccine efficacy by increasing age. Therefore, we adjusted the vaccine efficacy </w:t>
      </w:r>
      <w:r>
        <w:t>per</w:t>
      </w:r>
      <w:r w:rsidRPr="008802FF">
        <w:t xml:space="preserve"> age</w:t>
      </w:r>
      <w:r>
        <w:t>-group</w:t>
      </w:r>
      <w:r w:rsidRPr="008802FF">
        <w:t xml:space="preserve"> using age-specific risk ratios (</w:t>
      </w:r>
      <w:r w:rsidR="008B5DEE">
        <w:t>see main document</w:t>
      </w:r>
      <w:r w:rsidRPr="008802FF">
        <w:t>).</w:t>
      </w:r>
      <w:r>
        <w:t xml:space="preserve"> Risk ratios were estimated by dividing the age-specific vaccine efficacy estimate of the SPS by the aggregated efficacy. Intercepts were multiplied by the age-specific risk</w:t>
      </w:r>
      <w:r w:rsidR="005069EE">
        <w:t xml:space="preserve"> ratio. The risk ratio of 50- to 59-year-olds </w:t>
      </w:r>
      <w:r>
        <w:t>was calculated using data from an additional trial performed in this age-group</w:t>
      </w:r>
      <w:r w:rsidR="0075366F">
        <w:t xml:space="preserve"> </w:t>
      </w:r>
      <w:r w:rsidR="0075366F">
        <w:rPr>
          <w:noProof/>
        </w:rPr>
        <w:t>[20]</w:t>
      </w:r>
      <w:r w:rsidR="0075366F">
        <w:t>.</w:t>
      </w:r>
      <w:r>
        <w:t xml:space="preserve"> However, as the follow-up period of the trial was only 1.3 years, we first extrapolated the efficacy estimate to 3.1 years using the waning function that </w:t>
      </w:r>
      <w:r w:rsidR="005069EE">
        <w:t>we</w:t>
      </w:r>
      <w:r>
        <w:t xml:space="preserve"> estimated for </w:t>
      </w:r>
      <w:r w:rsidR="00187158">
        <w:rPr>
          <w:sz w:val="20"/>
        </w:rPr>
        <w:t>≥</w:t>
      </w:r>
      <w:r>
        <w:t>60</w:t>
      </w:r>
      <w:r w:rsidR="00187158">
        <w:t>-</w:t>
      </w:r>
      <w:r>
        <w:t>year-olds. We assumed that all age-groups had the same waning rate.</w:t>
      </w:r>
    </w:p>
    <w:p w:rsidR="00AD1E82" w:rsidRDefault="00AD1E82" w:rsidP="00AD1E82"/>
    <w:p w:rsidR="00AD1E82" w:rsidRDefault="00B06E91" w:rsidP="00AD1E82">
      <w:pPr>
        <w:keepNext/>
      </w:pPr>
      <w:r>
        <w:rPr>
          <w:noProof/>
          <w:lang w:val="en-US"/>
        </w:rPr>
        <w:drawing>
          <wp:inline distT="0" distB="0" distL="0" distR="0">
            <wp:extent cx="5108448" cy="31120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08448" cy="3112008"/>
                    </a:xfrm>
                    <a:prstGeom prst="rect">
                      <a:avLst/>
                    </a:prstGeom>
                  </pic:spPr>
                </pic:pic>
              </a:graphicData>
            </a:graphic>
          </wp:inline>
        </w:drawing>
      </w:r>
    </w:p>
    <w:p w:rsidR="00AD1E82" w:rsidRPr="00E1511A" w:rsidRDefault="00AD1E82" w:rsidP="00AD1E82">
      <w:pPr>
        <w:pStyle w:val="Caption"/>
        <w:rPr>
          <w:b w:val="0"/>
          <w:color w:val="auto"/>
          <w:sz w:val="24"/>
          <w:szCs w:val="24"/>
        </w:rPr>
      </w:pPr>
      <w:bookmarkStart w:id="13" w:name="_Ref513630144"/>
      <w:r w:rsidRPr="00E1511A">
        <w:rPr>
          <w:b w:val="0"/>
          <w:color w:val="auto"/>
          <w:sz w:val="24"/>
          <w:szCs w:val="24"/>
        </w:rPr>
        <w:t>Figure S</w:t>
      </w:r>
      <w:r w:rsidR="00864629">
        <w:rPr>
          <w:b w:val="0"/>
          <w:noProof/>
          <w:color w:val="auto"/>
          <w:sz w:val="24"/>
          <w:szCs w:val="24"/>
        </w:rPr>
        <w:t>8</w:t>
      </w:r>
      <w:bookmarkEnd w:id="13"/>
      <w:r w:rsidRPr="00E1511A">
        <w:rPr>
          <w:b w:val="0"/>
          <w:color w:val="auto"/>
          <w:sz w:val="24"/>
          <w:szCs w:val="24"/>
        </w:rPr>
        <w:t xml:space="preserve">: Modelled vaccine efficacy of the herpes zoster subunit vaccine (two doses within </w:t>
      </w:r>
      <w:r w:rsidR="00753D06">
        <w:rPr>
          <w:b w:val="0"/>
          <w:color w:val="auto"/>
          <w:sz w:val="24"/>
          <w:szCs w:val="24"/>
        </w:rPr>
        <w:t>2</w:t>
      </w:r>
      <w:r w:rsidRPr="00E1511A">
        <w:rPr>
          <w:b w:val="0"/>
          <w:color w:val="auto"/>
          <w:sz w:val="24"/>
          <w:szCs w:val="24"/>
        </w:rPr>
        <w:t xml:space="preserve"> months) and zoster vaccine live (</w:t>
      </w:r>
      <w:r w:rsidR="00753D06">
        <w:rPr>
          <w:b w:val="0"/>
          <w:color w:val="auto"/>
          <w:sz w:val="24"/>
          <w:szCs w:val="24"/>
        </w:rPr>
        <w:t>single</w:t>
      </w:r>
      <w:r w:rsidRPr="00E1511A">
        <w:rPr>
          <w:b w:val="0"/>
          <w:color w:val="auto"/>
          <w:sz w:val="24"/>
          <w:szCs w:val="24"/>
        </w:rPr>
        <w:t xml:space="preserve"> </w:t>
      </w:r>
      <w:proofErr w:type="gramStart"/>
      <w:r w:rsidRPr="00E1511A">
        <w:rPr>
          <w:b w:val="0"/>
          <w:color w:val="auto"/>
          <w:sz w:val="24"/>
          <w:szCs w:val="24"/>
        </w:rPr>
        <w:t>dose,</w:t>
      </w:r>
      <w:proofErr w:type="gramEnd"/>
      <w:r w:rsidRPr="00E1511A">
        <w:rPr>
          <w:b w:val="0"/>
          <w:color w:val="auto"/>
          <w:sz w:val="24"/>
          <w:szCs w:val="24"/>
        </w:rPr>
        <w:t xml:space="preserve"> or </w:t>
      </w:r>
      <w:r w:rsidR="00753D06">
        <w:rPr>
          <w:b w:val="0"/>
          <w:color w:val="auto"/>
          <w:sz w:val="24"/>
          <w:szCs w:val="24"/>
        </w:rPr>
        <w:t>single</w:t>
      </w:r>
      <w:r w:rsidRPr="00E1511A">
        <w:rPr>
          <w:b w:val="0"/>
          <w:color w:val="auto"/>
          <w:sz w:val="24"/>
          <w:szCs w:val="24"/>
        </w:rPr>
        <w:t xml:space="preserve"> dose </w:t>
      </w:r>
      <w:r w:rsidR="00753D06">
        <w:rPr>
          <w:b w:val="0"/>
          <w:color w:val="auto"/>
          <w:sz w:val="24"/>
          <w:szCs w:val="24"/>
        </w:rPr>
        <w:t>with</w:t>
      </w:r>
      <w:r w:rsidRPr="00E1511A">
        <w:rPr>
          <w:b w:val="0"/>
          <w:color w:val="auto"/>
          <w:sz w:val="24"/>
          <w:szCs w:val="24"/>
        </w:rPr>
        <w:t xml:space="preserve"> booster after 10 years) over time by vaccination age. HZ: Herpes zoster, HZ/su: Herpes zoster subunit vaccine, VE: Vaccine efficacy, ZVL: Zoster </w:t>
      </w:r>
      <w:proofErr w:type="gramStart"/>
      <w:r w:rsidRPr="00E1511A">
        <w:rPr>
          <w:b w:val="0"/>
          <w:color w:val="auto"/>
          <w:sz w:val="24"/>
          <w:szCs w:val="24"/>
        </w:rPr>
        <w:t>vaccine live</w:t>
      </w:r>
      <w:proofErr w:type="gramEnd"/>
      <w:r w:rsidRPr="00E1511A">
        <w:rPr>
          <w:b w:val="0"/>
          <w:color w:val="auto"/>
          <w:sz w:val="24"/>
          <w:szCs w:val="24"/>
        </w:rPr>
        <w:t>.</w:t>
      </w:r>
    </w:p>
    <w:p w:rsidR="00AD1E82" w:rsidRDefault="00AD1E82" w:rsidP="00AD1E82">
      <w:pPr>
        <w:spacing w:line="240" w:lineRule="auto"/>
      </w:pPr>
      <w:r>
        <w:br w:type="page"/>
      </w:r>
    </w:p>
    <w:p w:rsidR="005069EE" w:rsidRDefault="005069EE" w:rsidP="005069EE">
      <w:pPr>
        <w:pStyle w:val="Heading2"/>
      </w:pPr>
      <w:r>
        <w:lastRenderedPageBreak/>
        <w:t>Sensitivity analysis</w:t>
      </w:r>
    </w:p>
    <w:p w:rsidR="005069EE" w:rsidRDefault="005069EE" w:rsidP="005069EE">
      <w:r>
        <w:t xml:space="preserve">We performed several one-way deterministic sensitivity analyses. As the Dutch cost-effectiveness guideline recommends that the lifetime horizon should be long </w:t>
      </w:r>
      <w:r w:rsidRPr="00B85CF4">
        <w:t>enough to capture all the differential effects of the options</w:t>
      </w:r>
      <w:r w:rsidR="0075366F">
        <w:t xml:space="preserve"> </w:t>
      </w:r>
      <w:r w:rsidR="0075366F">
        <w:rPr>
          <w:noProof/>
        </w:rPr>
        <w:t>[10]</w:t>
      </w:r>
      <w:r>
        <w:t xml:space="preserve">, we </w:t>
      </w:r>
      <w:r w:rsidR="00B4521C">
        <w:t xml:space="preserve">also </w:t>
      </w:r>
      <w:r>
        <w:t xml:space="preserve">showed results over a lifetime time-horizon. </w:t>
      </w:r>
      <w:r w:rsidR="00B4521C">
        <w:t>Additionally, w</w:t>
      </w:r>
      <w:r>
        <w:t xml:space="preserve">e performed a scenario analysis in which we used incidence estimates of an immunocompetent target-group. </w:t>
      </w:r>
      <w:r w:rsidRPr="008802FF">
        <w:t>Based on published data from Germany and UK, we estimated that the incidence of HZ-related GP visit, hospitalizations and deaths was 0.78, 0.88 and 0.87</w:t>
      </w:r>
      <w:r>
        <w:t xml:space="preserve"> times lower </w:t>
      </w:r>
      <w:r w:rsidRPr="008802FF">
        <w:t>among the immunocompetent population as compared with the total population</w:t>
      </w:r>
      <w:r w:rsidR="0075366F">
        <w:t xml:space="preserve"> </w:t>
      </w:r>
      <w:r w:rsidR="0075366F">
        <w:rPr>
          <w:noProof/>
        </w:rPr>
        <w:t>[21, 22]</w:t>
      </w:r>
      <w:r w:rsidR="0075366F">
        <w:t>.</w:t>
      </w:r>
      <w:r w:rsidRPr="008802FF">
        <w:t xml:space="preserve"> </w:t>
      </w:r>
      <w:r>
        <w:t xml:space="preserve">Subsequently, </w:t>
      </w:r>
      <w:r w:rsidRPr="008802FF">
        <w:t xml:space="preserve">the Dutch incidence rates </w:t>
      </w:r>
      <w:r>
        <w:t xml:space="preserve">were multiplied </w:t>
      </w:r>
      <w:r w:rsidRPr="008802FF">
        <w:t>by these risk ratios.</w:t>
      </w:r>
      <w:r>
        <w:t xml:space="preserve"> Concerning health effects we </w:t>
      </w:r>
      <w:r w:rsidRPr="008802FF">
        <w:t>explored</w:t>
      </w:r>
      <w:r>
        <w:t xml:space="preserve"> </w:t>
      </w:r>
      <w:r w:rsidR="00D917EE">
        <w:t>disutilities of HZ by pain state and total QALY losses per HZ case that have been previously estimated by Van Hoek et al.</w:t>
      </w:r>
      <w:r w:rsidR="00CA075C">
        <w:t xml:space="preserve"> et al.</w:t>
      </w:r>
      <w:r w:rsidR="0075366F">
        <w:rPr>
          <w:noProof/>
        </w:rPr>
        <w:t>[23]</w:t>
      </w:r>
      <w:r w:rsidR="00D917EE">
        <w:t xml:space="preserve"> </w:t>
      </w:r>
      <w:r w:rsidR="00CA075C">
        <w:t xml:space="preserve">Moreover, </w:t>
      </w:r>
      <w:r>
        <w:t>a scenario</w:t>
      </w:r>
      <w:r w:rsidR="00F94B75">
        <w:t xml:space="preserve"> was performed</w:t>
      </w:r>
      <w:r w:rsidRPr="008802FF">
        <w:t xml:space="preserve"> in which a</w:t>
      </w:r>
      <w:r w:rsidR="008D00B7">
        <w:t xml:space="preserve"> </w:t>
      </w:r>
      <w:r w:rsidRPr="008802FF">
        <w:t xml:space="preserve">QALY </w:t>
      </w:r>
      <w:r>
        <w:t>loss</w:t>
      </w:r>
      <w:r w:rsidRPr="008802FF">
        <w:t xml:space="preserve"> </w:t>
      </w:r>
      <w:r w:rsidR="00B4521C">
        <w:t>due to</w:t>
      </w:r>
      <w:r>
        <w:t xml:space="preserve"> </w:t>
      </w:r>
      <w:r w:rsidR="00F94B75">
        <w:t xml:space="preserve">grade 3 </w:t>
      </w:r>
      <w:r>
        <w:t xml:space="preserve">adverse events </w:t>
      </w:r>
      <w:r w:rsidR="00F94B75">
        <w:t xml:space="preserve">at injection-site </w:t>
      </w:r>
      <w:r>
        <w:t>w</w:t>
      </w:r>
      <w:r w:rsidR="00B4521C">
        <w:t>as</w:t>
      </w:r>
      <w:r>
        <w:t xml:space="preserve"> </w:t>
      </w:r>
      <w:r w:rsidR="00F94B75">
        <w:t>included</w:t>
      </w:r>
      <w:r>
        <w:t>.</w:t>
      </w:r>
      <w:r w:rsidR="00F94B75">
        <w:t xml:space="preserve"> In the trials, grade 3 adverse events were defined as events that prevented normal everyday activities during 1-3 days. The </w:t>
      </w:r>
      <w:r w:rsidR="00B4521C">
        <w:t>risk difference</w:t>
      </w:r>
      <w:r w:rsidR="00F94B75">
        <w:t xml:space="preserve"> of patients with</w:t>
      </w:r>
      <w:r w:rsidR="00887E85">
        <w:t xml:space="preserve"> </w:t>
      </w:r>
      <w:r w:rsidR="00F94B75">
        <w:t xml:space="preserve">grade 3 adverse </w:t>
      </w:r>
      <w:r w:rsidR="00753D06">
        <w:t>events</w:t>
      </w:r>
      <w:r w:rsidR="00B4521C">
        <w:t xml:space="preserve"> between the vaccine arm and placebo </w:t>
      </w:r>
      <w:r w:rsidR="00753D06">
        <w:t xml:space="preserve">arm </w:t>
      </w:r>
      <w:r w:rsidR="00B4521C">
        <w:t>was</w:t>
      </w:r>
      <w:r w:rsidR="00F94B75">
        <w:t xml:space="preserve"> 13.</w:t>
      </w:r>
      <w:r w:rsidR="00B4521C">
        <w:t>4</w:t>
      </w:r>
      <w:r w:rsidR="00F94B75">
        <w:t>% for HZ/su and 0.9% for ZVL</w:t>
      </w:r>
      <w:r w:rsidR="0075366F">
        <w:t xml:space="preserve"> </w:t>
      </w:r>
      <w:r w:rsidR="0075366F">
        <w:rPr>
          <w:noProof/>
        </w:rPr>
        <w:t>[14, 15, 17, 24]</w:t>
      </w:r>
      <w:r w:rsidR="0075366F">
        <w:t>.</w:t>
      </w:r>
      <w:r>
        <w:t xml:space="preserve"> The disutility of</w:t>
      </w:r>
      <w:r w:rsidR="00887E85">
        <w:t xml:space="preserve"> </w:t>
      </w:r>
      <w:r w:rsidR="00B4521C">
        <w:t>a</w:t>
      </w:r>
      <w:r w:rsidR="00887E85">
        <w:t xml:space="preserve"> grade 3 adverse event </w:t>
      </w:r>
      <w:r>
        <w:t>w</w:t>
      </w:r>
      <w:r w:rsidR="00B4521C">
        <w:t>as</w:t>
      </w:r>
      <w:r>
        <w:t xml:space="preserve"> assumed </w:t>
      </w:r>
      <w:r w:rsidR="00887E85">
        <w:t>at</w:t>
      </w:r>
      <w:r>
        <w:t xml:space="preserve"> </w:t>
      </w:r>
      <w:r w:rsidR="00887E85">
        <w:t>0.</w:t>
      </w:r>
      <w:r w:rsidR="00B4521C">
        <w:t>462</w:t>
      </w:r>
      <w:r>
        <w:t xml:space="preserve"> </w:t>
      </w:r>
      <w:r w:rsidRPr="008802FF">
        <w:t>(a</w:t>
      </w:r>
      <w:r>
        <w:t xml:space="preserve"> shift from n</w:t>
      </w:r>
      <w:r w:rsidRPr="008802FF">
        <w:t xml:space="preserve">o </w:t>
      </w:r>
      <w:r w:rsidR="0075407D">
        <w:t>problem with usual activities</w:t>
      </w:r>
      <w:r w:rsidRPr="008802FF">
        <w:t xml:space="preserve"> to</w:t>
      </w:r>
      <w:r>
        <w:t xml:space="preserve"> </w:t>
      </w:r>
      <w:r w:rsidR="00887E85">
        <w:t xml:space="preserve">severe </w:t>
      </w:r>
      <w:r w:rsidR="0075407D">
        <w:t>problems</w:t>
      </w:r>
      <w:r w:rsidR="00B4521C">
        <w:t xml:space="preserve"> with usual activities</w:t>
      </w:r>
      <w:r w:rsidRPr="008802FF">
        <w:t xml:space="preserve"> on the EQ-5D-3L instrument</w:t>
      </w:r>
      <w:r w:rsidR="0075366F">
        <w:t xml:space="preserve"> </w:t>
      </w:r>
      <w:r w:rsidR="0075366F">
        <w:rPr>
          <w:noProof/>
        </w:rPr>
        <w:t>[3]</w:t>
      </w:r>
      <w:r w:rsidRPr="008802FF">
        <w:t>)</w:t>
      </w:r>
      <w:r w:rsidR="00B4521C">
        <w:t xml:space="preserve"> and t</w:t>
      </w:r>
      <w:r>
        <w:t>he me</w:t>
      </w:r>
      <w:r w:rsidR="00F94B75">
        <w:t>dian</w:t>
      </w:r>
      <w:r>
        <w:t xml:space="preserve"> duration </w:t>
      </w:r>
      <w:r w:rsidR="00753D06">
        <w:t xml:space="preserve">at </w:t>
      </w:r>
      <w:r w:rsidR="0075407D">
        <w:t>2</w:t>
      </w:r>
      <w:r w:rsidR="00887E85">
        <w:t xml:space="preserve"> day</w:t>
      </w:r>
      <w:r w:rsidR="00B4521C">
        <w:t>s</w:t>
      </w:r>
      <w:r w:rsidR="0075366F">
        <w:t xml:space="preserve"> </w:t>
      </w:r>
      <w:r w:rsidR="0075366F">
        <w:rPr>
          <w:noProof/>
        </w:rPr>
        <w:t>[14]</w:t>
      </w:r>
      <w:r w:rsidR="0075366F">
        <w:t>.</w:t>
      </w:r>
      <w:r w:rsidR="00F94B75">
        <w:t xml:space="preserve"> W</w:t>
      </w:r>
      <w:r>
        <w:t>e assumed that th</w:t>
      </w:r>
      <w:r w:rsidR="00B4521C">
        <w:t xml:space="preserve">is disutility and </w:t>
      </w:r>
      <w:r>
        <w:t>duration</w:t>
      </w:r>
      <w:r w:rsidR="00B4521C">
        <w:t xml:space="preserve"> was also</w:t>
      </w:r>
      <w:r>
        <w:t xml:space="preserve"> valid for</w:t>
      </w:r>
      <w:r w:rsidR="00887E85">
        <w:t xml:space="preserve"> </w:t>
      </w:r>
      <w:r w:rsidR="00B4521C">
        <w:t xml:space="preserve">grade 3 </w:t>
      </w:r>
      <w:r w:rsidR="00887E85">
        <w:t xml:space="preserve">adverse events </w:t>
      </w:r>
      <w:r w:rsidR="00753D06">
        <w:t>of</w:t>
      </w:r>
      <w:r w:rsidR="00887E85">
        <w:t xml:space="preserve"> ZVL</w:t>
      </w:r>
      <w:r>
        <w:t>.</w:t>
      </w:r>
      <w:r w:rsidR="00D917EE">
        <w:t xml:space="preserve"> </w:t>
      </w:r>
      <w:r w:rsidR="00E55FE0">
        <w:t>Finally, w</w:t>
      </w:r>
      <w:r w:rsidR="00D917EE">
        <w:t xml:space="preserve">e varied the discount rates </w:t>
      </w:r>
      <w:r w:rsidR="00E55FE0">
        <w:t xml:space="preserve">to an internationally accepted </w:t>
      </w:r>
      <w:r w:rsidR="00D917EE">
        <w:t xml:space="preserve">3% for costs and QALYs and </w:t>
      </w:r>
      <w:r w:rsidR="00E55FE0">
        <w:t xml:space="preserve">to 1.5% for costs and QALYs, according to new guidelines </w:t>
      </w:r>
      <w:r w:rsidR="00B4521C">
        <w:t>for the evaluation of vaccines by</w:t>
      </w:r>
      <w:r w:rsidR="00E55FE0">
        <w:t xml:space="preserve"> the UK Joint Committee on Vaccination and Immunisation</w:t>
      </w:r>
      <w:r w:rsidR="0075366F">
        <w:t xml:space="preserve"> </w:t>
      </w:r>
      <w:r w:rsidR="0075366F">
        <w:rPr>
          <w:noProof/>
        </w:rPr>
        <w:t>[25]</w:t>
      </w:r>
      <w:r w:rsidR="0075366F">
        <w:t>.</w:t>
      </w:r>
    </w:p>
    <w:p w:rsidR="00CE73CA" w:rsidRDefault="00CE73CA" w:rsidP="005069EE">
      <w:r>
        <w:lastRenderedPageBreak/>
        <w:tab/>
      </w:r>
      <w:r w:rsidR="005B099B" w:rsidRPr="005B099B">
        <w:t xml:space="preserve">For HZ/su we performed a scenario analysis in which the adherence of the second dose was altered. Over a limited follow-up period of less than 3 months, the efficacy of a single dose of HZ/su was estimated at 90.1% (95% CI: 58.9-98.8%) for ≥50-year-olds and 69.5% (95% CI: 24.9-89.1%) for ≥70-year-olds, but no data on the waning of efficacy over time was available. Immunogenicity data, however, indicates that one dose of HZ/su induces a considerably lower and less long persisting immune response as compared to two doses </w:t>
      </w:r>
      <w:r w:rsidR="005B099B">
        <w:rPr>
          <w:noProof/>
        </w:rPr>
        <w:t>[26]</w:t>
      </w:r>
      <w:r w:rsidR="005B099B" w:rsidRPr="005B099B">
        <w:t xml:space="preserve">. Given the trend that the efficacy of one dose of HZ/su decreases by increasing age and that the waning is expected to be higher </w:t>
      </w:r>
      <w:r w:rsidR="005B099B">
        <w:t>as compared to</w:t>
      </w:r>
      <w:r w:rsidR="005B099B" w:rsidRPr="005B099B">
        <w:t xml:space="preserve"> two doses, we assumed that the efficacy of one dose of HZ/su is equal to one dose of ZVL.</w:t>
      </w:r>
    </w:p>
    <w:p w:rsidR="005069EE" w:rsidRDefault="005069EE" w:rsidP="005069EE"/>
    <w:p w:rsidR="000E70E4" w:rsidRDefault="005069EE" w:rsidP="001F7602">
      <w:r>
        <w:t xml:space="preserve">For </w:t>
      </w:r>
      <w:r w:rsidR="000E70E4">
        <w:t>Z</w:t>
      </w:r>
      <w:r w:rsidR="004D5C60">
        <w:t>VL we conducted multiple scenario analysis that included the use of additional efficacy against PHN</w:t>
      </w:r>
      <w:r w:rsidR="00753D06">
        <w:t xml:space="preserve"> among vaccinated HZ cases</w:t>
      </w:r>
      <w:r w:rsidR="004D5C60">
        <w:t xml:space="preserve"> and effectiveness data from post-licensure studies. T</w:t>
      </w:r>
      <w:r w:rsidR="000E70E4">
        <w:t xml:space="preserve">he additional efficacy against PHN was </w:t>
      </w:r>
      <w:r w:rsidR="001F7602">
        <w:t xml:space="preserve">obtained from the </w:t>
      </w:r>
      <w:r w:rsidR="004D5C60">
        <w:t xml:space="preserve">SPS </w:t>
      </w:r>
      <w:r w:rsidR="001F7602">
        <w:t>and was estimated</w:t>
      </w:r>
      <w:r w:rsidR="000E70E4">
        <w:t xml:space="preserve"> for the age-groups 60-69, 70-79 and </w:t>
      </w:r>
      <w:r w:rsidR="000E70E4">
        <w:rPr>
          <w:sz w:val="20"/>
        </w:rPr>
        <w:t>≥</w:t>
      </w:r>
      <w:r w:rsidR="000E70E4">
        <w:t>80 years separately, using the equation: (VE</w:t>
      </w:r>
      <w:r w:rsidR="000E70E4">
        <w:rPr>
          <w:vertAlign w:val="subscript"/>
        </w:rPr>
        <w:t>PHN</w:t>
      </w:r>
      <w:r w:rsidR="000E70E4">
        <w:t xml:space="preserve"> – VE</w:t>
      </w:r>
      <w:r w:rsidR="000E70E4">
        <w:rPr>
          <w:vertAlign w:val="subscript"/>
        </w:rPr>
        <w:t>HZ</w:t>
      </w:r>
      <w:r w:rsidR="000E70E4">
        <w:t>) / (1-VE</w:t>
      </w:r>
      <w:r w:rsidR="000E70E4">
        <w:rPr>
          <w:vertAlign w:val="subscript"/>
        </w:rPr>
        <w:t>HZ</w:t>
      </w:r>
      <w:r w:rsidR="000E70E4">
        <w:t xml:space="preserve">), in which VE </w:t>
      </w:r>
      <w:r w:rsidR="00753D06">
        <w:t>is</w:t>
      </w:r>
      <w:r w:rsidR="000E70E4">
        <w:t xml:space="preserve"> vaccine efficacy</w:t>
      </w:r>
      <w:r w:rsidR="0075366F">
        <w:t xml:space="preserve"> </w:t>
      </w:r>
      <w:r w:rsidR="00864629">
        <w:rPr>
          <w:noProof/>
        </w:rPr>
        <w:t>[27]</w:t>
      </w:r>
      <w:r w:rsidR="0075366F">
        <w:t>.</w:t>
      </w:r>
      <w:r w:rsidR="000E70E4">
        <w:t xml:space="preserve"> This resulted in an additional efficacy of 4.8% for 60- to 69-year-olds, 55.4% for 70- to 79-year-olds and 25.9% for </w:t>
      </w:r>
      <w:r w:rsidR="000E70E4">
        <w:rPr>
          <w:sz w:val="20"/>
        </w:rPr>
        <w:t>≥</w:t>
      </w:r>
      <w:r w:rsidR="000E70E4">
        <w:t>80-year-olds</w:t>
      </w:r>
      <w:r w:rsidR="0075366F">
        <w:t xml:space="preserve"> </w:t>
      </w:r>
      <w:r w:rsidR="0075366F">
        <w:rPr>
          <w:noProof/>
        </w:rPr>
        <w:t>[17]</w:t>
      </w:r>
      <w:r w:rsidR="0075366F">
        <w:t>.</w:t>
      </w:r>
      <w:r w:rsidR="001F7602">
        <w:t xml:space="preserve"> These additional efficacies were </w:t>
      </w:r>
      <w:r w:rsidR="00F3765E">
        <w:t>included</w:t>
      </w:r>
      <w:r w:rsidR="001F7602">
        <w:t xml:space="preserve"> </w:t>
      </w:r>
      <w:r w:rsidR="00753D06">
        <w:t xml:space="preserve">in the model </w:t>
      </w:r>
      <w:r w:rsidR="001F7602">
        <w:t xml:space="preserve">by reducing the risk of clinical relevant pain after 3 months of </w:t>
      </w:r>
      <w:r w:rsidR="00753D06">
        <w:t xml:space="preserve">disease </w:t>
      </w:r>
      <w:r w:rsidR="001F7602">
        <w:t xml:space="preserve">onset. </w:t>
      </w:r>
      <w:r w:rsidR="000E70E4">
        <w:t>We assumed that the waning rate of the additional efficacy against PHN was equal to the waning rate of efficacy against HZ.</w:t>
      </w:r>
      <w:r w:rsidR="001F7602">
        <w:t xml:space="preserve"> For the use of ZVL post-licensure </w:t>
      </w:r>
      <w:r w:rsidR="000E70E4">
        <w:t>effectiveness</w:t>
      </w:r>
      <w:r w:rsidR="001F7602">
        <w:t xml:space="preserve"> </w:t>
      </w:r>
      <w:r w:rsidR="000E70E4">
        <w:t>data</w:t>
      </w:r>
      <w:r w:rsidR="000E70E4" w:rsidRPr="008802FF">
        <w:t xml:space="preserve">, we </w:t>
      </w:r>
      <w:r w:rsidR="001F7602">
        <w:t xml:space="preserve">explored data in our model </w:t>
      </w:r>
      <w:r w:rsidR="004D5C60">
        <w:t xml:space="preserve">from </w:t>
      </w:r>
      <w:r w:rsidR="00AB40A3">
        <w:t xml:space="preserve">the US </w:t>
      </w:r>
      <w:r w:rsidR="004D5C60">
        <w:t>Kaiser Permanente Northern California over the period 2007-2015</w:t>
      </w:r>
      <w:r w:rsidR="000E70E4" w:rsidRPr="00934165">
        <w:t xml:space="preserve">, </w:t>
      </w:r>
      <w:r w:rsidR="00AB40A3">
        <w:t xml:space="preserve">the </w:t>
      </w:r>
      <w:r w:rsidR="004D5C60">
        <w:t>US Medicare database over the period 2007-2014</w:t>
      </w:r>
      <w:r w:rsidR="000E70E4">
        <w:t xml:space="preserve"> </w:t>
      </w:r>
      <w:r w:rsidR="000E70E4" w:rsidRPr="00934165">
        <w:t xml:space="preserve">and </w:t>
      </w:r>
      <w:r w:rsidR="000E70E4">
        <w:t xml:space="preserve">the </w:t>
      </w:r>
      <w:r w:rsidR="004D5C60">
        <w:t>UK Clinical Practice Research Datalink database over the period 2013-2016</w:t>
      </w:r>
      <w:r w:rsidR="0075366F">
        <w:t xml:space="preserve"> </w:t>
      </w:r>
      <w:r w:rsidR="00864629">
        <w:rPr>
          <w:noProof/>
        </w:rPr>
        <w:t>[28-30]</w:t>
      </w:r>
      <w:r w:rsidR="0075366F">
        <w:t>.</w:t>
      </w:r>
      <w:r w:rsidR="000E70E4">
        <w:t xml:space="preserve"> All three studies </w:t>
      </w:r>
      <w:r w:rsidR="001F7602">
        <w:t>a</w:t>
      </w:r>
      <w:r w:rsidR="000E70E4">
        <w:t>re population based retrospective cohort studies</w:t>
      </w:r>
      <w:r w:rsidR="004D5C60">
        <w:t xml:space="preserve"> and represent a study with relatively similar (49% </w:t>
      </w:r>
      <w:r w:rsidR="004D5C60">
        <w:lastRenderedPageBreak/>
        <w:t>among ≥60-year-olds), lower (33% among ≥65-year-olds) and higher (62% among 68-70-</w:t>
      </w:r>
      <w:r w:rsidR="00753D06">
        <w:t>year-olds</w:t>
      </w:r>
      <w:r w:rsidR="004D5C60">
        <w:t xml:space="preserve"> and 76-79-year-olds) vaccine effectiveness agains</w:t>
      </w:r>
      <w:r w:rsidR="00753D06">
        <w:t>t HZ as compared with the trial</w:t>
      </w:r>
      <w:r w:rsidR="000E70E4">
        <w:t>. We estimated linear functions on the annu</w:t>
      </w:r>
      <w:r w:rsidR="00753D06">
        <w:t xml:space="preserve">al data of the total cohort, which are </w:t>
      </w:r>
      <w:r w:rsidR="000E70E4">
        <w:t>presented in</w:t>
      </w:r>
      <w:r w:rsidR="00303853">
        <w:t xml:space="preserve"> </w:t>
      </w:r>
      <w:r w:rsidR="00303853" w:rsidRPr="00897794">
        <w:t>Figure S</w:t>
      </w:r>
      <w:r w:rsidR="00303853">
        <w:rPr>
          <w:noProof/>
        </w:rPr>
        <w:t>9</w:t>
      </w:r>
      <w:r w:rsidR="00303853">
        <w:t xml:space="preserve">, </w:t>
      </w:r>
      <w:r w:rsidR="00303853" w:rsidRPr="00897794">
        <w:t>Figure S</w:t>
      </w:r>
      <w:r w:rsidR="00303853">
        <w:rPr>
          <w:noProof/>
        </w:rPr>
        <w:t>10</w:t>
      </w:r>
      <w:r w:rsidR="00303853">
        <w:t xml:space="preserve"> and </w:t>
      </w:r>
      <w:r w:rsidR="00303853" w:rsidRPr="00897794">
        <w:t>Figure S</w:t>
      </w:r>
      <w:r w:rsidR="00303853">
        <w:rPr>
          <w:noProof/>
        </w:rPr>
        <w:t>11</w:t>
      </w:r>
      <w:r w:rsidR="000E70E4">
        <w:t xml:space="preserve">. Similarly to the efficacy estimates from the trial, we </w:t>
      </w:r>
      <w:proofErr w:type="gramStart"/>
      <w:r w:rsidR="00303853">
        <w:t xml:space="preserve">estimated </w:t>
      </w:r>
      <w:r w:rsidR="000E70E4">
        <w:t xml:space="preserve"> risk</w:t>
      </w:r>
      <w:proofErr w:type="gramEnd"/>
      <w:r w:rsidR="000E70E4">
        <w:t xml:space="preserve"> ratio</w:t>
      </w:r>
      <w:r w:rsidR="00303853">
        <w:t>s</w:t>
      </w:r>
      <w:r w:rsidR="000E70E4">
        <w:t xml:space="preserve"> by age-group to take into account </w:t>
      </w:r>
      <w:r w:rsidR="00F3765E">
        <w:t xml:space="preserve">the </w:t>
      </w:r>
      <w:r w:rsidR="000E70E4">
        <w:t xml:space="preserve">difference </w:t>
      </w:r>
      <w:r w:rsidR="00F3765E">
        <w:t xml:space="preserve">of vaccine effectiveness </w:t>
      </w:r>
      <w:r w:rsidR="00303853">
        <w:t xml:space="preserve">at take </w:t>
      </w:r>
      <w:r w:rsidR="00753D06">
        <w:t>with age</w:t>
      </w:r>
      <w:r w:rsidR="00303853" w:rsidRPr="00303853">
        <w:t xml:space="preserve"> (Table S</w:t>
      </w:r>
      <w:r w:rsidR="00303853" w:rsidRPr="00303853">
        <w:rPr>
          <w:noProof/>
        </w:rPr>
        <w:t>6</w:t>
      </w:r>
      <w:r w:rsidR="00303853">
        <w:t>)</w:t>
      </w:r>
      <w:r w:rsidR="000E70E4" w:rsidRPr="008802FF">
        <w:t>.</w:t>
      </w:r>
    </w:p>
    <w:p w:rsidR="005069EE" w:rsidRDefault="005069EE" w:rsidP="00AD1E82">
      <w:pPr>
        <w:ind w:firstLine="720"/>
      </w:pPr>
    </w:p>
    <w:p w:rsidR="005069EE" w:rsidRDefault="005069EE" w:rsidP="00AD1E82">
      <w:pPr>
        <w:ind w:firstLine="720"/>
      </w:pPr>
    </w:p>
    <w:p w:rsidR="00AD1E82" w:rsidRDefault="00AD1E82" w:rsidP="00AD1E82">
      <w:pPr>
        <w:spacing w:line="240" w:lineRule="auto"/>
        <w:rPr>
          <w:bCs/>
        </w:rPr>
      </w:pPr>
      <w:bookmarkStart w:id="14" w:name="_Ref512506989"/>
      <w:bookmarkEnd w:id="9"/>
      <w:r>
        <w:rPr>
          <w:b/>
        </w:rPr>
        <w:br w:type="page"/>
      </w:r>
    </w:p>
    <w:p w:rsidR="00AD1E82" w:rsidRDefault="00B06E91" w:rsidP="00AD1E82">
      <w:pPr>
        <w:pStyle w:val="Caption"/>
        <w:rPr>
          <w:b w:val="0"/>
          <w:color w:val="auto"/>
          <w:sz w:val="20"/>
        </w:rPr>
      </w:pPr>
      <w:r>
        <w:rPr>
          <w:b w:val="0"/>
          <w:noProof/>
          <w:color w:val="auto"/>
          <w:sz w:val="20"/>
          <w:lang w:val="en-US"/>
        </w:rPr>
        <w:lastRenderedPageBreak/>
        <w:drawing>
          <wp:inline distT="0" distB="0" distL="0" distR="0">
            <wp:extent cx="5023104" cy="2130552"/>
            <wp:effectExtent l="0" t="0" r="635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3104" cy="2130552"/>
                    </a:xfrm>
                    <a:prstGeom prst="rect">
                      <a:avLst/>
                    </a:prstGeom>
                  </pic:spPr>
                </pic:pic>
              </a:graphicData>
            </a:graphic>
          </wp:inline>
        </w:drawing>
      </w:r>
    </w:p>
    <w:p w:rsidR="008B5DEE" w:rsidRDefault="008B5DEE" w:rsidP="0023009D">
      <w:pPr>
        <w:spacing w:line="240" w:lineRule="auto"/>
      </w:pPr>
      <w:bookmarkStart w:id="15" w:name="_Ref515971746"/>
      <w:r w:rsidRPr="00897794">
        <w:t>Figure S</w:t>
      </w:r>
      <w:r w:rsidR="00864629">
        <w:rPr>
          <w:noProof/>
        </w:rPr>
        <w:t>9</w:t>
      </w:r>
      <w:bookmarkEnd w:id="15"/>
      <w:r>
        <w:t xml:space="preserve">: </w:t>
      </w:r>
      <w:r w:rsidRPr="00920D6E">
        <w:t xml:space="preserve">The </w:t>
      </w:r>
      <w:r>
        <w:t>linear</w:t>
      </w:r>
      <w:r w:rsidRPr="00920D6E">
        <w:t xml:space="preserve"> function fitted </w:t>
      </w:r>
      <w:r>
        <w:t xml:space="preserve">for the </w:t>
      </w:r>
      <w:r w:rsidR="00753D06">
        <w:t>z</w:t>
      </w:r>
      <w:r w:rsidRPr="00897794">
        <w:t xml:space="preserve">oster vaccine live </w:t>
      </w:r>
      <w:r>
        <w:t xml:space="preserve">using data from </w:t>
      </w:r>
      <w:r w:rsidR="00F3765E">
        <w:t xml:space="preserve">the </w:t>
      </w:r>
      <w:r w:rsidRPr="00AB40A3">
        <w:t>Kaiser Permanente Northern Califor</w:t>
      </w:r>
      <w:r w:rsidRPr="008B5DEE">
        <w:t xml:space="preserve">nia </w:t>
      </w:r>
      <w:r>
        <w:t>up to 7 years</w:t>
      </w:r>
      <w:r w:rsidR="0075366F">
        <w:t xml:space="preserve"> </w:t>
      </w:r>
      <w:r w:rsidR="00864629">
        <w:rPr>
          <w:noProof/>
        </w:rPr>
        <w:t>[28]</w:t>
      </w:r>
      <w:r w:rsidR="0075366F">
        <w:t>.</w:t>
      </w:r>
      <w:r>
        <w:t xml:space="preserve"> </w:t>
      </w:r>
      <w:r w:rsidRPr="008B5DEE">
        <w:t>The function was estimated at 0.</w:t>
      </w:r>
      <w:r>
        <w:t>699</w:t>
      </w:r>
      <w:r w:rsidRPr="008B5DEE">
        <w:t xml:space="preserve"> (±0.0</w:t>
      </w:r>
      <w:r>
        <w:t>33</w:t>
      </w:r>
      <w:r w:rsidRPr="008B5DEE">
        <w:t>) – 0.0</w:t>
      </w:r>
      <w:r>
        <w:t>89</w:t>
      </w:r>
      <w:r w:rsidRPr="008B5DEE">
        <w:t xml:space="preserve"> (±0.0</w:t>
      </w:r>
      <w:r>
        <w:t>15</w:t>
      </w:r>
      <w:r w:rsidRPr="008B5DEE">
        <w:t>)*years, with R</w:t>
      </w:r>
      <w:r w:rsidRPr="008B5DEE">
        <w:rPr>
          <w:vertAlign w:val="superscript"/>
        </w:rPr>
        <w:t>2</w:t>
      </w:r>
      <w:r w:rsidRPr="008B5DEE">
        <w:t xml:space="preserve"> = 0.85</w:t>
      </w:r>
      <w:r>
        <w:t>6</w:t>
      </w:r>
      <w:r w:rsidRPr="008B5DEE">
        <w:t>.</w:t>
      </w:r>
      <w:r w:rsidR="00753D06">
        <w:t xml:space="preserve"> HZ: </w:t>
      </w:r>
      <w:r w:rsidR="0023467D">
        <w:t>H</w:t>
      </w:r>
      <w:r w:rsidR="00753D06">
        <w:t>erpes zoster, VE: Vaccine effectiveness</w:t>
      </w:r>
    </w:p>
    <w:p w:rsidR="0023009D" w:rsidRPr="008B5DEE" w:rsidRDefault="0023009D" w:rsidP="0023009D">
      <w:pPr>
        <w:spacing w:line="240" w:lineRule="auto"/>
      </w:pPr>
    </w:p>
    <w:p w:rsidR="00AD1E82" w:rsidRDefault="00B06E91" w:rsidP="00AD1E82">
      <w:pPr>
        <w:pStyle w:val="Caption"/>
        <w:rPr>
          <w:b w:val="0"/>
          <w:color w:val="auto"/>
          <w:sz w:val="20"/>
        </w:rPr>
      </w:pPr>
      <w:r>
        <w:rPr>
          <w:b w:val="0"/>
          <w:noProof/>
          <w:color w:val="auto"/>
          <w:sz w:val="20"/>
          <w:lang w:val="en-US"/>
        </w:rPr>
        <w:drawing>
          <wp:inline distT="0" distB="0" distL="0" distR="0">
            <wp:extent cx="5062728" cy="1959864"/>
            <wp:effectExtent l="0" t="0" r="508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2728" cy="1959864"/>
                    </a:xfrm>
                    <a:prstGeom prst="rect">
                      <a:avLst/>
                    </a:prstGeom>
                  </pic:spPr>
                </pic:pic>
              </a:graphicData>
            </a:graphic>
          </wp:inline>
        </w:drawing>
      </w:r>
    </w:p>
    <w:p w:rsidR="00F8674F" w:rsidRDefault="00AD1E82" w:rsidP="0023009D">
      <w:pPr>
        <w:spacing w:line="240" w:lineRule="auto"/>
      </w:pPr>
      <w:bookmarkStart w:id="16" w:name="_Ref515971747"/>
      <w:r w:rsidRPr="00897794">
        <w:t>Figure S</w:t>
      </w:r>
      <w:r w:rsidR="00864629">
        <w:rPr>
          <w:noProof/>
        </w:rPr>
        <w:t>10</w:t>
      </w:r>
      <w:bookmarkEnd w:id="16"/>
      <w:r w:rsidRPr="00897794">
        <w:t xml:space="preserve">: </w:t>
      </w:r>
      <w:bookmarkEnd w:id="14"/>
      <w:r w:rsidR="008B5DEE" w:rsidRPr="00920D6E">
        <w:t xml:space="preserve">The </w:t>
      </w:r>
      <w:r w:rsidR="008B5DEE">
        <w:t>linear</w:t>
      </w:r>
      <w:r w:rsidR="008B5DEE" w:rsidRPr="00920D6E">
        <w:t xml:space="preserve"> function fitted </w:t>
      </w:r>
      <w:r w:rsidR="008B5DEE">
        <w:t xml:space="preserve">for the </w:t>
      </w:r>
      <w:r w:rsidR="00753D06">
        <w:t>z</w:t>
      </w:r>
      <w:r w:rsidR="008B5DEE" w:rsidRPr="00897794">
        <w:t xml:space="preserve">oster vaccine live </w:t>
      </w:r>
      <w:r w:rsidR="008B5DEE">
        <w:t>using data from the US Medicare database</w:t>
      </w:r>
      <w:r w:rsidR="008B5DEE" w:rsidRPr="008B5DEE">
        <w:t xml:space="preserve"> </w:t>
      </w:r>
      <w:r w:rsidR="008B5DEE">
        <w:t>up to 7 years</w:t>
      </w:r>
      <w:r w:rsidR="0075366F">
        <w:t xml:space="preserve"> </w:t>
      </w:r>
      <w:r w:rsidR="00864629">
        <w:rPr>
          <w:noProof/>
        </w:rPr>
        <w:t>[29]</w:t>
      </w:r>
      <w:r w:rsidR="0075366F">
        <w:t>.</w:t>
      </w:r>
      <w:r w:rsidR="008B5DEE">
        <w:t xml:space="preserve"> </w:t>
      </w:r>
      <w:r w:rsidR="008B5DEE" w:rsidRPr="008B5DEE">
        <w:t>The function was estimated at 0.</w:t>
      </w:r>
      <w:r w:rsidR="00F3765E">
        <w:t>397</w:t>
      </w:r>
      <w:r w:rsidR="008B5DEE" w:rsidRPr="008B5DEE">
        <w:t xml:space="preserve"> (±0.01</w:t>
      </w:r>
      <w:r w:rsidR="00F3765E">
        <w:t>3</w:t>
      </w:r>
      <w:r w:rsidR="008B5DEE" w:rsidRPr="008B5DEE">
        <w:t>) – 0.0</w:t>
      </w:r>
      <w:r w:rsidR="00F3765E">
        <w:t>48</w:t>
      </w:r>
      <w:r w:rsidR="008B5DEE" w:rsidRPr="008B5DEE">
        <w:t xml:space="preserve"> (±0.0</w:t>
      </w:r>
      <w:r w:rsidR="00F3765E">
        <w:t>06</w:t>
      </w:r>
      <w:r w:rsidR="008B5DEE" w:rsidRPr="008B5DEE">
        <w:t>)*years, with R</w:t>
      </w:r>
      <w:r w:rsidR="008B5DEE" w:rsidRPr="008B5DEE">
        <w:rPr>
          <w:vertAlign w:val="superscript"/>
        </w:rPr>
        <w:t>2</w:t>
      </w:r>
      <w:r w:rsidR="008B5DEE" w:rsidRPr="008B5DEE">
        <w:t xml:space="preserve"> = 0.</w:t>
      </w:r>
      <w:r w:rsidR="00F3765E">
        <w:t>928</w:t>
      </w:r>
      <w:r w:rsidR="008B5DEE" w:rsidRPr="008B5DEE">
        <w:t>.</w:t>
      </w:r>
      <w:r w:rsidR="00753D06">
        <w:t xml:space="preserve"> HZ: </w:t>
      </w:r>
      <w:r w:rsidR="0023467D">
        <w:t>H</w:t>
      </w:r>
      <w:r w:rsidR="00753D06">
        <w:t>erpes zoster, VE: Vaccine effectiveness</w:t>
      </w:r>
    </w:p>
    <w:p w:rsidR="008B5DEE" w:rsidRDefault="008B5DEE" w:rsidP="00D917EE"/>
    <w:p w:rsidR="008B5DEE" w:rsidRDefault="008B5DEE">
      <w:pPr>
        <w:spacing w:after="200" w:line="276" w:lineRule="auto"/>
      </w:pPr>
      <w:r>
        <w:br w:type="page"/>
      </w:r>
    </w:p>
    <w:p w:rsidR="008B5DEE" w:rsidRDefault="00B06E91" w:rsidP="008B5DEE">
      <w:pPr>
        <w:pStyle w:val="Caption"/>
        <w:rPr>
          <w:b w:val="0"/>
          <w:color w:val="auto"/>
          <w:sz w:val="20"/>
        </w:rPr>
      </w:pPr>
      <w:r>
        <w:rPr>
          <w:b w:val="0"/>
          <w:noProof/>
          <w:color w:val="auto"/>
          <w:sz w:val="20"/>
          <w:lang w:val="en-US"/>
        </w:rPr>
        <w:lastRenderedPageBreak/>
        <w:drawing>
          <wp:inline distT="0" distB="0" distL="0" distR="0">
            <wp:extent cx="5062728" cy="1978152"/>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2728" cy="1978152"/>
                    </a:xfrm>
                    <a:prstGeom prst="rect">
                      <a:avLst/>
                    </a:prstGeom>
                  </pic:spPr>
                </pic:pic>
              </a:graphicData>
            </a:graphic>
          </wp:inline>
        </w:drawing>
      </w:r>
    </w:p>
    <w:p w:rsidR="008B5DEE" w:rsidRPr="008B5DEE" w:rsidRDefault="008B5DEE" w:rsidP="0023009D">
      <w:pPr>
        <w:spacing w:line="240" w:lineRule="auto"/>
      </w:pPr>
      <w:bookmarkStart w:id="17" w:name="_Ref515971748"/>
      <w:r w:rsidRPr="00897794">
        <w:t>Figure S</w:t>
      </w:r>
      <w:r w:rsidR="00864629">
        <w:rPr>
          <w:noProof/>
        </w:rPr>
        <w:t>11</w:t>
      </w:r>
      <w:bookmarkEnd w:id="17"/>
      <w:r>
        <w:t xml:space="preserve">: </w:t>
      </w:r>
      <w:r w:rsidRPr="00920D6E">
        <w:t xml:space="preserve">The </w:t>
      </w:r>
      <w:r>
        <w:t>linear</w:t>
      </w:r>
      <w:r w:rsidRPr="00920D6E">
        <w:t xml:space="preserve"> function fitted </w:t>
      </w:r>
      <w:r>
        <w:t xml:space="preserve">for the </w:t>
      </w:r>
      <w:r w:rsidRPr="00897794">
        <w:t xml:space="preserve">Zoster vaccine live </w:t>
      </w:r>
      <w:r>
        <w:t xml:space="preserve">using data from </w:t>
      </w:r>
      <w:r w:rsidR="00F3765E">
        <w:t xml:space="preserve">the UK Clinical Practice Research Datalink database </w:t>
      </w:r>
      <w:r>
        <w:t xml:space="preserve">up to </w:t>
      </w:r>
      <w:r w:rsidR="00F3765E">
        <w:t>3</w:t>
      </w:r>
      <w:r>
        <w:t xml:space="preserve"> years</w:t>
      </w:r>
      <w:r w:rsidR="0075366F">
        <w:t xml:space="preserve"> </w:t>
      </w:r>
      <w:r w:rsidR="00864629">
        <w:rPr>
          <w:noProof/>
        </w:rPr>
        <w:t>[30]</w:t>
      </w:r>
      <w:r w:rsidR="0075366F">
        <w:t>.</w:t>
      </w:r>
      <w:r>
        <w:t xml:space="preserve"> </w:t>
      </w:r>
      <w:r w:rsidRPr="008B5DEE">
        <w:t>The function was estimated at 0.</w:t>
      </w:r>
      <w:r w:rsidR="00F3765E">
        <w:t>753</w:t>
      </w:r>
      <w:r w:rsidRPr="008B5DEE">
        <w:t xml:space="preserve"> (±0.01</w:t>
      </w:r>
      <w:r w:rsidR="00F3765E">
        <w:t>9) – 0.133</w:t>
      </w:r>
      <w:r w:rsidRPr="008B5DEE">
        <w:t xml:space="preserve"> (±0.0</w:t>
      </w:r>
      <w:r w:rsidR="00F3765E">
        <w:t>17</w:t>
      </w:r>
      <w:r w:rsidRPr="008B5DEE">
        <w:t>)*years, with R</w:t>
      </w:r>
      <w:r w:rsidRPr="008B5DEE">
        <w:rPr>
          <w:vertAlign w:val="superscript"/>
        </w:rPr>
        <w:t>2</w:t>
      </w:r>
      <w:r w:rsidRPr="008B5DEE">
        <w:t xml:space="preserve"> = 0.</w:t>
      </w:r>
      <w:r w:rsidR="00F3765E">
        <w:t>983</w:t>
      </w:r>
      <w:r w:rsidRPr="008B5DEE">
        <w:t>.</w:t>
      </w:r>
      <w:r w:rsidR="00753D06">
        <w:t xml:space="preserve"> HZ: </w:t>
      </w:r>
      <w:r w:rsidR="0023467D">
        <w:t>H</w:t>
      </w:r>
      <w:r w:rsidR="00753D06">
        <w:t>erpes zoster, VE: Vaccine effectiveness</w:t>
      </w:r>
    </w:p>
    <w:p w:rsidR="008B5DEE" w:rsidRDefault="008B5DEE" w:rsidP="00D917EE"/>
    <w:p w:rsidR="008B5DEE" w:rsidRPr="00897794" w:rsidRDefault="008B5DEE" w:rsidP="008B5DEE">
      <w:pPr>
        <w:pStyle w:val="Caption"/>
        <w:keepNext/>
        <w:rPr>
          <w:b w:val="0"/>
          <w:color w:val="auto"/>
          <w:sz w:val="24"/>
          <w:szCs w:val="24"/>
        </w:rPr>
      </w:pPr>
      <w:bookmarkStart w:id="18" w:name="_Ref515971706"/>
      <w:r w:rsidRPr="00897794">
        <w:rPr>
          <w:b w:val="0"/>
          <w:color w:val="auto"/>
          <w:sz w:val="24"/>
          <w:szCs w:val="24"/>
        </w:rPr>
        <w:t>Table S</w:t>
      </w:r>
      <w:r w:rsidR="00303853">
        <w:rPr>
          <w:b w:val="0"/>
          <w:noProof/>
          <w:color w:val="auto"/>
          <w:sz w:val="24"/>
          <w:szCs w:val="24"/>
        </w:rPr>
        <w:t>6</w:t>
      </w:r>
      <w:bookmarkEnd w:id="18"/>
      <w:r w:rsidRPr="00897794">
        <w:rPr>
          <w:b w:val="0"/>
          <w:color w:val="auto"/>
          <w:sz w:val="24"/>
          <w:szCs w:val="24"/>
        </w:rPr>
        <w:t xml:space="preserve">: Fitted </w:t>
      </w:r>
      <w:r w:rsidR="00F3765E">
        <w:rPr>
          <w:b w:val="0"/>
          <w:color w:val="auto"/>
          <w:sz w:val="24"/>
          <w:szCs w:val="24"/>
        </w:rPr>
        <w:t xml:space="preserve">risk ratios per age-group of </w:t>
      </w:r>
      <w:r w:rsidRPr="00897794">
        <w:rPr>
          <w:b w:val="0"/>
          <w:color w:val="auto"/>
          <w:sz w:val="24"/>
          <w:szCs w:val="24"/>
        </w:rPr>
        <w:t>the vaccine effectiveness of</w:t>
      </w:r>
      <w:r w:rsidR="00F3765E">
        <w:rPr>
          <w:b w:val="0"/>
          <w:color w:val="auto"/>
          <w:sz w:val="24"/>
          <w:szCs w:val="24"/>
        </w:rPr>
        <w:t xml:space="preserve"> the</w:t>
      </w:r>
      <w:r w:rsidRPr="00897794">
        <w:rPr>
          <w:b w:val="0"/>
          <w:color w:val="auto"/>
          <w:sz w:val="24"/>
          <w:szCs w:val="24"/>
        </w:rPr>
        <w:t xml:space="preserve"> live</w:t>
      </w:r>
      <w:r w:rsidR="00F3765E">
        <w:rPr>
          <w:b w:val="0"/>
          <w:color w:val="auto"/>
          <w:sz w:val="24"/>
          <w:szCs w:val="24"/>
        </w:rPr>
        <w:t>-</w:t>
      </w:r>
      <w:r w:rsidRPr="00897794">
        <w:rPr>
          <w:b w:val="0"/>
          <w:color w:val="auto"/>
          <w:sz w:val="24"/>
          <w:szCs w:val="24"/>
        </w:rPr>
        <w:t xml:space="preserve">attenuated vaccine (Zoster vaccine live [ZVL]) </w:t>
      </w:r>
      <w:r>
        <w:rPr>
          <w:b w:val="0"/>
          <w:color w:val="auto"/>
          <w:sz w:val="24"/>
          <w:szCs w:val="24"/>
        </w:rPr>
        <w:t xml:space="preserve">using data from </w:t>
      </w:r>
      <w:r w:rsidR="00F3765E">
        <w:rPr>
          <w:b w:val="0"/>
          <w:color w:val="auto"/>
          <w:sz w:val="24"/>
        </w:rPr>
        <w:t>US</w:t>
      </w:r>
      <w:r w:rsidRPr="00897794">
        <w:rPr>
          <w:b w:val="0"/>
          <w:color w:val="auto"/>
          <w:sz w:val="24"/>
        </w:rPr>
        <w:t xml:space="preserve"> </w:t>
      </w:r>
      <w:r w:rsidRPr="00AB40A3">
        <w:rPr>
          <w:b w:val="0"/>
          <w:color w:val="auto"/>
          <w:sz w:val="24"/>
        </w:rPr>
        <w:t>Kaiser Permanente Northern California</w:t>
      </w:r>
      <w:r>
        <w:rPr>
          <w:b w:val="0"/>
          <w:color w:val="auto"/>
          <w:sz w:val="24"/>
          <w:szCs w:val="24"/>
        </w:rPr>
        <w:t xml:space="preserve">, </w:t>
      </w:r>
      <w:r w:rsidR="00F3765E" w:rsidRPr="00F3765E">
        <w:rPr>
          <w:b w:val="0"/>
          <w:color w:val="auto"/>
          <w:sz w:val="24"/>
          <w:szCs w:val="24"/>
        </w:rPr>
        <w:t>US Medicare database</w:t>
      </w:r>
      <w:r>
        <w:rPr>
          <w:b w:val="0"/>
          <w:color w:val="auto"/>
          <w:sz w:val="24"/>
          <w:szCs w:val="24"/>
        </w:rPr>
        <w:t xml:space="preserve"> </w:t>
      </w:r>
      <w:r w:rsidRPr="00897794">
        <w:rPr>
          <w:b w:val="0"/>
          <w:color w:val="auto"/>
          <w:sz w:val="24"/>
          <w:szCs w:val="24"/>
        </w:rPr>
        <w:t xml:space="preserve">and </w:t>
      </w:r>
      <w:r w:rsidR="00F3765E">
        <w:rPr>
          <w:b w:val="0"/>
          <w:color w:val="auto"/>
          <w:sz w:val="24"/>
          <w:szCs w:val="24"/>
        </w:rPr>
        <w:t>U</w:t>
      </w:r>
      <w:r w:rsidR="00F3765E" w:rsidRPr="00F3765E">
        <w:rPr>
          <w:b w:val="0"/>
          <w:color w:val="auto"/>
          <w:sz w:val="24"/>
          <w:szCs w:val="24"/>
        </w:rPr>
        <w:t>K Clinical Practice Research Datalink database</w:t>
      </w:r>
      <w:r w:rsidR="0075366F">
        <w:rPr>
          <w:b w:val="0"/>
          <w:color w:val="auto"/>
          <w:sz w:val="24"/>
          <w:szCs w:val="24"/>
        </w:rPr>
        <w:t xml:space="preserve"> </w:t>
      </w:r>
      <w:r w:rsidR="00864629">
        <w:rPr>
          <w:b w:val="0"/>
          <w:noProof/>
          <w:color w:val="auto"/>
          <w:sz w:val="24"/>
          <w:szCs w:val="24"/>
        </w:rPr>
        <w:t>[28-30]</w:t>
      </w:r>
      <w:r w:rsidR="0075366F">
        <w:rPr>
          <w:b w:val="0"/>
          <w:color w:val="auto"/>
          <w:sz w:val="24"/>
          <w:szCs w:val="24"/>
        </w:rPr>
        <w:t>.</w:t>
      </w:r>
      <w:r w:rsidR="00F3765E">
        <w:rPr>
          <w:b w:val="0"/>
          <w:color w:val="auto"/>
          <w:sz w:val="24"/>
          <w:szCs w:val="24"/>
        </w:rPr>
        <w:t xml:space="preserve"> These risk ratios were used to adjust the intercept of the fitted function.</w:t>
      </w:r>
    </w:p>
    <w:tbl>
      <w:tblPr>
        <w:tblStyle w:val="TableGrid"/>
        <w:tblW w:w="82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1984"/>
        <w:gridCol w:w="1984"/>
        <w:gridCol w:w="1984"/>
      </w:tblGrid>
      <w:tr w:rsidR="008B5DEE" w:rsidRPr="008802FF" w:rsidTr="000569ED">
        <w:tc>
          <w:tcPr>
            <w:tcW w:w="2261" w:type="dxa"/>
            <w:tcBorders>
              <w:bottom w:val="single" w:sz="4" w:space="0" w:color="auto"/>
            </w:tcBorders>
          </w:tcPr>
          <w:p w:rsidR="008B5DEE" w:rsidRPr="008802FF" w:rsidRDefault="008B5DEE" w:rsidP="000569ED">
            <w:pPr>
              <w:spacing w:line="360" w:lineRule="auto"/>
              <w:rPr>
                <w:b/>
                <w:sz w:val="20"/>
              </w:rPr>
            </w:pPr>
            <w:r w:rsidRPr="008802FF">
              <w:rPr>
                <w:b/>
                <w:sz w:val="20"/>
              </w:rPr>
              <w:t>Variable</w:t>
            </w:r>
          </w:p>
        </w:tc>
        <w:tc>
          <w:tcPr>
            <w:tcW w:w="1984" w:type="dxa"/>
            <w:tcBorders>
              <w:bottom w:val="single" w:sz="4" w:space="0" w:color="auto"/>
            </w:tcBorders>
          </w:tcPr>
          <w:p w:rsidR="008B5DEE" w:rsidRPr="008802FF" w:rsidRDefault="008B5DEE" w:rsidP="00864629">
            <w:pPr>
              <w:spacing w:line="360" w:lineRule="auto"/>
              <w:rPr>
                <w:b/>
                <w:sz w:val="20"/>
              </w:rPr>
            </w:pPr>
            <w:r>
              <w:rPr>
                <w:b/>
                <w:sz w:val="20"/>
              </w:rPr>
              <w:t>Tseng, 2016</w:t>
            </w:r>
            <w:r w:rsidR="00753D06">
              <w:rPr>
                <w:b/>
                <w:sz w:val="20"/>
              </w:rPr>
              <w:t xml:space="preserve"> </w:t>
            </w:r>
            <w:r w:rsidR="00864629">
              <w:rPr>
                <w:b/>
                <w:noProof/>
                <w:sz w:val="20"/>
              </w:rPr>
              <w:t>[28]</w:t>
            </w:r>
            <w:r>
              <w:rPr>
                <w:b/>
                <w:sz w:val="20"/>
              </w:rPr>
              <w:t>; US</w:t>
            </w:r>
          </w:p>
        </w:tc>
        <w:tc>
          <w:tcPr>
            <w:tcW w:w="1984" w:type="dxa"/>
            <w:tcBorders>
              <w:bottom w:val="single" w:sz="4" w:space="0" w:color="auto"/>
            </w:tcBorders>
          </w:tcPr>
          <w:p w:rsidR="008B5DEE" w:rsidRPr="008802FF" w:rsidRDefault="008B5DEE" w:rsidP="00864629">
            <w:pPr>
              <w:spacing w:line="360" w:lineRule="auto"/>
              <w:rPr>
                <w:b/>
                <w:sz w:val="20"/>
              </w:rPr>
            </w:pPr>
            <w:proofErr w:type="spellStart"/>
            <w:r>
              <w:rPr>
                <w:b/>
                <w:sz w:val="20"/>
              </w:rPr>
              <w:t>Izurieta</w:t>
            </w:r>
            <w:proofErr w:type="spellEnd"/>
            <w:r>
              <w:rPr>
                <w:b/>
                <w:sz w:val="20"/>
              </w:rPr>
              <w:t>, 2017</w:t>
            </w:r>
            <w:r w:rsidR="00753D06">
              <w:rPr>
                <w:b/>
                <w:sz w:val="20"/>
              </w:rPr>
              <w:t xml:space="preserve"> </w:t>
            </w:r>
            <w:r w:rsidR="00864629">
              <w:rPr>
                <w:b/>
                <w:noProof/>
                <w:sz w:val="20"/>
              </w:rPr>
              <w:t>[29]</w:t>
            </w:r>
            <w:r>
              <w:rPr>
                <w:b/>
                <w:sz w:val="20"/>
              </w:rPr>
              <w:t>; US</w:t>
            </w:r>
          </w:p>
        </w:tc>
        <w:tc>
          <w:tcPr>
            <w:tcW w:w="1984" w:type="dxa"/>
            <w:tcBorders>
              <w:bottom w:val="single" w:sz="4" w:space="0" w:color="auto"/>
            </w:tcBorders>
          </w:tcPr>
          <w:p w:rsidR="008B5DEE" w:rsidRPr="008802FF" w:rsidRDefault="008B5DEE" w:rsidP="00864629">
            <w:pPr>
              <w:spacing w:line="360" w:lineRule="auto"/>
              <w:rPr>
                <w:b/>
                <w:sz w:val="20"/>
              </w:rPr>
            </w:pPr>
            <w:r>
              <w:rPr>
                <w:b/>
                <w:sz w:val="20"/>
              </w:rPr>
              <w:t xml:space="preserve">Walker, 2018 </w:t>
            </w:r>
            <w:r w:rsidR="00864629">
              <w:rPr>
                <w:b/>
                <w:noProof/>
                <w:sz w:val="20"/>
              </w:rPr>
              <w:t>[30]</w:t>
            </w:r>
            <w:r>
              <w:rPr>
                <w:b/>
                <w:sz w:val="20"/>
              </w:rPr>
              <w:t>; UK</w:t>
            </w:r>
          </w:p>
        </w:tc>
      </w:tr>
      <w:tr w:rsidR="008B5DEE" w:rsidRPr="008802FF" w:rsidTr="000569ED">
        <w:tc>
          <w:tcPr>
            <w:tcW w:w="2261" w:type="dxa"/>
          </w:tcPr>
          <w:p w:rsidR="008B5DEE" w:rsidRPr="008802FF" w:rsidRDefault="008B5DEE" w:rsidP="000569ED">
            <w:pPr>
              <w:spacing w:line="360" w:lineRule="auto"/>
              <w:rPr>
                <w:sz w:val="20"/>
              </w:rPr>
            </w:pPr>
            <w:r>
              <w:rPr>
                <w:sz w:val="20"/>
              </w:rPr>
              <w:t>Risk ratio of VE by age</w:t>
            </w:r>
          </w:p>
        </w:tc>
        <w:tc>
          <w:tcPr>
            <w:tcW w:w="1984" w:type="dxa"/>
          </w:tcPr>
          <w:p w:rsidR="008B5DEE" w:rsidRPr="008802FF" w:rsidRDefault="008B5DEE" w:rsidP="000569ED">
            <w:pPr>
              <w:spacing w:line="360" w:lineRule="auto"/>
              <w:rPr>
                <w:sz w:val="20"/>
                <w:szCs w:val="20"/>
              </w:rPr>
            </w:pPr>
          </w:p>
        </w:tc>
        <w:tc>
          <w:tcPr>
            <w:tcW w:w="1984" w:type="dxa"/>
          </w:tcPr>
          <w:p w:rsidR="008B5DEE" w:rsidRPr="008802FF" w:rsidRDefault="008B5DEE" w:rsidP="000569ED">
            <w:pPr>
              <w:spacing w:line="360" w:lineRule="auto"/>
              <w:rPr>
                <w:sz w:val="20"/>
                <w:szCs w:val="20"/>
              </w:rPr>
            </w:pPr>
          </w:p>
        </w:tc>
        <w:tc>
          <w:tcPr>
            <w:tcW w:w="1984" w:type="dxa"/>
          </w:tcPr>
          <w:p w:rsidR="008B5DEE" w:rsidRPr="008802FF" w:rsidRDefault="008B5DEE" w:rsidP="000569ED">
            <w:pPr>
              <w:spacing w:line="360" w:lineRule="auto"/>
              <w:rPr>
                <w:sz w:val="20"/>
                <w:szCs w:val="20"/>
              </w:rPr>
            </w:pPr>
          </w:p>
        </w:tc>
      </w:tr>
      <w:tr w:rsidR="008B5DEE" w:rsidRPr="008802FF" w:rsidTr="000569ED">
        <w:tc>
          <w:tcPr>
            <w:tcW w:w="2261" w:type="dxa"/>
          </w:tcPr>
          <w:p w:rsidR="008B5DEE" w:rsidRPr="008802FF" w:rsidRDefault="008B5DEE" w:rsidP="000569ED">
            <w:pPr>
              <w:spacing w:line="360" w:lineRule="auto"/>
              <w:rPr>
                <w:sz w:val="20"/>
              </w:rPr>
            </w:pPr>
            <w:r>
              <w:rPr>
                <w:sz w:val="20"/>
              </w:rPr>
              <w:t xml:space="preserve">   60-64 years</w:t>
            </w:r>
          </w:p>
        </w:tc>
        <w:tc>
          <w:tcPr>
            <w:tcW w:w="1984" w:type="dxa"/>
          </w:tcPr>
          <w:p w:rsidR="008B5DEE" w:rsidRPr="008802FF" w:rsidRDefault="008B5DEE" w:rsidP="000569ED">
            <w:pPr>
              <w:spacing w:line="360" w:lineRule="auto"/>
              <w:rPr>
                <w:sz w:val="20"/>
                <w:szCs w:val="20"/>
              </w:rPr>
            </w:pPr>
            <w:r>
              <w:rPr>
                <w:sz w:val="20"/>
                <w:szCs w:val="20"/>
              </w:rPr>
              <w:t>1.143</w:t>
            </w:r>
          </w:p>
        </w:tc>
        <w:tc>
          <w:tcPr>
            <w:tcW w:w="1984" w:type="dxa"/>
          </w:tcPr>
          <w:p w:rsidR="008B5DEE" w:rsidRPr="008802FF" w:rsidRDefault="008B5DEE" w:rsidP="000569ED">
            <w:pPr>
              <w:spacing w:line="360" w:lineRule="auto"/>
              <w:rPr>
                <w:sz w:val="20"/>
                <w:szCs w:val="20"/>
              </w:rPr>
            </w:pPr>
            <w:r>
              <w:rPr>
                <w:sz w:val="20"/>
                <w:szCs w:val="20"/>
              </w:rPr>
              <w:t>NA</w:t>
            </w:r>
          </w:p>
        </w:tc>
        <w:tc>
          <w:tcPr>
            <w:tcW w:w="1984" w:type="dxa"/>
          </w:tcPr>
          <w:p w:rsidR="008B5DEE" w:rsidRPr="008802FF" w:rsidRDefault="008B5DEE" w:rsidP="000569ED">
            <w:pPr>
              <w:spacing w:line="360" w:lineRule="auto"/>
              <w:rPr>
                <w:sz w:val="20"/>
                <w:szCs w:val="20"/>
              </w:rPr>
            </w:pPr>
            <w:r>
              <w:rPr>
                <w:sz w:val="20"/>
                <w:szCs w:val="20"/>
              </w:rPr>
              <w:t>NA</w:t>
            </w:r>
          </w:p>
        </w:tc>
      </w:tr>
      <w:tr w:rsidR="008B5DEE" w:rsidRPr="008802FF" w:rsidTr="000569ED">
        <w:tc>
          <w:tcPr>
            <w:tcW w:w="2261" w:type="dxa"/>
          </w:tcPr>
          <w:p w:rsidR="008B5DEE" w:rsidRPr="008802FF" w:rsidRDefault="008B5DEE" w:rsidP="000569ED">
            <w:pPr>
              <w:spacing w:line="360" w:lineRule="auto"/>
              <w:rPr>
                <w:sz w:val="20"/>
              </w:rPr>
            </w:pPr>
            <w:r>
              <w:rPr>
                <w:sz w:val="20"/>
              </w:rPr>
              <w:t xml:space="preserve">   65-69 years</w:t>
            </w:r>
          </w:p>
        </w:tc>
        <w:tc>
          <w:tcPr>
            <w:tcW w:w="1984" w:type="dxa"/>
          </w:tcPr>
          <w:p w:rsidR="008B5DEE" w:rsidRPr="008802FF" w:rsidRDefault="008B5DEE" w:rsidP="000569ED">
            <w:pPr>
              <w:spacing w:line="360" w:lineRule="auto"/>
              <w:rPr>
                <w:sz w:val="20"/>
                <w:szCs w:val="20"/>
              </w:rPr>
            </w:pPr>
            <w:r>
              <w:rPr>
                <w:sz w:val="20"/>
                <w:szCs w:val="20"/>
              </w:rPr>
              <w:t>0.980</w:t>
            </w:r>
          </w:p>
        </w:tc>
        <w:tc>
          <w:tcPr>
            <w:tcW w:w="1984" w:type="dxa"/>
          </w:tcPr>
          <w:p w:rsidR="008B5DEE" w:rsidRPr="008802FF" w:rsidRDefault="008B5DEE" w:rsidP="000569ED">
            <w:pPr>
              <w:spacing w:line="360" w:lineRule="auto"/>
              <w:rPr>
                <w:sz w:val="20"/>
                <w:szCs w:val="20"/>
              </w:rPr>
            </w:pPr>
            <w:r>
              <w:rPr>
                <w:sz w:val="20"/>
                <w:szCs w:val="20"/>
              </w:rPr>
              <w:t>1.091</w:t>
            </w:r>
          </w:p>
        </w:tc>
        <w:tc>
          <w:tcPr>
            <w:tcW w:w="1984" w:type="dxa"/>
          </w:tcPr>
          <w:p w:rsidR="008B5DEE" w:rsidRPr="008802FF" w:rsidRDefault="008B5DEE" w:rsidP="000569ED">
            <w:pPr>
              <w:spacing w:line="360" w:lineRule="auto"/>
              <w:rPr>
                <w:sz w:val="20"/>
                <w:szCs w:val="20"/>
              </w:rPr>
            </w:pPr>
            <w:r>
              <w:rPr>
                <w:sz w:val="20"/>
                <w:szCs w:val="20"/>
              </w:rPr>
              <w:t>NA</w:t>
            </w:r>
          </w:p>
        </w:tc>
      </w:tr>
      <w:tr w:rsidR="008B5DEE" w:rsidRPr="008802FF" w:rsidTr="000569ED">
        <w:tc>
          <w:tcPr>
            <w:tcW w:w="2261" w:type="dxa"/>
          </w:tcPr>
          <w:p w:rsidR="008B5DEE" w:rsidRDefault="008B5DEE" w:rsidP="000569ED">
            <w:pPr>
              <w:spacing w:line="360" w:lineRule="auto"/>
              <w:rPr>
                <w:sz w:val="20"/>
              </w:rPr>
            </w:pPr>
            <w:r>
              <w:rPr>
                <w:sz w:val="20"/>
              </w:rPr>
              <w:t xml:space="preserve">   70-74 years</w:t>
            </w:r>
          </w:p>
        </w:tc>
        <w:tc>
          <w:tcPr>
            <w:tcW w:w="1984" w:type="dxa"/>
          </w:tcPr>
          <w:p w:rsidR="008B5DEE" w:rsidRPr="008802FF" w:rsidRDefault="008B5DEE" w:rsidP="000569ED">
            <w:pPr>
              <w:spacing w:line="360" w:lineRule="auto"/>
              <w:rPr>
                <w:sz w:val="20"/>
                <w:szCs w:val="20"/>
              </w:rPr>
            </w:pPr>
            <w:r>
              <w:rPr>
                <w:sz w:val="20"/>
                <w:szCs w:val="20"/>
              </w:rPr>
              <w:t>0.959</w:t>
            </w:r>
          </w:p>
        </w:tc>
        <w:tc>
          <w:tcPr>
            <w:tcW w:w="1984" w:type="dxa"/>
          </w:tcPr>
          <w:p w:rsidR="008B5DEE" w:rsidRPr="008802FF" w:rsidRDefault="008B5DEE" w:rsidP="000569ED">
            <w:pPr>
              <w:spacing w:line="360" w:lineRule="auto"/>
              <w:rPr>
                <w:sz w:val="20"/>
                <w:szCs w:val="20"/>
              </w:rPr>
            </w:pPr>
            <w:r>
              <w:rPr>
                <w:sz w:val="20"/>
                <w:szCs w:val="20"/>
              </w:rPr>
              <w:t>1.061</w:t>
            </w:r>
          </w:p>
        </w:tc>
        <w:tc>
          <w:tcPr>
            <w:tcW w:w="1984" w:type="dxa"/>
          </w:tcPr>
          <w:p w:rsidR="008B5DEE" w:rsidRPr="008802FF" w:rsidRDefault="008B5DEE" w:rsidP="000569ED">
            <w:pPr>
              <w:spacing w:line="360" w:lineRule="auto"/>
              <w:rPr>
                <w:sz w:val="20"/>
                <w:szCs w:val="20"/>
              </w:rPr>
            </w:pPr>
            <w:r>
              <w:rPr>
                <w:sz w:val="20"/>
                <w:szCs w:val="20"/>
              </w:rPr>
              <w:t>1.00</w:t>
            </w:r>
          </w:p>
        </w:tc>
      </w:tr>
      <w:tr w:rsidR="008B5DEE" w:rsidRPr="008802FF" w:rsidTr="000569ED">
        <w:tc>
          <w:tcPr>
            <w:tcW w:w="2261" w:type="dxa"/>
          </w:tcPr>
          <w:p w:rsidR="008B5DEE" w:rsidRDefault="008B5DEE" w:rsidP="000569ED">
            <w:pPr>
              <w:spacing w:line="360" w:lineRule="auto"/>
              <w:rPr>
                <w:sz w:val="20"/>
              </w:rPr>
            </w:pPr>
            <w:r>
              <w:rPr>
                <w:sz w:val="20"/>
              </w:rPr>
              <w:t xml:space="preserve">   75-79 years</w:t>
            </w:r>
          </w:p>
        </w:tc>
        <w:tc>
          <w:tcPr>
            <w:tcW w:w="1984" w:type="dxa"/>
          </w:tcPr>
          <w:p w:rsidR="008B5DEE" w:rsidRPr="008802FF" w:rsidRDefault="008B5DEE" w:rsidP="000569ED">
            <w:pPr>
              <w:spacing w:line="360" w:lineRule="auto"/>
              <w:rPr>
                <w:sz w:val="20"/>
                <w:szCs w:val="20"/>
              </w:rPr>
            </w:pPr>
            <w:r>
              <w:rPr>
                <w:sz w:val="20"/>
                <w:szCs w:val="20"/>
              </w:rPr>
              <w:t>0.959</w:t>
            </w:r>
          </w:p>
        </w:tc>
        <w:tc>
          <w:tcPr>
            <w:tcW w:w="1984" w:type="dxa"/>
          </w:tcPr>
          <w:p w:rsidR="008B5DEE" w:rsidRPr="008802FF" w:rsidRDefault="008B5DEE" w:rsidP="000569ED">
            <w:pPr>
              <w:spacing w:line="360" w:lineRule="auto"/>
              <w:rPr>
                <w:sz w:val="20"/>
                <w:szCs w:val="20"/>
              </w:rPr>
            </w:pPr>
            <w:r>
              <w:rPr>
                <w:sz w:val="20"/>
                <w:szCs w:val="20"/>
              </w:rPr>
              <w:t>0.970</w:t>
            </w:r>
          </w:p>
        </w:tc>
        <w:tc>
          <w:tcPr>
            <w:tcW w:w="1984" w:type="dxa"/>
          </w:tcPr>
          <w:p w:rsidR="008B5DEE" w:rsidRPr="008802FF" w:rsidRDefault="008B5DEE" w:rsidP="000569ED">
            <w:pPr>
              <w:spacing w:line="360" w:lineRule="auto"/>
              <w:rPr>
                <w:sz w:val="20"/>
                <w:szCs w:val="20"/>
              </w:rPr>
            </w:pPr>
            <w:r>
              <w:rPr>
                <w:sz w:val="20"/>
                <w:szCs w:val="20"/>
              </w:rPr>
              <w:t>NA</w:t>
            </w:r>
          </w:p>
        </w:tc>
      </w:tr>
      <w:tr w:rsidR="008B5DEE" w:rsidRPr="008802FF" w:rsidTr="000569ED">
        <w:tc>
          <w:tcPr>
            <w:tcW w:w="2261" w:type="dxa"/>
          </w:tcPr>
          <w:p w:rsidR="008B5DEE" w:rsidRDefault="008B5DEE" w:rsidP="000569ED">
            <w:pPr>
              <w:spacing w:line="360" w:lineRule="auto"/>
              <w:rPr>
                <w:sz w:val="20"/>
              </w:rPr>
            </w:pPr>
            <w:r>
              <w:rPr>
                <w:sz w:val="20"/>
              </w:rPr>
              <w:t xml:space="preserve">   80-84 years</w:t>
            </w:r>
          </w:p>
        </w:tc>
        <w:tc>
          <w:tcPr>
            <w:tcW w:w="1984" w:type="dxa"/>
          </w:tcPr>
          <w:p w:rsidR="008B5DEE" w:rsidRPr="008802FF" w:rsidRDefault="008B5DEE" w:rsidP="000569ED">
            <w:pPr>
              <w:spacing w:line="360" w:lineRule="auto"/>
              <w:rPr>
                <w:sz w:val="20"/>
                <w:szCs w:val="20"/>
              </w:rPr>
            </w:pPr>
            <w:r>
              <w:rPr>
                <w:sz w:val="20"/>
                <w:szCs w:val="20"/>
              </w:rPr>
              <w:t>0.857</w:t>
            </w:r>
          </w:p>
        </w:tc>
        <w:tc>
          <w:tcPr>
            <w:tcW w:w="1984" w:type="dxa"/>
          </w:tcPr>
          <w:p w:rsidR="008B5DEE" w:rsidRPr="008802FF" w:rsidRDefault="008B5DEE" w:rsidP="000569ED">
            <w:pPr>
              <w:spacing w:line="360" w:lineRule="auto"/>
              <w:rPr>
                <w:sz w:val="20"/>
                <w:szCs w:val="20"/>
              </w:rPr>
            </w:pPr>
            <w:r>
              <w:rPr>
                <w:sz w:val="20"/>
                <w:szCs w:val="20"/>
              </w:rPr>
              <w:t>0.939</w:t>
            </w:r>
          </w:p>
        </w:tc>
        <w:tc>
          <w:tcPr>
            <w:tcW w:w="1984" w:type="dxa"/>
          </w:tcPr>
          <w:p w:rsidR="008B5DEE" w:rsidRPr="008802FF" w:rsidRDefault="008B5DEE" w:rsidP="000569ED">
            <w:pPr>
              <w:spacing w:line="360" w:lineRule="auto"/>
              <w:rPr>
                <w:sz w:val="20"/>
                <w:szCs w:val="20"/>
              </w:rPr>
            </w:pPr>
            <w:r>
              <w:rPr>
                <w:sz w:val="20"/>
                <w:szCs w:val="20"/>
              </w:rPr>
              <w:t>1.03</w:t>
            </w:r>
          </w:p>
        </w:tc>
      </w:tr>
      <w:tr w:rsidR="008B5DEE" w:rsidRPr="008802FF" w:rsidTr="000569ED">
        <w:tc>
          <w:tcPr>
            <w:tcW w:w="2261" w:type="dxa"/>
          </w:tcPr>
          <w:p w:rsidR="008B5DEE" w:rsidRDefault="008B5DEE" w:rsidP="000569ED">
            <w:pPr>
              <w:spacing w:line="360" w:lineRule="auto"/>
              <w:rPr>
                <w:sz w:val="20"/>
              </w:rPr>
            </w:pPr>
            <w:r>
              <w:rPr>
                <w:sz w:val="20"/>
              </w:rPr>
              <w:t xml:space="preserve">   85-89 years</w:t>
            </w:r>
          </w:p>
        </w:tc>
        <w:tc>
          <w:tcPr>
            <w:tcW w:w="1984" w:type="dxa"/>
          </w:tcPr>
          <w:p w:rsidR="008B5DEE" w:rsidRPr="008802FF" w:rsidRDefault="008B5DEE" w:rsidP="000569ED">
            <w:pPr>
              <w:spacing w:line="360" w:lineRule="auto"/>
              <w:rPr>
                <w:sz w:val="20"/>
                <w:szCs w:val="20"/>
              </w:rPr>
            </w:pPr>
            <w:r>
              <w:rPr>
                <w:sz w:val="20"/>
                <w:szCs w:val="20"/>
              </w:rPr>
              <w:t>0.857</w:t>
            </w:r>
          </w:p>
        </w:tc>
        <w:tc>
          <w:tcPr>
            <w:tcW w:w="1984" w:type="dxa"/>
          </w:tcPr>
          <w:p w:rsidR="008B5DEE" w:rsidRPr="008802FF" w:rsidRDefault="008B5DEE" w:rsidP="000569ED">
            <w:pPr>
              <w:spacing w:line="360" w:lineRule="auto"/>
              <w:rPr>
                <w:sz w:val="20"/>
                <w:szCs w:val="20"/>
              </w:rPr>
            </w:pPr>
            <w:r>
              <w:rPr>
                <w:sz w:val="20"/>
                <w:szCs w:val="20"/>
              </w:rPr>
              <w:t>0.970</w:t>
            </w:r>
          </w:p>
        </w:tc>
        <w:tc>
          <w:tcPr>
            <w:tcW w:w="1984" w:type="dxa"/>
          </w:tcPr>
          <w:p w:rsidR="008B5DEE" w:rsidRPr="008802FF" w:rsidRDefault="008B5DEE" w:rsidP="000569ED">
            <w:pPr>
              <w:spacing w:line="360" w:lineRule="auto"/>
              <w:rPr>
                <w:sz w:val="20"/>
                <w:szCs w:val="20"/>
              </w:rPr>
            </w:pPr>
            <w:r>
              <w:rPr>
                <w:sz w:val="20"/>
                <w:szCs w:val="20"/>
              </w:rPr>
              <w:t>NA</w:t>
            </w:r>
          </w:p>
        </w:tc>
      </w:tr>
      <w:tr w:rsidR="008B5DEE" w:rsidRPr="008802FF" w:rsidTr="000569ED">
        <w:tc>
          <w:tcPr>
            <w:tcW w:w="2261" w:type="dxa"/>
          </w:tcPr>
          <w:p w:rsidR="008B5DEE" w:rsidRPr="008802FF" w:rsidRDefault="008B5DEE" w:rsidP="000569ED">
            <w:pPr>
              <w:spacing w:line="360" w:lineRule="auto"/>
              <w:rPr>
                <w:sz w:val="20"/>
              </w:rPr>
            </w:pPr>
            <w:r>
              <w:rPr>
                <w:sz w:val="20"/>
              </w:rPr>
              <w:t xml:space="preserve">   ≥90 years</w:t>
            </w:r>
          </w:p>
        </w:tc>
        <w:tc>
          <w:tcPr>
            <w:tcW w:w="1984" w:type="dxa"/>
          </w:tcPr>
          <w:p w:rsidR="008B5DEE" w:rsidRPr="008802FF" w:rsidRDefault="008B5DEE" w:rsidP="000569ED">
            <w:pPr>
              <w:spacing w:line="360" w:lineRule="auto"/>
              <w:rPr>
                <w:sz w:val="20"/>
                <w:szCs w:val="20"/>
              </w:rPr>
            </w:pPr>
            <w:r>
              <w:rPr>
                <w:sz w:val="20"/>
                <w:szCs w:val="20"/>
              </w:rPr>
              <w:t>0.857</w:t>
            </w:r>
          </w:p>
        </w:tc>
        <w:tc>
          <w:tcPr>
            <w:tcW w:w="1984" w:type="dxa"/>
          </w:tcPr>
          <w:p w:rsidR="008B5DEE" w:rsidRPr="008802FF" w:rsidRDefault="008B5DEE" w:rsidP="000569ED">
            <w:pPr>
              <w:spacing w:line="360" w:lineRule="auto"/>
              <w:rPr>
                <w:sz w:val="20"/>
                <w:szCs w:val="20"/>
              </w:rPr>
            </w:pPr>
            <w:r>
              <w:rPr>
                <w:sz w:val="20"/>
                <w:szCs w:val="20"/>
              </w:rPr>
              <w:t>0.970</w:t>
            </w:r>
          </w:p>
        </w:tc>
        <w:tc>
          <w:tcPr>
            <w:tcW w:w="1984" w:type="dxa"/>
          </w:tcPr>
          <w:p w:rsidR="008B5DEE" w:rsidRPr="008802FF" w:rsidRDefault="008B5DEE" w:rsidP="000569ED">
            <w:pPr>
              <w:spacing w:line="360" w:lineRule="auto"/>
              <w:rPr>
                <w:sz w:val="20"/>
                <w:szCs w:val="20"/>
              </w:rPr>
            </w:pPr>
            <w:r>
              <w:rPr>
                <w:sz w:val="20"/>
                <w:szCs w:val="20"/>
              </w:rPr>
              <w:t>NA</w:t>
            </w:r>
          </w:p>
        </w:tc>
      </w:tr>
    </w:tbl>
    <w:p w:rsidR="008B5DEE" w:rsidRPr="0023009D" w:rsidRDefault="008B5DEE" w:rsidP="00D917EE">
      <w:pPr>
        <w:rPr>
          <w:sz w:val="20"/>
        </w:rPr>
      </w:pPr>
      <w:r w:rsidRPr="0023009D">
        <w:rPr>
          <w:sz w:val="20"/>
        </w:rPr>
        <w:t>NA: Not available, UK: United Kingdom, US: United States, VE: Vaccine effectiveness.</w:t>
      </w:r>
    </w:p>
    <w:p w:rsidR="009809BC" w:rsidRDefault="009809BC" w:rsidP="00D36BCB">
      <w:r>
        <w:br w:type="page"/>
      </w:r>
    </w:p>
    <w:p w:rsidR="009809BC" w:rsidRDefault="009809BC" w:rsidP="009809BC">
      <w:pPr>
        <w:pStyle w:val="Heading2"/>
      </w:pPr>
      <w:r>
        <w:lastRenderedPageBreak/>
        <w:t>References</w:t>
      </w:r>
    </w:p>
    <w:p w:rsidR="005B099B" w:rsidRPr="005B099B" w:rsidRDefault="005B099B" w:rsidP="005B099B">
      <w:pPr>
        <w:pStyle w:val="EndNoteBibliography"/>
        <w:ind w:left="720" w:hanging="720"/>
      </w:pPr>
      <w:r w:rsidRPr="005B099B">
        <w:t>1.</w:t>
      </w:r>
      <w:r w:rsidRPr="005B099B">
        <w:tab/>
        <w:t>van Wijck AJM, Aerssens YR. Pain, Itch, Quality of Life, and Costs after Herpes Zoster. Pain Pract 2017, 17(6):738-746.</w:t>
      </w:r>
    </w:p>
    <w:p w:rsidR="005B099B" w:rsidRPr="005B099B" w:rsidRDefault="005B099B" w:rsidP="005B099B">
      <w:pPr>
        <w:pStyle w:val="EndNoteBibliography"/>
        <w:ind w:left="720" w:hanging="720"/>
      </w:pPr>
      <w:r w:rsidRPr="005B099B">
        <w:t>2.</w:t>
      </w:r>
      <w:r w:rsidRPr="005B099B">
        <w:tab/>
        <w:t xml:space="preserve">Statistics Netherlands. Life-expectancy; Gender, age (per year and period of five years) 2017 </w:t>
      </w:r>
      <w:r w:rsidRPr="00313BF9">
        <w:t>http://statline.cbs.nl/Statweb/publication/?DM=SLNL&amp;PA=37360ned&amp;D1=0&amp;D2=0&amp;D3=a&amp;D4=94-95%2cl&amp;HDR=G1%2cT&amp;STB=G2%2cG3&amp;VW=T</w:t>
      </w:r>
      <w:r w:rsidRPr="005B099B">
        <w:t>. Accessed at 1 December 2017.</w:t>
      </w:r>
    </w:p>
    <w:p w:rsidR="005B099B" w:rsidRPr="005B099B" w:rsidRDefault="005B099B" w:rsidP="005B099B">
      <w:pPr>
        <w:pStyle w:val="EndNoteBibliography"/>
        <w:ind w:left="720" w:hanging="720"/>
      </w:pPr>
      <w:r w:rsidRPr="005B099B">
        <w:t>3.</w:t>
      </w:r>
      <w:r w:rsidRPr="005B099B">
        <w:tab/>
        <w:t>Szende A, Janssen B, Cabases J. Self-Reported Population Health: An International Perspective based on EQ-5D: Springer Open; 2014.</w:t>
      </w:r>
    </w:p>
    <w:p w:rsidR="005B099B" w:rsidRPr="005B099B" w:rsidRDefault="005B099B" w:rsidP="005B099B">
      <w:pPr>
        <w:pStyle w:val="EndNoteBibliography"/>
        <w:ind w:left="720" w:hanging="720"/>
      </w:pPr>
      <w:r w:rsidRPr="005B099B">
        <w:t>4.</w:t>
      </w:r>
      <w:r w:rsidRPr="005B099B">
        <w:tab/>
        <w:t xml:space="preserve">Dutch Hospital Data (DHD). Landelijke basisregistratie ziekenhuiszorg (LBZ) [Dutch national registration hospital care] 2017 </w:t>
      </w:r>
      <w:r w:rsidRPr="00313BF9">
        <w:t>https://www.dhd.nl/producten-diensten/LBZ/Paginas/Dataverzameling-LBZ.aspx</w:t>
      </w:r>
      <w:r w:rsidRPr="005B099B">
        <w:t>. Accessed at 1 December 2017.</w:t>
      </w:r>
    </w:p>
    <w:p w:rsidR="005B099B" w:rsidRPr="005B099B" w:rsidRDefault="005B099B" w:rsidP="005B099B">
      <w:pPr>
        <w:pStyle w:val="EndNoteBibliography"/>
        <w:ind w:left="720" w:hanging="720"/>
      </w:pPr>
      <w:r w:rsidRPr="00E32FD4">
        <w:rPr>
          <w:lang w:val="nl-NL"/>
        </w:rPr>
        <w:t>5.</w:t>
      </w:r>
      <w:r w:rsidRPr="00E32FD4">
        <w:rPr>
          <w:lang w:val="nl-NL"/>
        </w:rPr>
        <w:tab/>
        <w:t xml:space="preserve">Hakkaart-van Roijen L, Essink-Bot ML. Handleiding Vragenlijst over Ziekte en Werk. </w:t>
      </w:r>
      <w:r w:rsidRPr="005B099B">
        <w:t>Rotterdam: Institute for Medical Technology Assessment; 1999.</w:t>
      </w:r>
    </w:p>
    <w:p w:rsidR="005B099B" w:rsidRPr="005B099B" w:rsidRDefault="005B099B" w:rsidP="005B099B">
      <w:pPr>
        <w:pStyle w:val="EndNoteBibliography"/>
        <w:ind w:left="720" w:hanging="720"/>
      </w:pPr>
      <w:r w:rsidRPr="005B099B">
        <w:t>6.</w:t>
      </w:r>
      <w:r w:rsidRPr="005B099B">
        <w:tab/>
        <w:t xml:space="preserve">Statistics Netherlands. Absenteeism according to employees; gender and age 2017 </w:t>
      </w:r>
      <w:r w:rsidRPr="00313BF9">
        <w:t>http://statline.cbs.nl/Statweb/publication/?DM=SLNL&amp;PA=83056ned&amp;D1=a&amp;D2=0&amp;D3=5-6&amp;D4=l&amp;HDR=G3,T&amp;STB=G1,G2&amp;VW=T</w:t>
      </w:r>
      <w:r w:rsidRPr="005B099B">
        <w:t>. Accessed at 1 December 2017.</w:t>
      </w:r>
    </w:p>
    <w:p w:rsidR="005B099B" w:rsidRPr="005B099B" w:rsidRDefault="005B099B" w:rsidP="005B099B">
      <w:pPr>
        <w:pStyle w:val="EndNoteBibliography"/>
        <w:ind w:left="720" w:hanging="720"/>
      </w:pPr>
      <w:r w:rsidRPr="005B099B">
        <w:t>7.</w:t>
      </w:r>
      <w:r w:rsidRPr="005B099B">
        <w:tab/>
        <w:t xml:space="preserve">Statistics Netherlands. Labour participation; Key figures 2016 </w:t>
      </w:r>
      <w:r w:rsidRPr="00313BF9">
        <w:t>http://statline.cbs.nl/Statweb/publication/?DM=SLNL&amp;PA=82309NED&amp;D1=22-23&amp;D2=a&amp;D3=18-22&amp;D4=0&amp;D5=69&amp;HDR=G1,T&amp;STB=G2,G3,G4&amp;VW=T</w:t>
      </w:r>
      <w:r w:rsidRPr="005B099B">
        <w:t>. Accessed at 1 December 2017.</w:t>
      </w:r>
    </w:p>
    <w:p w:rsidR="005B099B" w:rsidRPr="005B099B" w:rsidRDefault="005B099B" w:rsidP="005B099B">
      <w:pPr>
        <w:pStyle w:val="EndNoteBibliography"/>
        <w:ind w:left="720" w:hanging="720"/>
      </w:pPr>
      <w:r w:rsidRPr="005B099B">
        <w:t>8.</w:t>
      </w:r>
      <w:r w:rsidRPr="005B099B">
        <w:tab/>
        <w:t>Eysink PED, Hamberg-van Reenen HH, van Gool CH, Hoeymans N, Burdorf A. Measuring lost years of work due to illness: Disease-Adjusted Working Years (DAWY). Bilthoven: National Institute for Public Health and the Environment; 2010.</w:t>
      </w:r>
    </w:p>
    <w:p w:rsidR="005B099B" w:rsidRPr="005B099B" w:rsidRDefault="005B099B" w:rsidP="005B099B">
      <w:pPr>
        <w:pStyle w:val="EndNoteBibliography"/>
        <w:ind w:left="720" w:hanging="720"/>
      </w:pPr>
      <w:r w:rsidRPr="005B099B">
        <w:t>9.</w:t>
      </w:r>
      <w:r w:rsidRPr="005B099B">
        <w:tab/>
        <w:t>Koopmanschap MA, Rutten FF, van Ineveld BM, van Roijen L. The friction cost method for measuring indirect costs of disease. J Health Econ 1995, 14(2):171-189.</w:t>
      </w:r>
    </w:p>
    <w:p w:rsidR="005B099B" w:rsidRPr="005B099B" w:rsidRDefault="005B099B" w:rsidP="005B099B">
      <w:pPr>
        <w:pStyle w:val="EndNoteBibliography"/>
        <w:ind w:left="720" w:hanging="720"/>
      </w:pPr>
      <w:r w:rsidRPr="005B099B">
        <w:t>10.</w:t>
      </w:r>
      <w:r w:rsidRPr="005B099B">
        <w:tab/>
        <w:t xml:space="preserve">National Health Care Institute. Guideline for economic evaluations in healthcare 2016 </w:t>
      </w:r>
      <w:r w:rsidRPr="00313BF9">
        <w:t>https://english.zorginstituutnederland.nl/publications/reports/2016/06/16/guideline-for-economic-evaluations-in-healthcare</w:t>
      </w:r>
      <w:r w:rsidRPr="005B099B">
        <w:t>. Accessed at 1 December 2017.</w:t>
      </w:r>
    </w:p>
    <w:p w:rsidR="005B099B" w:rsidRPr="005B099B" w:rsidRDefault="005B099B" w:rsidP="005B099B">
      <w:pPr>
        <w:pStyle w:val="EndNoteBibliography"/>
        <w:ind w:left="720" w:hanging="720"/>
      </w:pPr>
      <w:r w:rsidRPr="005B099B">
        <w:t>11.</w:t>
      </w:r>
      <w:r w:rsidRPr="005B099B">
        <w:tab/>
        <w:t xml:space="preserve">National Health Care Institute. Farmacotherapeutisch Kompas 2017 </w:t>
      </w:r>
      <w:r w:rsidRPr="00313BF9">
        <w:t>https://www.farmacotherapeutischkompas.nl/</w:t>
      </w:r>
      <w:r w:rsidRPr="005B099B">
        <w:t>. Accessed at 1 December 2017.</w:t>
      </w:r>
    </w:p>
    <w:p w:rsidR="005B099B" w:rsidRPr="005B099B" w:rsidRDefault="005B099B" w:rsidP="005B099B">
      <w:pPr>
        <w:pStyle w:val="EndNoteBibliography"/>
        <w:ind w:left="720" w:hanging="720"/>
      </w:pPr>
      <w:r w:rsidRPr="00313BF9">
        <w:t>12.</w:t>
      </w:r>
      <w:r w:rsidRPr="00313BF9">
        <w:tab/>
        <w:t xml:space="preserve">van Baal PH, Wong A, Slobbe LC, Polder JJ, Brouwer WB, de Wit GA. </w:t>
      </w:r>
      <w:r w:rsidRPr="005B099B">
        <w:t>Standardizing the inclusion of indirect medical costs in economic evaluations. Pharmacoeconomics 2011, 29(3):175-187.</w:t>
      </w:r>
    </w:p>
    <w:p w:rsidR="005B099B" w:rsidRPr="005B099B" w:rsidRDefault="005B099B" w:rsidP="005B099B">
      <w:pPr>
        <w:pStyle w:val="EndNoteBibliography"/>
        <w:ind w:left="720" w:hanging="720"/>
      </w:pPr>
      <w:r w:rsidRPr="005B099B">
        <w:t>13.</w:t>
      </w:r>
      <w:r w:rsidRPr="005B099B">
        <w:tab/>
        <w:t xml:space="preserve">National Health Care Institute. Medicijnkosten.nl 2017 </w:t>
      </w:r>
      <w:r w:rsidRPr="00313BF9">
        <w:t>www.medicijnkosten.nl</w:t>
      </w:r>
      <w:r w:rsidRPr="005B099B">
        <w:t>. Accessed at 1 December 2017.</w:t>
      </w:r>
    </w:p>
    <w:p w:rsidR="005B099B" w:rsidRPr="005B099B" w:rsidRDefault="005B099B" w:rsidP="005B099B">
      <w:pPr>
        <w:pStyle w:val="EndNoteBibliography"/>
        <w:ind w:left="720" w:hanging="720"/>
      </w:pPr>
      <w:r w:rsidRPr="005B099B">
        <w:t>14.</w:t>
      </w:r>
      <w:r w:rsidRPr="005B099B">
        <w:tab/>
        <w:t>Lal H, Cunningham AL, Godeaux O, Chlibek R, Diez-Domingo J, Hwang SJ, Levin MJ, McElhaney JE, Poder A, Puig-Barbera J</w:t>
      </w:r>
      <w:r w:rsidRPr="005B099B">
        <w:rPr>
          <w:i/>
        </w:rPr>
        <w:t xml:space="preserve"> et al</w:t>
      </w:r>
      <w:r w:rsidRPr="005B099B">
        <w:t>. Efficacy of an adjuvanted herpes zoster subunit vaccine in older adults. N Engl J Med 2015, 372(22):2087-2096.</w:t>
      </w:r>
    </w:p>
    <w:p w:rsidR="005B099B" w:rsidRPr="005B099B" w:rsidRDefault="005B099B" w:rsidP="005B099B">
      <w:pPr>
        <w:pStyle w:val="EndNoteBibliography"/>
        <w:ind w:left="720" w:hanging="720"/>
      </w:pPr>
      <w:r w:rsidRPr="005B099B">
        <w:t>15.</w:t>
      </w:r>
      <w:r w:rsidRPr="005B099B">
        <w:tab/>
        <w:t>Cunningham AL, Lal H, Kovac M, Chlibek R, Hwang SJ, Diez-Domingo J, Godeaux O, Levin MJ, McElhaney JE, Puig-Barbera J</w:t>
      </w:r>
      <w:r w:rsidRPr="005B099B">
        <w:rPr>
          <w:i/>
        </w:rPr>
        <w:t xml:space="preserve"> et al</w:t>
      </w:r>
      <w:r w:rsidRPr="005B099B">
        <w:t>. Efficacy of the Herpes Zoster Subunit Vaccine in Adults 70 Years of Age or Older. N Engl J Med 2016, 375(11):1019-1032.</w:t>
      </w:r>
    </w:p>
    <w:p w:rsidR="005B099B" w:rsidRPr="005B099B" w:rsidRDefault="005B099B" w:rsidP="005B099B">
      <w:pPr>
        <w:pStyle w:val="EndNoteBibliography"/>
        <w:ind w:left="720" w:hanging="720"/>
      </w:pPr>
      <w:r w:rsidRPr="005B099B">
        <w:t>16.</w:t>
      </w:r>
      <w:r w:rsidRPr="005B099B">
        <w:tab/>
        <w:t xml:space="preserve">Curran D, Van Oorschot D, Varghese L, Oostvogels L, Mrkvan T, Colindres R, von Krempelhuber A, Anastassopoulou A. Assessment of the potential public health impact </w:t>
      </w:r>
      <w:r w:rsidRPr="005B099B">
        <w:lastRenderedPageBreak/>
        <w:t>of Herpes Zoster vaccination in Germany. Hum Vaccin Immunother 2017, 13(10):2213-2221.</w:t>
      </w:r>
    </w:p>
    <w:p w:rsidR="005B099B" w:rsidRPr="005B099B" w:rsidRDefault="005B099B" w:rsidP="005B099B">
      <w:pPr>
        <w:pStyle w:val="EndNoteBibliography"/>
        <w:ind w:left="720" w:hanging="720"/>
      </w:pPr>
      <w:r w:rsidRPr="005B099B">
        <w:t>17.</w:t>
      </w:r>
      <w:r w:rsidRPr="005B099B">
        <w:tab/>
        <w:t>Oxman MN, Levin MJ, Johnson GR, Schmader KE, Straus SE, Gelb LD, Arbeit RD, Simberkoff MS, Gershon AA, Davis LE</w:t>
      </w:r>
      <w:r w:rsidRPr="005B099B">
        <w:rPr>
          <w:i/>
        </w:rPr>
        <w:t xml:space="preserve"> et al</w:t>
      </w:r>
      <w:r w:rsidRPr="005B099B">
        <w:t>. A vaccine to prevent herpes zoster and postherpetic neuralgia in older adults. N Engl J Med 2005, 352(22):2271-2284.</w:t>
      </w:r>
    </w:p>
    <w:p w:rsidR="005B099B" w:rsidRPr="005B099B" w:rsidRDefault="005B099B" w:rsidP="005B099B">
      <w:pPr>
        <w:pStyle w:val="EndNoteBibliography"/>
        <w:ind w:left="720" w:hanging="720"/>
      </w:pPr>
      <w:r w:rsidRPr="005B099B">
        <w:t>18.</w:t>
      </w:r>
      <w:r w:rsidRPr="005B099B">
        <w:tab/>
        <w:t>Schmader KE, Oxman MN, Levin MJ, Johnson G, Zhang JH, Betts R, Morrison VA, Gelb L, Guatelli JC, Harbecke R</w:t>
      </w:r>
      <w:r w:rsidRPr="005B099B">
        <w:rPr>
          <w:i/>
        </w:rPr>
        <w:t xml:space="preserve"> et al</w:t>
      </w:r>
      <w:r w:rsidRPr="005B099B">
        <w:t>. Persistence of the efficacy of zoster vaccine in the shingles prevention study and the short-term persistence substudy. Clin Infect Dis 2012, 55(10):1320-1328.</w:t>
      </w:r>
    </w:p>
    <w:p w:rsidR="005B099B" w:rsidRPr="005B099B" w:rsidRDefault="005B099B" w:rsidP="005B099B">
      <w:pPr>
        <w:pStyle w:val="EndNoteBibliography"/>
        <w:ind w:left="720" w:hanging="720"/>
      </w:pPr>
      <w:r w:rsidRPr="005B099B">
        <w:t>19.</w:t>
      </w:r>
      <w:r w:rsidRPr="005B099B">
        <w:tab/>
        <w:t>Morrison VA, Johnson GR, Schmader KE, Levin MJ, Zhang JH, Looney DJ, Betts R, Gelb L, Guatelli JC, Harbecke R</w:t>
      </w:r>
      <w:r w:rsidRPr="005B099B">
        <w:rPr>
          <w:i/>
        </w:rPr>
        <w:t xml:space="preserve"> et al</w:t>
      </w:r>
      <w:r w:rsidRPr="005B099B">
        <w:t>. Long-term persistence of zoster vaccine efficacy. Clin Infect Dis 2015, 60(6):900-909.</w:t>
      </w:r>
    </w:p>
    <w:p w:rsidR="005B099B" w:rsidRPr="005B099B" w:rsidRDefault="005B099B" w:rsidP="005B099B">
      <w:pPr>
        <w:pStyle w:val="EndNoteBibliography"/>
        <w:ind w:left="720" w:hanging="720"/>
      </w:pPr>
      <w:r w:rsidRPr="00E32FD4">
        <w:rPr>
          <w:lang w:val="nl-NL"/>
        </w:rPr>
        <w:t>20.</w:t>
      </w:r>
      <w:r w:rsidRPr="00E32FD4">
        <w:rPr>
          <w:lang w:val="nl-NL"/>
        </w:rPr>
        <w:tab/>
        <w:t>Schmader KE, Levin MJ, Gnann JW, Jr., McNeil SA, Vesikari T, Betts RF, Keay S, Stek JE, Bundick ND, Su SC</w:t>
      </w:r>
      <w:r w:rsidRPr="00E32FD4">
        <w:rPr>
          <w:i/>
          <w:lang w:val="nl-NL"/>
        </w:rPr>
        <w:t xml:space="preserve"> et al</w:t>
      </w:r>
      <w:r w:rsidRPr="00E32FD4">
        <w:rPr>
          <w:lang w:val="nl-NL"/>
        </w:rPr>
        <w:t xml:space="preserve">. </w:t>
      </w:r>
      <w:r w:rsidRPr="005B099B">
        <w:t>Efficacy, safety, and tolerability of herpes zoster vaccine in persons aged 50-59 years. Clin Infect Dis 2012, 54(7):922-928.</w:t>
      </w:r>
    </w:p>
    <w:p w:rsidR="005B099B" w:rsidRPr="00E32FD4" w:rsidRDefault="005B099B" w:rsidP="005B099B">
      <w:pPr>
        <w:pStyle w:val="EndNoteBibliography"/>
        <w:ind w:left="720" w:hanging="720"/>
        <w:rPr>
          <w:lang w:val="nl-NL"/>
        </w:rPr>
      </w:pPr>
      <w:r w:rsidRPr="005B099B">
        <w:t>21.</w:t>
      </w:r>
      <w:r w:rsidRPr="005B099B">
        <w:tab/>
        <w:t xml:space="preserve">Schroder C, Enders D, Schink T, Riedel O. Incidence of herpes zoster amongst adults varies by severity of immunosuppression. </w:t>
      </w:r>
      <w:r w:rsidRPr="00E32FD4">
        <w:rPr>
          <w:lang w:val="nl-NL"/>
        </w:rPr>
        <w:t>J Infect 2017, 75(3):207-215.</w:t>
      </w:r>
    </w:p>
    <w:p w:rsidR="005B099B" w:rsidRPr="00E32FD4" w:rsidRDefault="005B099B" w:rsidP="005B099B">
      <w:pPr>
        <w:pStyle w:val="EndNoteBibliography"/>
        <w:ind w:left="720" w:hanging="720"/>
        <w:rPr>
          <w:lang w:val="nl-NL"/>
        </w:rPr>
      </w:pPr>
      <w:r w:rsidRPr="00E32FD4">
        <w:rPr>
          <w:lang w:val="nl-NL"/>
        </w:rPr>
        <w:t>22.</w:t>
      </w:r>
      <w:r w:rsidRPr="00E32FD4">
        <w:rPr>
          <w:lang w:val="nl-NL"/>
        </w:rPr>
        <w:tab/>
        <w:t xml:space="preserve">Hobbelen PH, Stowe J, Amirthalingam G, Miller L, van Hoek AJ. </w:t>
      </w:r>
      <w:r w:rsidRPr="005B099B">
        <w:t xml:space="preserve">The burden of hospitalisation for varicella and herpes zoster in England from 2004 to 2013. </w:t>
      </w:r>
      <w:r w:rsidRPr="00E32FD4">
        <w:rPr>
          <w:lang w:val="nl-NL"/>
        </w:rPr>
        <w:t>J Infect 2016, 73(3):241-253.</w:t>
      </w:r>
    </w:p>
    <w:p w:rsidR="005B099B" w:rsidRPr="005B099B" w:rsidRDefault="005B099B" w:rsidP="005B099B">
      <w:pPr>
        <w:pStyle w:val="EndNoteBibliography"/>
        <w:ind w:left="720" w:hanging="720"/>
      </w:pPr>
      <w:r w:rsidRPr="00E32FD4">
        <w:rPr>
          <w:lang w:val="nl-NL"/>
        </w:rPr>
        <w:t>23.</w:t>
      </w:r>
      <w:r w:rsidRPr="00E32FD4">
        <w:rPr>
          <w:lang w:val="nl-NL"/>
        </w:rPr>
        <w:tab/>
        <w:t xml:space="preserve">van Hoek AJ, Gay N, Melegaro A, Opstelten W, Edmunds WJ. </w:t>
      </w:r>
      <w:r w:rsidRPr="005B099B">
        <w:t>Estimating the cost-effectiveness of vaccination against herpes zoster in England and Wales. Vaccine 2009, 27(9):1454-1467.</w:t>
      </w:r>
    </w:p>
    <w:p w:rsidR="005B099B" w:rsidRPr="005B099B" w:rsidRDefault="005B099B" w:rsidP="005B099B">
      <w:pPr>
        <w:pStyle w:val="EndNoteBibliography"/>
        <w:ind w:left="720" w:hanging="720"/>
      </w:pPr>
      <w:r w:rsidRPr="005B099B">
        <w:t>24.</w:t>
      </w:r>
      <w:r w:rsidRPr="005B099B">
        <w:tab/>
        <w:t>Dooling KL, Guo A, Patel M, Lee GM, Moore K, Belongia EA, Harpaz R. Recommendations of the Advisory Committee on Immunization Practices for Use of Herpes Zoster Vaccines. MMWR Morb Mortal Wkly Rep 2018, 67(3):103-108.</w:t>
      </w:r>
    </w:p>
    <w:p w:rsidR="005B099B" w:rsidRPr="00313BF9" w:rsidRDefault="005B099B" w:rsidP="005B099B">
      <w:pPr>
        <w:pStyle w:val="EndNoteBibliography"/>
        <w:ind w:left="720" w:hanging="720"/>
      </w:pPr>
      <w:r w:rsidRPr="005B099B">
        <w:t>25.</w:t>
      </w:r>
      <w:r w:rsidRPr="005B099B">
        <w:tab/>
        <w:t xml:space="preserve">Immunisation and High Consequence Infectious Diseases Team GaPHG. Consultation on the Cost-Effectiveness Methodology for Vaccination Programmes and Procurement (CEMIPP) Report 2018 </w:t>
      </w:r>
      <w:r w:rsidRPr="00313BF9">
        <w:t>https://assets.publishing.service.gov.uk/government/uploads/system/uploads/attachment_data/file/683841/Consultation_document_re_CEMIPP.pdf</w:t>
      </w:r>
      <w:r w:rsidRPr="005B099B">
        <w:t xml:space="preserve">. </w:t>
      </w:r>
      <w:r w:rsidRPr="00313BF9">
        <w:t>Accessed at 2018 1 June.</w:t>
      </w:r>
    </w:p>
    <w:p w:rsidR="005B099B" w:rsidRPr="005B099B" w:rsidRDefault="005B099B" w:rsidP="005B099B">
      <w:pPr>
        <w:pStyle w:val="EndNoteBibliography"/>
        <w:ind w:left="720" w:hanging="720"/>
      </w:pPr>
      <w:r w:rsidRPr="00E32FD4">
        <w:rPr>
          <w:lang w:val="nl-NL"/>
        </w:rPr>
        <w:t>26.</w:t>
      </w:r>
      <w:r w:rsidRPr="00E32FD4">
        <w:rPr>
          <w:lang w:val="nl-NL"/>
        </w:rPr>
        <w:tab/>
        <w:t xml:space="preserve">Chlibek R, Smetana J, Pauksens K, Rombo L, Van den Hoek JA, Richardus JH, Plassmann G, Schwarz TF, Ledent E, Heineman TC. </w:t>
      </w:r>
      <w:r w:rsidRPr="005B099B">
        <w:t>Safety and immunogenicity of three different formulations of an adjuvanted varicella-zoster virus subunit candidate vaccine in older adults: a phase II, randomized, controlled study. Vaccine 2014, 32(15):1745-1753.</w:t>
      </w:r>
    </w:p>
    <w:p w:rsidR="005B099B" w:rsidRPr="005B099B" w:rsidRDefault="005B099B" w:rsidP="005B099B">
      <w:pPr>
        <w:pStyle w:val="EndNoteBibliography"/>
        <w:ind w:left="720" w:hanging="720"/>
      </w:pPr>
      <w:r w:rsidRPr="005B099B">
        <w:t>27.</w:t>
      </w:r>
      <w:r w:rsidRPr="005B099B">
        <w:tab/>
        <w:t>Le P, Rothberg MB. Determining the Optimal Vaccination Schedule for Herpes Zoster: a Cost-Effectiveness Analysis. J Gen Intern Med 2017, 32(2):159-167.</w:t>
      </w:r>
    </w:p>
    <w:p w:rsidR="005B099B" w:rsidRPr="005B099B" w:rsidRDefault="005B099B" w:rsidP="005B099B">
      <w:pPr>
        <w:pStyle w:val="EndNoteBibliography"/>
        <w:ind w:left="720" w:hanging="720"/>
      </w:pPr>
      <w:r w:rsidRPr="005B099B">
        <w:t>28.</w:t>
      </w:r>
      <w:r w:rsidRPr="005B099B">
        <w:tab/>
        <w:t>Tseng HF, Harpaz R, Luo Y, Hales CM, Sy LS, Tartof SY, Bialek S, Hechter RC, Jacobsen SJ. Declining Effectiveness of Herpes Zoster Vaccine in Adults Aged &gt;/=60 Years. J Infect Dis 2016, 213(12):1872-1875.</w:t>
      </w:r>
    </w:p>
    <w:p w:rsidR="005B099B" w:rsidRPr="005B099B" w:rsidRDefault="005B099B" w:rsidP="005B099B">
      <w:pPr>
        <w:pStyle w:val="EndNoteBibliography"/>
        <w:ind w:left="720" w:hanging="720"/>
      </w:pPr>
      <w:r w:rsidRPr="005B099B">
        <w:t>29.</w:t>
      </w:r>
      <w:r w:rsidRPr="005B099B">
        <w:tab/>
        <w:t>Izurieta HS, Wernecke M, Kelman J, Wong S, Forshee R, Pratt D, Lu Y, Sun Q, Jankosky C, Krause P</w:t>
      </w:r>
      <w:r w:rsidRPr="005B099B">
        <w:rPr>
          <w:i/>
        </w:rPr>
        <w:t xml:space="preserve"> et al</w:t>
      </w:r>
      <w:r w:rsidRPr="005B099B">
        <w:t>. Effectiveness and Duration of Protection Provided by the Live-attenuated Herpes Zoster Vaccine in the Medicare Population Ages 65 Years and Older. Clin Infect Dis 2017, 64(6):785-793.</w:t>
      </w:r>
    </w:p>
    <w:p w:rsidR="005B099B" w:rsidRPr="005B099B" w:rsidRDefault="005B099B" w:rsidP="005B099B">
      <w:pPr>
        <w:pStyle w:val="EndNoteBibliography"/>
        <w:ind w:left="720" w:hanging="720"/>
      </w:pPr>
      <w:r w:rsidRPr="005B099B">
        <w:lastRenderedPageBreak/>
        <w:t>30.</w:t>
      </w:r>
      <w:r w:rsidRPr="005B099B">
        <w:tab/>
        <w:t>Walker JL, Andrews NJ, Amirthalingam G, Forbes H, Langan SM, Thomas SL. Effectiveness of herpes zoster vaccination in an older United Kingdom population. Vaccine 2018.</w:t>
      </w:r>
    </w:p>
    <w:p w:rsidR="003F4784" w:rsidRDefault="003F4784" w:rsidP="009809BC"/>
    <w:p w:rsidR="003F4784" w:rsidRDefault="003F4784" w:rsidP="003F4784">
      <w:r>
        <w:br w:type="page"/>
      </w:r>
    </w:p>
    <w:p w:rsidR="00702278" w:rsidRDefault="00864629" w:rsidP="00702278">
      <w:pPr>
        <w:pStyle w:val="Heading1"/>
      </w:pPr>
      <w:r w:rsidRPr="008802FF">
        <w:lastRenderedPageBreak/>
        <w:t xml:space="preserve">Supplemental </w:t>
      </w:r>
      <w:r>
        <w:t>results</w:t>
      </w:r>
    </w:p>
    <w:p w:rsidR="00864629" w:rsidRDefault="00864629" w:rsidP="00864629">
      <w:r w:rsidRPr="0071384F">
        <w:t>Cost-effectiveness of vaccination of immunocompetent older adults against herpes zoster in the Netherlands: A comparison between the adjuvanted subunit and live-attenuated vaccine</w:t>
      </w:r>
    </w:p>
    <w:p w:rsidR="00864629" w:rsidRPr="008802FF" w:rsidRDefault="00864629" w:rsidP="00864629">
      <w:pPr>
        <w:rPr>
          <w:b/>
        </w:rPr>
      </w:pPr>
    </w:p>
    <w:p w:rsidR="00864629" w:rsidRDefault="00267236" w:rsidP="00864629">
      <w:pPr>
        <w:spacing w:after="200" w:line="276" w:lineRule="auto"/>
      </w:pPr>
      <w:r>
        <w:rPr>
          <w:noProof/>
          <w:lang w:val="en-US"/>
        </w:rPr>
        <w:drawing>
          <wp:inline distT="0" distB="0" distL="0" distR="0">
            <wp:extent cx="2752344" cy="2487168"/>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344" cy="2487168"/>
                    </a:xfrm>
                    <a:prstGeom prst="rect">
                      <a:avLst/>
                    </a:prstGeom>
                  </pic:spPr>
                </pic:pic>
              </a:graphicData>
            </a:graphic>
          </wp:inline>
        </w:drawing>
      </w:r>
      <w:r>
        <w:rPr>
          <w:noProof/>
          <w:lang w:val="en-US"/>
        </w:rPr>
        <w:t xml:space="preserve">   </w:t>
      </w:r>
      <w:r>
        <w:rPr>
          <w:noProof/>
          <w:lang w:val="en-US"/>
        </w:rPr>
        <w:drawing>
          <wp:inline distT="0" distB="0" distL="0" distR="0">
            <wp:extent cx="2749296" cy="24841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9296" cy="2484120"/>
                    </a:xfrm>
                    <a:prstGeom prst="rect">
                      <a:avLst/>
                    </a:prstGeom>
                  </pic:spPr>
                </pic:pic>
              </a:graphicData>
            </a:graphic>
          </wp:inline>
        </w:drawing>
      </w:r>
    </w:p>
    <w:p w:rsidR="00864629" w:rsidRDefault="00267236" w:rsidP="00864629">
      <w:pPr>
        <w:keepNext/>
        <w:spacing w:after="200" w:line="276" w:lineRule="auto"/>
      </w:pPr>
      <w:r>
        <w:rPr>
          <w:noProof/>
          <w:lang w:val="en-US"/>
        </w:rPr>
        <w:drawing>
          <wp:inline distT="0" distB="0" distL="0" distR="0" wp14:anchorId="15519F53" wp14:editId="7759EE7E">
            <wp:extent cx="2746248" cy="2487168"/>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6248" cy="2487168"/>
                    </a:xfrm>
                    <a:prstGeom prst="rect">
                      <a:avLst/>
                    </a:prstGeom>
                  </pic:spPr>
                </pic:pic>
              </a:graphicData>
            </a:graphic>
          </wp:inline>
        </w:drawing>
      </w:r>
      <w:r>
        <w:rPr>
          <w:noProof/>
          <w:lang w:val="en-US"/>
        </w:rPr>
        <w:t xml:space="preserve">   </w:t>
      </w:r>
      <w:r>
        <w:rPr>
          <w:noProof/>
          <w:lang w:val="en-US"/>
        </w:rPr>
        <w:drawing>
          <wp:inline distT="0" distB="0" distL="0" distR="0">
            <wp:extent cx="2752344" cy="24841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2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2344" cy="2484120"/>
                    </a:xfrm>
                    <a:prstGeom prst="rect">
                      <a:avLst/>
                    </a:prstGeom>
                  </pic:spPr>
                </pic:pic>
              </a:graphicData>
            </a:graphic>
          </wp:inline>
        </w:drawing>
      </w:r>
    </w:p>
    <w:p w:rsidR="00864629" w:rsidRPr="007855CA" w:rsidRDefault="00864629" w:rsidP="00864629">
      <w:pPr>
        <w:pStyle w:val="Caption"/>
        <w:rPr>
          <w:b w:val="0"/>
          <w:color w:val="auto"/>
          <w:sz w:val="24"/>
          <w:szCs w:val="20"/>
        </w:rPr>
      </w:pPr>
      <w:r w:rsidRPr="007855CA">
        <w:rPr>
          <w:b w:val="0"/>
          <w:color w:val="auto"/>
          <w:sz w:val="24"/>
          <w:szCs w:val="20"/>
        </w:rPr>
        <w:t>Figure S</w:t>
      </w:r>
      <w:r>
        <w:rPr>
          <w:b w:val="0"/>
          <w:noProof/>
          <w:color w:val="auto"/>
          <w:sz w:val="24"/>
          <w:szCs w:val="20"/>
        </w:rPr>
        <w:t>12</w:t>
      </w:r>
      <w:r w:rsidRPr="007855CA">
        <w:rPr>
          <w:b w:val="0"/>
          <w:color w:val="auto"/>
          <w:sz w:val="24"/>
          <w:szCs w:val="20"/>
        </w:rPr>
        <w:t>: Relation between number of HZ cases prevented and the vaccination coverage for vaccination of A) 50-year-olds,</w:t>
      </w:r>
      <w:proofErr w:type="gramStart"/>
      <w:r w:rsidRPr="007855CA">
        <w:rPr>
          <w:b w:val="0"/>
          <w:color w:val="auto"/>
          <w:sz w:val="24"/>
          <w:szCs w:val="20"/>
        </w:rPr>
        <w:t xml:space="preserve"> B) 60 year</w:t>
      </w:r>
      <w:proofErr w:type="gramEnd"/>
      <w:r w:rsidRPr="007855CA">
        <w:rPr>
          <w:b w:val="0"/>
          <w:color w:val="auto"/>
          <w:sz w:val="24"/>
          <w:szCs w:val="20"/>
        </w:rPr>
        <w:t>-olds, C) 70 year-olds and D) 80-year-olds over a time-horizon of 15 years. HZ: Herpes zoster, HZ/su</w:t>
      </w:r>
      <w:r>
        <w:rPr>
          <w:b w:val="0"/>
          <w:color w:val="auto"/>
          <w:sz w:val="24"/>
          <w:szCs w:val="20"/>
        </w:rPr>
        <w:t>:</w:t>
      </w:r>
      <w:r w:rsidRPr="007855CA">
        <w:rPr>
          <w:b w:val="0"/>
          <w:color w:val="auto"/>
          <w:sz w:val="24"/>
          <w:szCs w:val="20"/>
        </w:rPr>
        <w:t xml:space="preserve"> </w:t>
      </w:r>
      <w:r>
        <w:rPr>
          <w:b w:val="0"/>
          <w:color w:val="auto"/>
          <w:sz w:val="24"/>
          <w:szCs w:val="20"/>
        </w:rPr>
        <w:t>Herpes zoster</w:t>
      </w:r>
      <w:r w:rsidRPr="007855CA">
        <w:rPr>
          <w:b w:val="0"/>
          <w:color w:val="auto"/>
          <w:sz w:val="24"/>
          <w:szCs w:val="20"/>
        </w:rPr>
        <w:t xml:space="preserve"> subunit vaccine, ZVL: Zoster </w:t>
      </w:r>
      <w:proofErr w:type="gramStart"/>
      <w:r w:rsidRPr="007855CA">
        <w:rPr>
          <w:b w:val="0"/>
          <w:color w:val="auto"/>
          <w:sz w:val="24"/>
          <w:szCs w:val="20"/>
        </w:rPr>
        <w:t>vaccine live</w:t>
      </w:r>
      <w:proofErr w:type="gramEnd"/>
      <w:r w:rsidRPr="007855CA">
        <w:rPr>
          <w:b w:val="0"/>
          <w:color w:val="auto"/>
          <w:sz w:val="24"/>
          <w:szCs w:val="20"/>
        </w:rPr>
        <w:t xml:space="preserve">. </w:t>
      </w:r>
    </w:p>
    <w:p w:rsidR="00864629" w:rsidRDefault="00864629" w:rsidP="00864629">
      <w:pPr>
        <w:spacing w:after="200" w:line="276" w:lineRule="auto"/>
      </w:pPr>
      <w:r>
        <w:br w:type="page"/>
      </w:r>
    </w:p>
    <w:p w:rsidR="00864629" w:rsidRDefault="00864629" w:rsidP="00864629"/>
    <w:p w:rsidR="00864629" w:rsidRDefault="00267236" w:rsidP="00864629">
      <w:pPr>
        <w:keepNext/>
      </w:pPr>
      <w:r>
        <w:rPr>
          <w:noProof/>
          <w:lang w:val="en-US"/>
        </w:rPr>
        <w:drawing>
          <wp:inline distT="0" distB="0" distL="0" distR="0">
            <wp:extent cx="5727192" cy="3861816"/>
            <wp:effectExtent l="0" t="0" r="698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7192" cy="3861816"/>
                    </a:xfrm>
                    <a:prstGeom prst="rect">
                      <a:avLst/>
                    </a:prstGeom>
                  </pic:spPr>
                </pic:pic>
              </a:graphicData>
            </a:graphic>
          </wp:inline>
        </w:drawing>
      </w:r>
    </w:p>
    <w:p w:rsidR="00864629" w:rsidRDefault="00864629" w:rsidP="00864629">
      <w:pPr>
        <w:pStyle w:val="Caption"/>
      </w:pPr>
      <w:r w:rsidRPr="00864629">
        <w:rPr>
          <w:b w:val="0"/>
          <w:color w:val="auto"/>
          <w:sz w:val="24"/>
          <w:szCs w:val="24"/>
        </w:rPr>
        <w:t>Figure S</w:t>
      </w:r>
      <w:r w:rsidRPr="00864629">
        <w:rPr>
          <w:b w:val="0"/>
          <w:noProof/>
          <w:color w:val="auto"/>
          <w:sz w:val="24"/>
          <w:szCs w:val="24"/>
        </w:rPr>
        <w:t>13</w:t>
      </w:r>
      <w:r w:rsidRPr="00864629">
        <w:rPr>
          <w:b w:val="0"/>
          <w:color w:val="auto"/>
          <w:sz w:val="24"/>
          <w:szCs w:val="24"/>
        </w:rPr>
        <w:t>: Relation</w:t>
      </w:r>
      <w:r w:rsidRPr="00864629">
        <w:rPr>
          <w:b w:val="0"/>
          <w:color w:val="auto"/>
          <w:sz w:val="24"/>
          <w:szCs w:val="20"/>
        </w:rPr>
        <w:t xml:space="preserve"> </w:t>
      </w:r>
      <w:r w:rsidRPr="007855CA">
        <w:rPr>
          <w:b w:val="0"/>
          <w:color w:val="auto"/>
          <w:sz w:val="24"/>
          <w:szCs w:val="20"/>
        </w:rPr>
        <w:t xml:space="preserve">between </w:t>
      </w:r>
      <w:r>
        <w:rPr>
          <w:b w:val="0"/>
          <w:color w:val="auto"/>
          <w:sz w:val="24"/>
          <w:szCs w:val="20"/>
        </w:rPr>
        <w:t xml:space="preserve">the time-horizon and the maximum vaccine price to remain below a cost-effectiveness threshold of €20,000 per QALY gained for vaccination of 60-year-olds and 70-year-olds against HZ. Results include a discount rate of 4% for costs and 1.5% for health effects. </w:t>
      </w:r>
      <w:r w:rsidRPr="007855CA">
        <w:rPr>
          <w:b w:val="0"/>
          <w:color w:val="auto"/>
          <w:sz w:val="24"/>
          <w:szCs w:val="20"/>
        </w:rPr>
        <w:t>HZ: Herpes zoster, HZ/su</w:t>
      </w:r>
      <w:r>
        <w:rPr>
          <w:b w:val="0"/>
          <w:color w:val="auto"/>
          <w:sz w:val="24"/>
          <w:szCs w:val="20"/>
        </w:rPr>
        <w:t>:</w:t>
      </w:r>
      <w:r w:rsidRPr="007855CA">
        <w:rPr>
          <w:b w:val="0"/>
          <w:color w:val="auto"/>
          <w:sz w:val="24"/>
          <w:szCs w:val="20"/>
        </w:rPr>
        <w:t xml:space="preserve"> </w:t>
      </w:r>
      <w:r>
        <w:rPr>
          <w:b w:val="0"/>
          <w:color w:val="auto"/>
          <w:sz w:val="24"/>
          <w:szCs w:val="20"/>
        </w:rPr>
        <w:t>Herpes zoster</w:t>
      </w:r>
      <w:r w:rsidRPr="007855CA">
        <w:rPr>
          <w:b w:val="0"/>
          <w:color w:val="auto"/>
          <w:sz w:val="24"/>
          <w:szCs w:val="20"/>
        </w:rPr>
        <w:t xml:space="preserve"> subunit vaccine, </w:t>
      </w:r>
      <w:r>
        <w:rPr>
          <w:b w:val="0"/>
          <w:color w:val="auto"/>
          <w:sz w:val="24"/>
          <w:szCs w:val="20"/>
        </w:rPr>
        <w:t xml:space="preserve">QALY: Quality-adjusted life year, </w:t>
      </w:r>
      <w:r w:rsidRPr="007855CA">
        <w:rPr>
          <w:b w:val="0"/>
          <w:color w:val="auto"/>
          <w:sz w:val="24"/>
          <w:szCs w:val="20"/>
        </w:rPr>
        <w:t xml:space="preserve">ZVL: Zoster </w:t>
      </w:r>
      <w:proofErr w:type="gramStart"/>
      <w:r w:rsidRPr="007855CA">
        <w:rPr>
          <w:b w:val="0"/>
          <w:color w:val="auto"/>
          <w:sz w:val="24"/>
          <w:szCs w:val="20"/>
        </w:rPr>
        <w:t>vaccine live</w:t>
      </w:r>
      <w:proofErr w:type="gramEnd"/>
      <w:r w:rsidRPr="007855CA">
        <w:rPr>
          <w:b w:val="0"/>
          <w:color w:val="auto"/>
          <w:sz w:val="24"/>
          <w:szCs w:val="20"/>
        </w:rPr>
        <w:t>.</w:t>
      </w:r>
      <w:r>
        <w:rPr>
          <w:b w:val="0"/>
          <w:color w:val="auto"/>
          <w:sz w:val="24"/>
          <w:szCs w:val="20"/>
        </w:rPr>
        <w:t xml:space="preserve"> </w:t>
      </w:r>
    </w:p>
    <w:p w:rsidR="009809BC" w:rsidRPr="009809BC" w:rsidRDefault="009809BC" w:rsidP="009809BC">
      <w:bookmarkStart w:id="19" w:name="_GoBack"/>
      <w:bookmarkEnd w:id="19"/>
    </w:p>
    <w:sectPr w:rsidR="009809BC" w:rsidRPr="009809B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1A71E5"/>
    <w:multiLevelType w:val="hybridMultilevel"/>
    <w:tmpl w:val="18B8A29A"/>
    <w:lvl w:ilvl="0" w:tplc="1E9E105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E21725"/>
    <w:multiLevelType w:val="hybridMultilevel"/>
    <w:tmpl w:val="43FED2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C347590"/>
    <w:multiLevelType w:val="hybridMultilevel"/>
    <w:tmpl w:val="55109D7C"/>
    <w:lvl w:ilvl="0" w:tplc="7D84B7CA">
      <w:start w:val="6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7F995759"/>
    <w:multiLevelType w:val="hybridMultilevel"/>
    <w:tmpl w:val="E2D24632"/>
    <w:lvl w:ilvl="0" w:tplc="334434CC">
      <w:start w:val="2"/>
      <w:numFmt w:val="bullet"/>
      <w:lvlText w:val="-"/>
      <w:lvlJc w:val="left"/>
      <w:pPr>
        <w:ind w:left="720" w:hanging="360"/>
      </w:pPr>
      <w:rPr>
        <w:rFonts w:ascii="Times New Roman" w:eastAsia="Times New Roman" w:hAnsi="Times New Roman"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C Medicin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pa2eae2b9tpt6eadz9xd9pr09z055vp5srp&quot;&gt;RIVM&lt;record-ids&gt;&lt;item&gt;81&lt;/item&gt;&lt;item&gt;126&lt;/item&gt;&lt;item&gt;129&lt;/item&gt;&lt;item&gt;132&lt;/item&gt;&lt;item&gt;134&lt;/item&gt;&lt;item&gt;135&lt;/item&gt;&lt;item&gt;136&lt;/item&gt;&lt;item&gt;143&lt;/item&gt;&lt;item&gt;157&lt;/item&gt;&lt;item&gt;159&lt;/item&gt;&lt;item&gt;160&lt;/item&gt;&lt;item&gt;161&lt;/item&gt;&lt;item&gt;162&lt;/item&gt;&lt;item&gt;167&lt;/item&gt;&lt;item&gt;173&lt;/item&gt;&lt;item&gt;176&lt;/item&gt;&lt;item&gt;185&lt;/item&gt;&lt;item&gt;188&lt;/item&gt;&lt;item&gt;189&lt;/item&gt;&lt;item&gt;192&lt;/item&gt;&lt;item&gt;195&lt;/item&gt;&lt;item&gt;304&lt;/item&gt;&lt;item&gt;307&lt;/item&gt;&lt;item&gt;308&lt;/item&gt;&lt;item&gt;309&lt;/item&gt;&lt;item&gt;313&lt;/item&gt;&lt;item&gt;314&lt;/item&gt;&lt;item&gt;322&lt;/item&gt;&lt;item&gt;326&lt;/item&gt;&lt;item&gt;381&lt;/item&gt;&lt;/record-ids&gt;&lt;/item&gt;&lt;/Libraries&gt;"/>
  </w:docVars>
  <w:rsids>
    <w:rsidRoot w:val="00AD1E82"/>
    <w:rsid w:val="000250AE"/>
    <w:rsid w:val="000551BA"/>
    <w:rsid w:val="000569ED"/>
    <w:rsid w:val="000E2B6F"/>
    <w:rsid w:val="000E70E4"/>
    <w:rsid w:val="00187158"/>
    <w:rsid w:val="001D3EC3"/>
    <w:rsid w:val="001F7602"/>
    <w:rsid w:val="002064CE"/>
    <w:rsid w:val="0023009D"/>
    <w:rsid w:val="0023467D"/>
    <w:rsid w:val="00267236"/>
    <w:rsid w:val="00303853"/>
    <w:rsid w:val="00313BF9"/>
    <w:rsid w:val="003333B7"/>
    <w:rsid w:val="003523E8"/>
    <w:rsid w:val="003D57E5"/>
    <w:rsid w:val="003F4784"/>
    <w:rsid w:val="00400BC2"/>
    <w:rsid w:val="00474E40"/>
    <w:rsid w:val="004D5C60"/>
    <w:rsid w:val="005069EE"/>
    <w:rsid w:val="005A09E1"/>
    <w:rsid w:val="005B099B"/>
    <w:rsid w:val="005C0972"/>
    <w:rsid w:val="00601A4F"/>
    <w:rsid w:val="006D77C6"/>
    <w:rsid w:val="00702278"/>
    <w:rsid w:val="0071384F"/>
    <w:rsid w:val="0075366F"/>
    <w:rsid w:val="00753D06"/>
    <w:rsid w:val="0075407D"/>
    <w:rsid w:val="00784AFC"/>
    <w:rsid w:val="007E0192"/>
    <w:rsid w:val="00861935"/>
    <w:rsid w:val="00864629"/>
    <w:rsid w:val="00884003"/>
    <w:rsid w:val="00887E85"/>
    <w:rsid w:val="008A115D"/>
    <w:rsid w:val="008B5DEE"/>
    <w:rsid w:val="008D00B7"/>
    <w:rsid w:val="008D23B2"/>
    <w:rsid w:val="0090428E"/>
    <w:rsid w:val="00936B9F"/>
    <w:rsid w:val="009809BC"/>
    <w:rsid w:val="00997B5C"/>
    <w:rsid w:val="00A00A3C"/>
    <w:rsid w:val="00A035FF"/>
    <w:rsid w:val="00A9499F"/>
    <w:rsid w:val="00AB40A3"/>
    <w:rsid w:val="00AD1E82"/>
    <w:rsid w:val="00B06E91"/>
    <w:rsid w:val="00B139ED"/>
    <w:rsid w:val="00B4521C"/>
    <w:rsid w:val="00B53D2D"/>
    <w:rsid w:val="00B879AA"/>
    <w:rsid w:val="00BB4A83"/>
    <w:rsid w:val="00BE1C09"/>
    <w:rsid w:val="00BE37CF"/>
    <w:rsid w:val="00BE72ED"/>
    <w:rsid w:val="00CA075C"/>
    <w:rsid w:val="00CB348D"/>
    <w:rsid w:val="00CD6324"/>
    <w:rsid w:val="00CE73CA"/>
    <w:rsid w:val="00D16DF0"/>
    <w:rsid w:val="00D36BCB"/>
    <w:rsid w:val="00D917EE"/>
    <w:rsid w:val="00DB2C18"/>
    <w:rsid w:val="00DE4B71"/>
    <w:rsid w:val="00E32FD4"/>
    <w:rsid w:val="00E55FE0"/>
    <w:rsid w:val="00E57906"/>
    <w:rsid w:val="00EC4CAC"/>
    <w:rsid w:val="00F3765E"/>
    <w:rsid w:val="00F47E6E"/>
    <w:rsid w:val="00F51D90"/>
    <w:rsid w:val="00F8674F"/>
    <w:rsid w:val="00F94B75"/>
    <w:rsid w:val="00FE57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E82"/>
    <w:pPr>
      <w:spacing w:after="0" w:line="48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AD1E82"/>
    <w:pPr>
      <w:keepNext/>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qFormat/>
    <w:rsid w:val="00AD1E82"/>
    <w:pPr>
      <w:keepNext/>
      <w:spacing w:before="240" w:after="60"/>
      <w:outlineLvl w:val="1"/>
    </w:pPr>
    <w:rPr>
      <w:rFonts w:ascii="Arial" w:hAnsi="Arial" w:cs="Arial"/>
      <w:b/>
      <w:bCs/>
      <w:sz w:val="22"/>
      <w:szCs w:val="28"/>
    </w:rPr>
  </w:style>
  <w:style w:type="paragraph" w:styleId="Heading3">
    <w:name w:val="heading 3"/>
    <w:basedOn w:val="Normal"/>
    <w:next w:val="Normal"/>
    <w:link w:val="Heading3Char"/>
    <w:qFormat/>
    <w:rsid w:val="00AD1E82"/>
    <w:pPr>
      <w:keepNext/>
      <w:outlineLvl w:val="2"/>
    </w:pPr>
    <w:rPr>
      <w:bCs/>
      <w:i/>
    </w:rPr>
  </w:style>
  <w:style w:type="paragraph" w:styleId="Heading4">
    <w:name w:val="heading 4"/>
    <w:basedOn w:val="Normal"/>
    <w:next w:val="Normal"/>
    <w:link w:val="Heading4Char"/>
    <w:uiPriority w:val="9"/>
    <w:semiHidden/>
    <w:unhideWhenUsed/>
    <w:qFormat/>
    <w:rsid w:val="00AD1E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E82"/>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AD1E82"/>
    <w:rPr>
      <w:rFonts w:ascii="Arial" w:eastAsia="Times New Roman" w:hAnsi="Arial" w:cs="Arial"/>
      <w:b/>
      <w:bCs/>
      <w:szCs w:val="28"/>
      <w:lang w:val="en-GB"/>
    </w:rPr>
  </w:style>
  <w:style w:type="character" w:customStyle="1" w:styleId="Heading3Char">
    <w:name w:val="Heading 3 Char"/>
    <w:basedOn w:val="DefaultParagraphFont"/>
    <w:link w:val="Heading3"/>
    <w:rsid w:val="00AD1E82"/>
    <w:rPr>
      <w:rFonts w:ascii="Times New Roman" w:eastAsia="Times New Roman" w:hAnsi="Times New Roman" w:cs="Times New Roman"/>
      <w:bCs/>
      <w:i/>
      <w:sz w:val="24"/>
      <w:szCs w:val="24"/>
      <w:lang w:val="en-GB"/>
    </w:rPr>
  </w:style>
  <w:style w:type="character" w:customStyle="1" w:styleId="Heading4Char">
    <w:name w:val="Heading 4 Char"/>
    <w:basedOn w:val="DefaultParagraphFont"/>
    <w:link w:val="Heading4"/>
    <w:uiPriority w:val="9"/>
    <w:semiHidden/>
    <w:rsid w:val="00AD1E82"/>
    <w:rPr>
      <w:rFonts w:asciiTheme="majorHAnsi" w:eastAsiaTheme="majorEastAsia" w:hAnsiTheme="majorHAnsi" w:cstheme="majorBidi"/>
      <w:b/>
      <w:bCs/>
      <w:i/>
      <w:iCs/>
      <w:color w:val="4F81BD" w:themeColor="accent1"/>
      <w:sz w:val="24"/>
      <w:szCs w:val="24"/>
      <w:lang w:val="en-GB"/>
    </w:rPr>
  </w:style>
  <w:style w:type="paragraph" w:styleId="BodyTextIndent">
    <w:name w:val="Body Text Indent"/>
    <w:basedOn w:val="Normal"/>
    <w:link w:val="BodyTextIndentChar"/>
    <w:semiHidden/>
    <w:rsid w:val="00AD1E82"/>
    <w:pPr>
      <w:ind w:left="720"/>
    </w:pPr>
  </w:style>
  <w:style w:type="character" w:customStyle="1" w:styleId="BodyTextIndentChar">
    <w:name w:val="Body Text Indent Char"/>
    <w:basedOn w:val="DefaultParagraphFont"/>
    <w:link w:val="BodyTextIndent"/>
    <w:semiHidden/>
    <w:rsid w:val="00AD1E82"/>
    <w:rPr>
      <w:rFonts w:ascii="Times New Roman" w:eastAsia="Times New Roman" w:hAnsi="Times New Roman" w:cs="Times New Roman"/>
      <w:sz w:val="24"/>
      <w:szCs w:val="24"/>
      <w:lang w:val="en-GB"/>
    </w:rPr>
  </w:style>
  <w:style w:type="character" w:customStyle="1" w:styleId="entity1">
    <w:name w:val="entity1"/>
    <w:basedOn w:val="DefaultParagraphFont"/>
    <w:rsid w:val="00AD1E82"/>
    <w:rPr>
      <w:rFonts w:ascii="Times New Roman" w:hAnsi="Times New Roman" w:cs="Times New Roman" w:hint="default"/>
    </w:rPr>
  </w:style>
  <w:style w:type="paragraph" w:customStyle="1" w:styleId="justify">
    <w:name w:val="justify"/>
    <w:basedOn w:val="Normal"/>
    <w:rsid w:val="00AD1E82"/>
    <w:pPr>
      <w:spacing w:before="100" w:beforeAutospacing="1" w:after="100" w:afterAutospacing="1"/>
      <w:jc w:val="both"/>
    </w:pPr>
    <w:rPr>
      <w:rFonts w:ascii="Verdana" w:eastAsia="Arial Unicode MS" w:hAnsi="Verdana" w:cs="Arial Unicode MS"/>
      <w:sz w:val="20"/>
      <w:szCs w:val="20"/>
    </w:rPr>
  </w:style>
  <w:style w:type="paragraph" w:styleId="NormalWeb">
    <w:name w:val="Normal (Web)"/>
    <w:basedOn w:val="Normal"/>
    <w:uiPriority w:val="99"/>
    <w:semiHidden/>
    <w:rsid w:val="00AD1E82"/>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DefaultParagraphFont"/>
    <w:rsid w:val="00AD1E82"/>
  </w:style>
  <w:style w:type="character" w:styleId="Hyperlink">
    <w:name w:val="Hyperlink"/>
    <w:basedOn w:val="DefaultParagraphFont"/>
    <w:semiHidden/>
    <w:rsid w:val="00AD1E82"/>
    <w:rPr>
      <w:color w:val="0000FF"/>
      <w:u w:val="single"/>
    </w:rPr>
  </w:style>
  <w:style w:type="paragraph" w:styleId="Header">
    <w:name w:val="header"/>
    <w:basedOn w:val="Normal"/>
    <w:link w:val="HeaderChar"/>
    <w:semiHidden/>
    <w:rsid w:val="00AD1E82"/>
    <w:pPr>
      <w:tabs>
        <w:tab w:val="center" w:pos="4153"/>
        <w:tab w:val="right" w:pos="8306"/>
      </w:tabs>
    </w:pPr>
  </w:style>
  <w:style w:type="character" w:customStyle="1" w:styleId="HeaderChar">
    <w:name w:val="Header Char"/>
    <w:basedOn w:val="DefaultParagraphFont"/>
    <w:link w:val="Header"/>
    <w:semiHidden/>
    <w:rsid w:val="00AD1E82"/>
    <w:rPr>
      <w:rFonts w:ascii="Times New Roman" w:eastAsia="Times New Roman" w:hAnsi="Times New Roman" w:cs="Times New Roman"/>
      <w:sz w:val="24"/>
      <w:szCs w:val="24"/>
      <w:lang w:val="en-GB"/>
    </w:rPr>
  </w:style>
  <w:style w:type="paragraph" w:styleId="Footer">
    <w:name w:val="footer"/>
    <w:basedOn w:val="Normal"/>
    <w:link w:val="FooterChar"/>
    <w:semiHidden/>
    <w:rsid w:val="00AD1E82"/>
    <w:pPr>
      <w:tabs>
        <w:tab w:val="center" w:pos="4153"/>
        <w:tab w:val="right" w:pos="8306"/>
      </w:tabs>
    </w:pPr>
  </w:style>
  <w:style w:type="character" w:customStyle="1" w:styleId="FooterChar">
    <w:name w:val="Footer Char"/>
    <w:basedOn w:val="DefaultParagraphFont"/>
    <w:link w:val="Footer"/>
    <w:semiHidden/>
    <w:rsid w:val="00AD1E82"/>
    <w:rPr>
      <w:rFonts w:ascii="Times New Roman" w:eastAsia="Times New Roman" w:hAnsi="Times New Roman" w:cs="Times New Roman"/>
      <w:sz w:val="24"/>
      <w:szCs w:val="24"/>
      <w:lang w:val="en-GB"/>
    </w:rPr>
  </w:style>
  <w:style w:type="table" w:styleId="TableGrid">
    <w:name w:val="Table Grid"/>
    <w:basedOn w:val="TableNormal"/>
    <w:uiPriority w:val="59"/>
    <w:rsid w:val="00AD1E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1E82"/>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D1E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E82"/>
    <w:rPr>
      <w:rFonts w:ascii="Tahoma" w:eastAsia="Times New Roman" w:hAnsi="Tahoma" w:cs="Tahoma"/>
      <w:sz w:val="16"/>
      <w:szCs w:val="16"/>
      <w:lang w:val="en-GB"/>
    </w:rPr>
  </w:style>
  <w:style w:type="paragraph" w:styleId="ListParagraph">
    <w:name w:val="List Paragraph"/>
    <w:basedOn w:val="Normal"/>
    <w:uiPriority w:val="34"/>
    <w:qFormat/>
    <w:rsid w:val="00AD1E82"/>
    <w:pPr>
      <w:ind w:left="720"/>
      <w:contextualSpacing/>
    </w:pPr>
  </w:style>
  <w:style w:type="character" w:styleId="CommentReference">
    <w:name w:val="annotation reference"/>
    <w:basedOn w:val="DefaultParagraphFont"/>
    <w:uiPriority w:val="99"/>
    <w:semiHidden/>
    <w:unhideWhenUsed/>
    <w:rsid w:val="00AD1E82"/>
    <w:rPr>
      <w:sz w:val="16"/>
      <w:szCs w:val="16"/>
    </w:rPr>
  </w:style>
  <w:style w:type="paragraph" w:styleId="CommentText">
    <w:name w:val="annotation text"/>
    <w:basedOn w:val="Normal"/>
    <w:link w:val="CommentTextChar"/>
    <w:uiPriority w:val="99"/>
    <w:unhideWhenUsed/>
    <w:rsid w:val="00AD1E82"/>
    <w:pPr>
      <w:spacing w:line="240" w:lineRule="auto"/>
    </w:pPr>
    <w:rPr>
      <w:sz w:val="20"/>
      <w:szCs w:val="20"/>
    </w:rPr>
  </w:style>
  <w:style w:type="character" w:customStyle="1" w:styleId="CommentTextChar">
    <w:name w:val="Comment Text Char"/>
    <w:basedOn w:val="DefaultParagraphFont"/>
    <w:link w:val="CommentText"/>
    <w:uiPriority w:val="99"/>
    <w:rsid w:val="00AD1E8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D1E82"/>
    <w:rPr>
      <w:b/>
      <w:bCs/>
    </w:rPr>
  </w:style>
  <w:style w:type="character" w:customStyle="1" w:styleId="CommentSubjectChar">
    <w:name w:val="Comment Subject Char"/>
    <w:basedOn w:val="CommentTextChar"/>
    <w:link w:val="CommentSubject"/>
    <w:uiPriority w:val="99"/>
    <w:semiHidden/>
    <w:rsid w:val="00AD1E82"/>
    <w:rPr>
      <w:rFonts w:ascii="Times New Roman" w:eastAsia="Times New Roman" w:hAnsi="Times New Roman" w:cs="Times New Roman"/>
      <w:b/>
      <w:bCs/>
      <w:sz w:val="20"/>
      <w:szCs w:val="20"/>
      <w:lang w:val="en-GB"/>
    </w:rPr>
  </w:style>
  <w:style w:type="paragraph" w:customStyle="1" w:styleId="EndNoteBibliographyTitle">
    <w:name w:val="EndNote Bibliography Title"/>
    <w:basedOn w:val="Normal"/>
    <w:link w:val="EndNoteBibliographyTitleChar"/>
    <w:rsid w:val="00AD1E82"/>
    <w:pPr>
      <w:jc w:val="center"/>
    </w:pPr>
    <w:rPr>
      <w:noProof/>
      <w:lang w:val="en-US"/>
    </w:rPr>
  </w:style>
  <w:style w:type="character" w:customStyle="1" w:styleId="EndNoteBibliographyTitleChar">
    <w:name w:val="EndNote Bibliography Title Char"/>
    <w:basedOn w:val="DefaultParagraphFont"/>
    <w:link w:val="EndNoteBibliographyTitle"/>
    <w:rsid w:val="00AD1E82"/>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AD1E82"/>
    <w:pPr>
      <w:spacing w:line="240" w:lineRule="auto"/>
    </w:pPr>
    <w:rPr>
      <w:noProof/>
      <w:lang w:val="en-US"/>
    </w:rPr>
  </w:style>
  <w:style w:type="character" w:customStyle="1" w:styleId="EndNoteBibliographyChar">
    <w:name w:val="EndNote Bibliography Char"/>
    <w:basedOn w:val="DefaultParagraphFont"/>
    <w:link w:val="EndNoteBibliography"/>
    <w:rsid w:val="00AD1E82"/>
    <w:rPr>
      <w:rFonts w:ascii="Times New Roman" w:eastAsia="Times New Roman" w:hAnsi="Times New Roman" w:cs="Times New Roman"/>
      <w:noProof/>
      <w:sz w:val="24"/>
      <w:szCs w:val="24"/>
    </w:rPr>
  </w:style>
  <w:style w:type="character" w:styleId="FollowedHyperlink">
    <w:name w:val="FollowedHyperlink"/>
    <w:basedOn w:val="DefaultParagraphFont"/>
    <w:uiPriority w:val="99"/>
    <w:semiHidden/>
    <w:unhideWhenUsed/>
    <w:rsid w:val="00AD1E82"/>
    <w:rPr>
      <w:color w:val="800080" w:themeColor="followedHyperlink"/>
      <w:u w:val="single"/>
    </w:rPr>
  </w:style>
  <w:style w:type="paragraph" w:styleId="Revision">
    <w:name w:val="Revision"/>
    <w:hidden/>
    <w:uiPriority w:val="99"/>
    <w:semiHidden/>
    <w:rsid w:val="00AD1E82"/>
    <w:pPr>
      <w:spacing w:after="0"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AD1E82"/>
    <w:rPr>
      <w:b/>
      <w:bCs/>
    </w:rPr>
  </w:style>
  <w:style w:type="paragraph" w:styleId="NoSpacing">
    <w:name w:val="No Spacing"/>
    <w:uiPriority w:val="1"/>
    <w:qFormat/>
    <w:rsid w:val="00AD1E82"/>
    <w:pPr>
      <w:spacing w:after="0" w:line="240" w:lineRule="auto"/>
    </w:pPr>
    <w:rPr>
      <w:rFonts w:ascii="Times New Roman" w:eastAsia="Times New Roman" w:hAnsi="Times New Roman" w:cs="Times New Roman"/>
      <w:sz w:val="24"/>
      <w:szCs w:val="24"/>
      <w:lang w:val="en-GB"/>
    </w:rPr>
  </w:style>
  <w:style w:type="character" w:styleId="LineNumber">
    <w:name w:val="line number"/>
    <w:basedOn w:val="DefaultParagraphFont"/>
    <w:uiPriority w:val="99"/>
    <w:semiHidden/>
    <w:unhideWhenUsed/>
    <w:rsid w:val="00AD1E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E82"/>
    <w:pPr>
      <w:spacing w:after="0" w:line="48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AD1E82"/>
    <w:pPr>
      <w:keepNext/>
      <w:spacing w:before="240" w:after="60" w:line="240" w:lineRule="auto"/>
      <w:outlineLvl w:val="0"/>
    </w:pPr>
    <w:rPr>
      <w:rFonts w:ascii="Arial" w:hAnsi="Arial" w:cs="Arial"/>
      <w:b/>
      <w:bCs/>
      <w:kern w:val="32"/>
      <w:sz w:val="32"/>
      <w:szCs w:val="32"/>
    </w:rPr>
  </w:style>
  <w:style w:type="paragraph" w:styleId="Heading2">
    <w:name w:val="heading 2"/>
    <w:basedOn w:val="Normal"/>
    <w:next w:val="Normal"/>
    <w:link w:val="Heading2Char"/>
    <w:qFormat/>
    <w:rsid w:val="00AD1E82"/>
    <w:pPr>
      <w:keepNext/>
      <w:spacing w:before="240" w:after="60"/>
      <w:outlineLvl w:val="1"/>
    </w:pPr>
    <w:rPr>
      <w:rFonts w:ascii="Arial" w:hAnsi="Arial" w:cs="Arial"/>
      <w:b/>
      <w:bCs/>
      <w:sz w:val="22"/>
      <w:szCs w:val="28"/>
    </w:rPr>
  </w:style>
  <w:style w:type="paragraph" w:styleId="Heading3">
    <w:name w:val="heading 3"/>
    <w:basedOn w:val="Normal"/>
    <w:next w:val="Normal"/>
    <w:link w:val="Heading3Char"/>
    <w:qFormat/>
    <w:rsid w:val="00AD1E82"/>
    <w:pPr>
      <w:keepNext/>
      <w:outlineLvl w:val="2"/>
    </w:pPr>
    <w:rPr>
      <w:bCs/>
      <w:i/>
    </w:rPr>
  </w:style>
  <w:style w:type="paragraph" w:styleId="Heading4">
    <w:name w:val="heading 4"/>
    <w:basedOn w:val="Normal"/>
    <w:next w:val="Normal"/>
    <w:link w:val="Heading4Char"/>
    <w:uiPriority w:val="9"/>
    <w:semiHidden/>
    <w:unhideWhenUsed/>
    <w:qFormat/>
    <w:rsid w:val="00AD1E8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D1E82"/>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AD1E82"/>
    <w:rPr>
      <w:rFonts w:ascii="Arial" w:eastAsia="Times New Roman" w:hAnsi="Arial" w:cs="Arial"/>
      <w:b/>
      <w:bCs/>
      <w:szCs w:val="28"/>
      <w:lang w:val="en-GB"/>
    </w:rPr>
  </w:style>
  <w:style w:type="character" w:customStyle="1" w:styleId="Heading3Char">
    <w:name w:val="Heading 3 Char"/>
    <w:basedOn w:val="DefaultParagraphFont"/>
    <w:link w:val="Heading3"/>
    <w:rsid w:val="00AD1E82"/>
    <w:rPr>
      <w:rFonts w:ascii="Times New Roman" w:eastAsia="Times New Roman" w:hAnsi="Times New Roman" w:cs="Times New Roman"/>
      <w:bCs/>
      <w:i/>
      <w:sz w:val="24"/>
      <w:szCs w:val="24"/>
      <w:lang w:val="en-GB"/>
    </w:rPr>
  </w:style>
  <w:style w:type="character" w:customStyle="1" w:styleId="Heading4Char">
    <w:name w:val="Heading 4 Char"/>
    <w:basedOn w:val="DefaultParagraphFont"/>
    <w:link w:val="Heading4"/>
    <w:uiPriority w:val="9"/>
    <w:semiHidden/>
    <w:rsid w:val="00AD1E82"/>
    <w:rPr>
      <w:rFonts w:asciiTheme="majorHAnsi" w:eastAsiaTheme="majorEastAsia" w:hAnsiTheme="majorHAnsi" w:cstheme="majorBidi"/>
      <w:b/>
      <w:bCs/>
      <w:i/>
      <w:iCs/>
      <w:color w:val="4F81BD" w:themeColor="accent1"/>
      <w:sz w:val="24"/>
      <w:szCs w:val="24"/>
      <w:lang w:val="en-GB"/>
    </w:rPr>
  </w:style>
  <w:style w:type="paragraph" w:styleId="BodyTextIndent">
    <w:name w:val="Body Text Indent"/>
    <w:basedOn w:val="Normal"/>
    <w:link w:val="BodyTextIndentChar"/>
    <w:semiHidden/>
    <w:rsid w:val="00AD1E82"/>
    <w:pPr>
      <w:ind w:left="720"/>
    </w:pPr>
  </w:style>
  <w:style w:type="character" w:customStyle="1" w:styleId="BodyTextIndentChar">
    <w:name w:val="Body Text Indent Char"/>
    <w:basedOn w:val="DefaultParagraphFont"/>
    <w:link w:val="BodyTextIndent"/>
    <w:semiHidden/>
    <w:rsid w:val="00AD1E82"/>
    <w:rPr>
      <w:rFonts w:ascii="Times New Roman" w:eastAsia="Times New Roman" w:hAnsi="Times New Roman" w:cs="Times New Roman"/>
      <w:sz w:val="24"/>
      <w:szCs w:val="24"/>
      <w:lang w:val="en-GB"/>
    </w:rPr>
  </w:style>
  <w:style w:type="character" w:customStyle="1" w:styleId="entity1">
    <w:name w:val="entity1"/>
    <w:basedOn w:val="DefaultParagraphFont"/>
    <w:rsid w:val="00AD1E82"/>
    <w:rPr>
      <w:rFonts w:ascii="Times New Roman" w:hAnsi="Times New Roman" w:cs="Times New Roman" w:hint="default"/>
    </w:rPr>
  </w:style>
  <w:style w:type="paragraph" w:customStyle="1" w:styleId="justify">
    <w:name w:val="justify"/>
    <w:basedOn w:val="Normal"/>
    <w:rsid w:val="00AD1E82"/>
    <w:pPr>
      <w:spacing w:before="100" w:beforeAutospacing="1" w:after="100" w:afterAutospacing="1"/>
      <w:jc w:val="both"/>
    </w:pPr>
    <w:rPr>
      <w:rFonts w:ascii="Verdana" w:eastAsia="Arial Unicode MS" w:hAnsi="Verdana" w:cs="Arial Unicode MS"/>
      <w:sz w:val="20"/>
      <w:szCs w:val="20"/>
    </w:rPr>
  </w:style>
  <w:style w:type="paragraph" w:styleId="NormalWeb">
    <w:name w:val="Normal (Web)"/>
    <w:basedOn w:val="Normal"/>
    <w:uiPriority w:val="99"/>
    <w:semiHidden/>
    <w:rsid w:val="00AD1E82"/>
    <w:pPr>
      <w:spacing w:before="100" w:beforeAutospacing="1" w:after="100" w:afterAutospacing="1"/>
    </w:pPr>
    <w:rPr>
      <w:rFonts w:ascii="Arial Unicode MS" w:eastAsia="Arial Unicode MS" w:hAnsi="Arial Unicode MS" w:cs="Arial Unicode MS"/>
    </w:rPr>
  </w:style>
  <w:style w:type="character" w:customStyle="1" w:styleId="smallhead">
    <w:name w:val="smallhead"/>
    <w:basedOn w:val="DefaultParagraphFont"/>
    <w:rsid w:val="00AD1E82"/>
  </w:style>
  <w:style w:type="character" w:styleId="Hyperlink">
    <w:name w:val="Hyperlink"/>
    <w:basedOn w:val="DefaultParagraphFont"/>
    <w:semiHidden/>
    <w:rsid w:val="00AD1E82"/>
    <w:rPr>
      <w:color w:val="0000FF"/>
      <w:u w:val="single"/>
    </w:rPr>
  </w:style>
  <w:style w:type="paragraph" w:styleId="Header">
    <w:name w:val="header"/>
    <w:basedOn w:val="Normal"/>
    <w:link w:val="HeaderChar"/>
    <w:semiHidden/>
    <w:rsid w:val="00AD1E82"/>
    <w:pPr>
      <w:tabs>
        <w:tab w:val="center" w:pos="4153"/>
        <w:tab w:val="right" w:pos="8306"/>
      </w:tabs>
    </w:pPr>
  </w:style>
  <w:style w:type="character" w:customStyle="1" w:styleId="HeaderChar">
    <w:name w:val="Header Char"/>
    <w:basedOn w:val="DefaultParagraphFont"/>
    <w:link w:val="Header"/>
    <w:semiHidden/>
    <w:rsid w:val="00AD1E82"/>
    <w:rPr>
      <w:rFonts w:ascii="Times New Roman" w:eastAsia="Times New Roman" w:hAnsi="Times New Roman" w:cs="Times New Roman"/>
      <w:sz w:val="24"/>
      <w:szCs w:val="24"/>
      <w:lang w:val="en-GB"/>
    </w:rPr>
  </w:style>
  <w:style w:type="paragraph" w:styleId="Footer">
    <w:name w:val="footer"/>
    <w:basedOn w:val="Normal"/>
    <w:link w:val="FooterChar"/>
    <w:semiHidden/>
    <w:rsid w:val="00AD1E82"/>
    <w:pPr>
      <w:tabs>
        <w:tab w:val="center" w:pos="4153"/>
        <w:tab w:val="right" w:pos="8306"/>
      </w:tabs>
    </w:pPr>
  </w:style>
  <w:style w:type="character" w:customStyle="1" w:styleId="FooterChar">
    <w:name w:val="Footer Char"/>
    <w:basedOn w:val="DefaultParagraphFont"/>
    <w:link w:val="Footer"/>
    <w:semiHidden/>
    <w:rsid w:val="00AD1E82"/>
    <w:rPr>
      <w:rFonts w:ascii="Times New Roman" w:eastAsia="Times New Roman" w:hAnsi="Times New Roman" w:cs="Times New Roman"/>
      <w:sz w:val="24"/>
      <w:szCs w:val="24"/>
      <w:lang w:val="en-GB"/>
    </w:rPr>
  </w:style>
  <w:style w:type="table" w:styleId="TableGrid">
    <w:name w:val="Table Grid"/>
    <w:basedOn w:val="TableNormal"/>
    <w:uiPriority w:val="59"/>
    <w:rsid w:val="00AD1E8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D1E82"/>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D1E8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1E82"/>
    <w:rPr>
      <w:rFonts w:ascii="Tahoma" w:eastAsia="Times New Roman" w:hAnsi="Tahoma" w:cs="Tahoma"/>
      <w:sz w:val="16"/>
      <w:szCs w:val="16"/>
      <w:lang w:val="en-GB"/>
    </w:rPr>
  </w:style>
  <w:style w:type="paragraph" w:styleId="ListParagraph">
    <w:name w:val="List Paragraph"/>
    <w:basedOn w:val="Normal"/>
    <w:uiPriority w:val="34"/>
    <w:qFormat/>
    <w:rsid w:val="00AD1E82"/>
    <w:pPr>
      <w:ind w:left="720"/>
      <w:contextualSpacing/>
    </w:pPr>
  </w:style>
  <w:style w:type="character" w:styleId="CommentReference">
    <w:name w:val="annotation reference"/>
    <w:basedOn w:val="DefaultParagraphFont"/>
    <w:uiPriority w:val="99"/>
    <w:semiHidden/>
    <w:unhideWhenUsed/>
    <w:rsid w:val="00AD1E82"/>
    <w:rPr>
      <w:sz w:val="16"/>
      <w:szCs w:val="16"/>
    </w:rPr>
  </w:style>
  <w:style w:type="paragraph" w:styleId="CommentText">
    <w:name w:val="annotation text"/>
    <w:basedOn w:val="Normal"/>
    <w:link w:val="CommentTextChar"/>
    <w:uiPriority w:val="99"/>
    <w:unhideWhenUsed/>
    <w:rsid w:val="00AD1E82"/>
    <w:pPr>
      <w:spacing w:line="240" w:lineRule="auto"/>
    </w:pPr>
    <w:rPr>
      <w:sz w:val="20"/>
      <w:szCs w:val="20"/>
    </w:rPr>
  </w:style>
  <w:style w:type="character" w:customStyle="1" w:styleId="CommentTextChar">
    <w:name w:val="Comment Text Char"/>
    <w:basedOn w:val="DefaultParagraphFont"/>
    <w:link w:val="CommentText"/>
    <w:uiPriority w:val="99"/>
    <w:rsid w:val="00AD1E82"/>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D1E82"/>
    <w:rPr>
      <w:b/>
      <w:bCs/>
    </w:rPr>
  </w:style>
  <w:style w:type="character" w:customStyle="1" w:styleId="CommentSubjectChar">
    <w:name w:val="Comment Subject Char"/>
    <w:basedOn w:val="CommentTextChar"/>
    <w:link w:val="CommentSubject"/>
    <w:uiPriority w:val="99"/>
    <w:semiHidden/>
    <w:rsid w:val="00AD1E82"/>
    <w:rPr>
      <w:rFonts w:ascii="Times New Roman" w:eastAsia="Times New Roman" w:hAnsi="Times New Roman" w:cs="Times New Roman"/>
      <w:b/>
      <w:bCs/>
      <w:sz w:val="20"/>
      <w:szCs w:val="20"/>
      <w:lang w:val="en-GB"/>
    </w:rPr>
  </w:style>
  <w:style w:type="paragraph" w:customStyle="1" w:styleId="EndNoteBibliographyTitle">
    <w:name w:val="EndNote Bibliography Title"/>
    <w:basedOn w:val="Normal"/>
    <w:link w:val="EndNoteBibliographyTitleChar"/>
    <w:rsid w:val="00AD1E82"/>
    <w:pPr>
      <w:jc w:val="center"/>
    </w:pPr>
    <w:rPr>
      <w:noProof/>
      <w:lang w:val="en-US"/>
    </w:rPr>
  </w:style>
  <w:style w:type="character" w:customStyle="1" w:styleId="EndNoteBibliographyTitleChar">
    <w:name w:val="EndNote Bibliography Title Char"/>
    <w:basedOn w:val="DefaultParagraphFont"/>
    <w:link w:val="EndNoteBibliographyTitle"/>
    <w:rsid w:val="00AD1E82"/>
    <w:rPr>
      <w:rFonts w:ascii="Times New Roman" w:eastAsia="Times New Roman" w:hAnsi="Times New Roman" w:cs="Times New Roman"/>
      <w:noProof/>
      <w:sz w:val="24"/>
      <w:szCs w:val="24"/>
    </w:rPr>
  </w:style>
  <w:style w:type="paragraph" w:customStyle="1" w:styleId="EndNoteBibliography">
    <w:name w:val="EndNote Bibliography"/>
    <w:basedOn w:val="Normal"/>
    <w:link w:val="EndNoteBibliographyChar"/>
    <w:rsid w:val="00AD1E82"/>
    <w:pPr>
      <w:spacing w:line="240" w:lineRule="auto"/>
    </w:pPr>
    <w:rPr>
      <w:noProof/>
      <w:lang w:val="en-US"/>
    </w:rPr>
  </w:style>
  <w:style w:type="character" w:customStyle="1" w:styleId="EndNoteBibliographyChar">
    <w:name w:val="EndNote Bibliography Char"/>
    <w:basedOn w:val="DefaultParagraphFont"/>
    <w:link w:val="EndNoteBibliography"/>
    <w:rsid w:val="00AD1E82"/>
    <w:rPr>
      <w:rFonts w:ascii="Times New Roman" w:eastAsia="Times New Roman" w:hAnsi="Times New Roman" w:cs="Times New Roman"/>
      <w:noProof/>
      <w:sz w:val="24"/>
      <w:szCs w:val="24"/>
    </w:rPr>
  </w:style>
  <w:style w:type="character" w:styleId="FollowedHyperlink">
    <w:name w:val="FollowedHyperlink"/>
    <w:basedOn w:val="DefaultParagraphFont"/>
    <w:uiPriority w:val="99"/>
    <w:semiHidden/>
    <w:unhideWhenUsed/>
    <w:rsid w:val="00AD1E82"/>
    <w:rPr>
      <w:color w:val="800080" w:themeColor="followedHyperlink"/>
      <w:u w:val="single"/>
    </w:rPr>
  </w:style>
  <w:style w:type="paragraph" w:styleId="Revision">
    <w:name w:val="Revision"/>
    <w:hidden/>
    <w:uiPriority w:val="99"/>
    <w:semiHidden/>
    <w:rsid w:val="00AD1E82"/>
    <w:pPr>
      <w:spacing w:after="0" w:line="240" w:lineRule="auto"/>
    </w:pPr>
    <w:rPr>
      <w:rFonts w:ascii="Times New Roman" w:eastAsia="Times New Roman" w:hAnsi="Times New Roman" w:cs="Times New Roman"/>
      <w:sz w:val="24"/>
      <w:szCs w:val="24"/>
      <w:lang w:val="en-GB"/>
    </w:rPr>
  </w:style>
  <w:style w:type="character" w:styleId="Strong">
    <w:name w:val="Strong"/>
    <w:basedOn w:val="DefaultParagraphFont"/>
    <w:uiPriority w:val="22"/>
    <w:qFormat/>
    <w:rsid w:val="00AD1E82"/>
    <w:rPr>
      <w:b/>
      <w:bCs/>
    </w:rPr>
  </w:style>
  <w:style w:type="paragraph" w:styleId="NoSpacing">
    <w:name w:val="No Spacing"/>
    <w:uiPriority w:val="1"/>
    <w:qFormat/>
    <w:rsid w:val="00AD1E82"/>
    <w:pPr>
      <w:spacing w:after="0" w:line="240" w:lineRule="auto"/>
    </w:pPr>
    <w:rPr>
      <w:rFonts w:ascii="Times New Roman" w:eastAsia="Times New Roman" w:hAnsi="Times New Roman" w:cs="Times New Roman"/>
      <w:sz w:val="24"/>
      <w:szCs w:val="24"/>
      <w:lang w:val="en-GB"/>
    </w:rPr>
  </w:style>
  <w:style w:type="character" w:styleId="LineNumber">
    <w:name w:val="line number"/>
    <w:basedOn w:val="DefaultParagraphFont"/>
    <w:uiPriority w:val="99"/>
    <w:semiHidden/>
    <w:unhideWhenUsed/>
    <w:rsid w:val="00AD1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C2FFB-31D3-4E36-BE30-66842400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2A07A156</Template>
  <TotalTime>1085</TotalTime>
  <Pages>28</Pages>
  <Words>5136</Words>
  <Characters>29279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SSC-Campus</Company>
  <LinksUpToDate>false</LinksUpToDate>
  <CharactersWithSpaces>34347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Pieter de Boer</dc:creator>
  <cp:lastModifiedBy>Pieter de Boer</cp:lastModifiedBy>
  <cp:revision>10</cp:revision>
  <dcterms:created xsi:type="dcterms:W3CDTF">2018-10-01T13:44:00Z</dcterms:created>
  <dcterms:modified xsi:type="dcterms:W3CDTF">2018-11-21T08:17:00Z</dcterms:modified>
</cp:coreProperties>
</file>