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8B" w:rsidRPr="00C0159A" w:rsidRDefault="00183A8B" w:rsidP="00183A8B">
      <w:pPr>
        <w:pStyle w:val="Heading3"/>
      </w:pPr>
      <w:proofErr w:type="gramStart"/>
      <w:r w:rsidRPr="000F3DE8">
        <w:t xml:space="preserve">Additional File </w:t>
      </w:r>
      <w:r>
        <w:t>3</w:t>
      </w:r>
      <w:r w:rsidRPr="00C0159A">
        <w:t>.</w:t>
      </w:r>
      <w:proofErr w:type="gramEnd"/>
      <w:r w:rsidRPr="00C0159A">
        <w:t xml:space="preserve"> Summary of </w:t>
      </w:r>
      <w:r w:rsidRPr="00C0159A">
        <w:rPr>
          <w:i/>
        </w:rPr>
        <w:t>ex vivo</w:t>
      </w:r>
      <w:r w:rsidRPr="00C0159A">
        <w:t xml:space="preserve"> and </w:t>
      </w:r>
      <w:r w:rsidRPr="00C0159A">
        <w:rPr>
          <w:i/>
        </w:rPr>
        <w:t>in vitro</w:t>
      </w:r>
      <w:r w:rsidRPr="00C0159A">
        <w:t xml:space="preserve"> </w:t>
      </w:r>
      <w:r w:rsidRPr="006A0DB3">
        <w:t>studies</w:t>
      </w:r>
      <w:r w:rsidRPr="00C0159A">
        <w:t xml:space="preserve"> showing the effect of PCCs on NOAC-induced coagulation (January 2013–February 2017)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828"/>
        <w:gridCol w:w="1417"/>
        <w:gridCol w:w="1938"/>
        <w:gridCol w:w="4536"/>
        <w:gridCol w:w="4735"/>
      </w:tblGrid>
      <w:tr w:rsidR="00183A8B" w:rsidRPr="00C0159A" w:rsidTr="00212C1C">
        <w:tc>
          <w:tcPr>
            <w:tcW w:w="1828" w:type="dxa"/>
            <w:shd w:val="clear" w:color="auto" w:fill="B2A1C7"/>
            <w:vAlign w:val="bottom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Study citation</w:t>
            </w:r>
          </w:p>
        </w:tc>
        <w:tc>
          <w:tcPr>
            <w:tcW w:w="1417" w:type="dxa"/>
            <w:shd w:val="clear" w:color="auto" w:fill="B2A1C7"/>
            <w:vAlign w:val="bottom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NOAC</w:t>
            </w:r>
          </w:p>
        </w:tc>
        <w:tc>
          <w:tcPr>
            <w:tcW w:w="1938" w:type="dxa"/>
            <w:shd w:val="clear" w:color="auto" w:fill="B2A1C7"/>
            <w:vAlign w:val="bottom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PCC</w:t>
            </w:r>
          </w:p>
        </w:tc>
        <w:tc>
          <w:tcPr>
            <w:tcW w:w="4536" w:type="dxa"/>
            <w:shd w:val="clear" w:color="auto" w:fill="B2A1C7"/>
            <w:vAlign w:val="bottom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Laboratory parameters tested</w:t>
            </w:r>
          </w:p>
        </w:tc>
        <w:tc>
          <w:tcPr>
            <w:tcW w:w="4735" w:type="dxa"/>
            <w:shd w:val="clear" w:color="auto" w:fill="B2A1C7"/>
            <w:vAlign w:val="bottom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Reversal of NOAC effects with PCC</w:t>
            </w:r>
          </w:p>
        </w:tc>
      </w:tr>
      <w:tr w:rsidR="00183A8B" w:rsidRPr="00C0159A" w:rsidTr="00212C1C">
        <w:tc>
          <w:tcPr>
            <w:tcW w:w="14454" w:type="dxa"/>
            <w:gridSpan w:val="5"/>
            <w:shd w:val="clear" w:color="auto" w:fill="E5DFEC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i/>
                <w:lang w:eastAsia="en-US"/>
              </w:rPr>
              <w:t>ex vivo</w:t>
            </w:r>
            <w:r w:rsidRPr="00C0159A">
              <w:rPr>
                <w:lang w:eastAsia="en-US"/>
              </w:rPr>
              <w:t xml:space="preserve"> studies using samples from NOAC-treated patients 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Khoo</w:t>
            </w:r>
            <w:proofErr w:type="spellEnd"/>
            <w:r w:rsidRPr="00C0159A">
              <w:rPr>
                <w:lang w:eastAsia="en-US"/>
              </w:rPr>
              <w:t xml:space="preserve">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2013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Dabigatran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(FEIBA®)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TGA parameters: peak TG, lag time, ETP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rFonts w:ascii="Wingdings 2" w:hAnsi="Wingdings 2"/>
                <w:lang w:eastAsia="en-US"/>
              </w:rPr>
            </w:pPr>
            <w:r>
              <w:rPr>
                <w:lang w:eastAsia="en-US"/>
              </w:rPr>
              <w:t>(+)</w:t>
            </w:r>
          </w:p>
        </w:tc>
      </w:tr>
      <w:tr w:rsidR="00183A8B" w:rsidRPr="00C0159A" w:rsidTr="00212C1C">
        <w:trPr>
          <w:trHeight w:val="773"/>
        </w:trPr>
        <w:tc>
          <w:tcPr>
            <w:tcW w:w="1828" w:type="dxa"/>
            <w:vMerge w:val="restart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Herrmann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2014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Dabigatran</w:t>
            </w:r>
          </w:p>
        </w:tc>
        <w:tc>
          <w:tcPr>
            <w:tcW w:w="1938" w:type="dxa"/>
            <w:vMerge w:val="restart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3F</w:t>
            </w:r>
            <w:r w:rsidRPr="00C0159A">
              <w:rPr>
                <w:lang w:eastAsia="en-US"/>
              </w:rPr>
              <w:noBreakHyphen/>
              <w:t>PCC 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(</w:t>
            </w:r>
            <w:proofErr w:type="spellStart"/>
            <w:r w:rsidRPr="00C0159A">
              <w:rPr>
                <w:lang w:eastAsia="en-US"/>
              </w:rPr>
              <w:t>Prothrombinex</w:t>
            </w:r>
            <w:proofErr w:type="spellEnd"/>
            <w:r w:rsidRPr="00C0159A">
              <w:rPr>
                <w:lang w:eastAsia="en-US"/>
              </w:rPr>
              <w:t xml:space="preserve">®) or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(FEIBA®)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aPTT</w:t>
            </w:r>
            <w:proofErr w:type="spellEnd"/>
            <w:r w:rsidRPr="00C0159A">
              <w:rPr>
                <w:lang w:eastAsia="en-US"/>
              </w:rPr>
              <w:t xml:space="preserve"> and TCT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PT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CAT parameters: lag time, ETP and peak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both PCCs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both PCCs</w:t>
            </w:r>
          </w:p>
        </w:tc>
      </w:tr>
      <w:tr w:rsidR="00183A8B" w:rsidRPr="00C0159A" w:rsidTr="00212C1C">
        <w:tc>
          <w:tcPr>
            <w:tcW w:w="1828" w:type="dxa"/>
            <w:vMerge/>
          </w:tcPr>
          <w:p w:rsidR="00183A8B" w:rsidRPr="00C0159A" w:rsidRDefault="00183A8B" w:rsidP="00212C1C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Rivaroxaban</w:t>
            </w:r>
          </w:p>
        </w:tc>
        <w:tc>
          <w:tcPr>
            <w:tcW w:w="1938" w:type="dxa"/>
            <w:vMerge/>
          </w:tcPr>
          <w:p w:rsidR="00183A8B" w:rsidRPr="00C0159A" w:rsidRDefault="00183A8B" w:rsidP="00212C1C">
            <w:pPr>
              <w:rPr>
                <w:lang w:eastAsia="en-US"/>
              </w:rPr>
            </w:pP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PT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aPTT</w:t>
            </w:r>
            <w:proofErr w:type="spellEnd"/>
            <w:r w:rsidRPr="00C0159A">
              <w:rPr>
                <w:lang w:eastAsia="en-US"/>
              </w:rPr>
              <w:t xml:space="preserve">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TCT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CAT parameters: lag time, ETP and peak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both PCCs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3F-PCC only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both PCCs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Schenk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2016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Rivaroxaban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Beriplex</w:t>
            </w:r>
            <w:proofErr w:type="spellEnd"/>
            <w:r w:rsidRPr="00C0159A">
              <w:rPr>
                <w:lang w:eastAsia="en-US"/>
              </w:rPr>
              <w:t xml:space="preserve">®) or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(FEIBA®)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TEM parameters: CT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TGA parameters: </w:t>
            </w:r>
          </w:p>
          <w:p w:rsidR="00183A8B" w:rsidRPr="00A43FDA" w:rsidRDefault="00183A8B" w:rsidP="00183A8B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A43FDA">
              <w:rPr>
                <w:lang w:eastAsia="en-US"/>
              </w:rPr>
              <w:t xml:space="preserve">ETP </w:t>
            </w:r>
          </w:p>
          <w:p w:rsidR="00183A8B" w:rsidRPr="00A43FDA" w:rsidRDefault="00183A8B" w:rsidP="00183A8B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A43FDA">
              <w:rPr>
                <w:lang w:eastAsia="en-US"/>
              </w:rPr>
              <w:t>Peak</w:t>
            </w:r>
          </w:p>
          <w:p w:rsidR="00183A8B" w:rsidRPr="00A43FDA" w:rsidRDefault="00183A8B" w:rsidP="00183A8B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A43FDA">
              <w:rPr>
                <w:lang w:eastAsia="en-US"/>
              </w:rPr>
              <w:t>Lag time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rFonts w:ascii="Segoe UI Symbol" w:hAnsi="Segoe UI Symbol" w:cs="Segoe UI Symbol"/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both PCCs,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&gt; 4F-PCC (reagent dependent)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</w:p>
          <w:p w:rsidR="00183A8B" w:rsidRPr="00C0159A" w:rsidRDefault="00183A8B" w:rsidP="00212C1C">
            <w:pPr>
              <w:rPr>
                <w:rFonts w:ascii="Segoe UI Symbol" w:hAnsi="Segoe UI Symbol" w:cs="Segoe UI Symbol"/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both PCCs,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&gt; 4F-PCC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both PCCs, 4F-PCC &gt;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</w:p>
          <w:p w:rsidR="00183A8B" w:rsidRPr="00C0159A" w:rsidRDefault="00183A8B" w:rsidP="00212C1C">
            <w:pPr>
              <w:rPr>
                <w:rFonts w:ascii="Segoe UI Symbol" w:hAnsi="Segoe UI Symbol" w:cs="Segoe UI Symbol"/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both PCCs,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&gt; 4F-PCC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Schultz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2017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Rivaroxaban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Cofact</w:t>
            </w:r>
            <w:proofErr w:type="spellEnd"/>
            <w:r w:rsidRPr="00C0159A">
              <w:rPr>
                <w:lang w:eastAsia="en-US"/>
              </w:rPr>
              <w:t xml:space="preserve">®) or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(FEIBA®)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TGA parameters: lag time, peak, velocity index, ETP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TEM parameters: CT, CFT, MCF, maximum velocity, AUC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rFonts w:ascii="Segoe UI Symbol" w:hAnsi="Segoe UI Symbol" w:cs="Segoe UI Symbol"/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both PCCs,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&gt; 4F-PCC (no significant effect on lag time with PCC)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both PCCs,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&gt; 4F-PCC (no effect on MCF, maximum velocity and AUC)</w:t>
            </w:r>
          </w:p>
        </w:tc>
      </w:tr>
      <w:tr w:rsidR="00183A8B" w:rsidRPr="00C0159A" w:rsidTr="00212C1C">
        <w:trPr>
          <w:trHeight w:val="265"/>
        </w:trPr>
        <w:tc>
          <w:tcPr>
            <w:tcW w:w="14454" w:type="dxa"/>
            <w:gridSpan w:val="5"/>
            <w:shd w:val="clear" w:color="auto" w:fill="E5DFEC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i/>
                <w:lang w:eastAsia="en-US"/>
              </w:rPr>
              <w:t>ex vivo</w:t>
            </w:r>
            <w:r w:rsidRPr="00C0159A">
              <w:rPr>
                <w:lang w:eastAsia="en-US"/>
              </w:rPr>
              <w:t xml:space="preserve"> study using samples from NOAC-dosed healthy volunteers</w:t>
            </w:r>
          </w:p>
        </w:tc>
      </w:tr>
      <w:tr w:rsidR="00183A8B" w:rsidRPr="00C0159A" w:rsidTr="00212C1C">
        <w:trPr>
          <w:trHeight w:val="960"/>
        </w:trPr>
        <w:tc>
          <w:tcPr>
            <w:tcW w:w="1828" w:type="dxa"/>
            <w:vMerge w:val="restart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Arellano-Rodrigo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2015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Dabigatran</w:t>
            </w:r>
          </w:p>
        </w:tc>
        <w:tc>
          <w:tcPr>
            <w:tcW w:w="1938" w:type="dxa"/>
            <w:vMerge w:val="restart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</w:t>
            </w:r>
            <w:r w:rsidRPr="00C0159A">
              <w:rPr>
                <w:lang w:eastAsia="en-US"/>
              </w:rPr>
              <w:noBreakHyphen/>
              <w:t>PCC (</w:t>
            </w:r>
            <w:proofErr w:type="spellStart"/>
            <w:r w:rsidRPr="00C0159A">
              <w:rPr>
                <w:lang w:eastAsia="en-US"/>
              </w:rPr>
              <w:t>Beriplex</w:t>
            </w:r>
            <w:proofErr w:type="spellEnd"/>
            <w:r w:rsidRPr="00C0159A">
              <w:rPr>
                <w:lang w:eastAsia="en-US"/>
              </w:rPr>
              <w:t xml:space="preserve">®) or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(FEIBA®)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PT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aPTT</w:t>
            </w:r>
            <w:proofErr w:type="spellEnd"/>
            <w:r w:rsidRPr="00C0159A">
              <w:rPr>
                <w:lang w:eastAsia="en-US"/>
              </w:rPr>
              <w:t xml:space="preserve">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TGA parameters: lag time, ETP, peak, time to peak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TEM parameters: CT, CFT and MCF 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Partial with both PCCs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both PCCs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 </w:t>
            </w:r>
            <w:r w:rsidRPr="00C0159A">
              <w:rPr>
                <w:i/>
                <w:lang w:eastAsia="en-US"/>
              </w:rPr>
              <w:t>(no effect on CFT)</w:t>
            </w:r>
          </w:p>
        </w:tc>
      </w:tr>
      <w:tr w:rsidR="00183A8B" w:rsidRPr="00C0159A" w:rsidTr="00212C1C">
        <w:trPr>
          <w:trHeight w:val="960"/>
        </w:trPr>
        <w:tc>
          <w:tcPr>
            <w:tcW w:w="1828" w:type="dxa"/>
            <w:vMerge/>
          </w:tcPr>
          <w:p w:rsidR="00183A8B" w:rsidRPr="00C0159A" w:rsidRDefault="00183A8B" w:rsidP="00212C1C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Rivaroxaban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</w:p>
        </w:tc>
        <w:tc>
          <w:tcPr>
            <w:tcW w:w="1938" w:type="dxa"/>
            <w:vMerge/>
          </w:tcPr>
          <w:p w:rsidR="00183A8B" w:rsidRPr="00C0159A" w:rsidRDefault="00183A8B" w:rsidP="00212C1C">
            <w:pPr>
              <w:rPr>
                <w:lang w:eastAsia="en-US"/>
              </w:rPr>
            </w:pP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PT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aPTT</w:t>
            </w:r>
            <w:proofErr w:type="spellEnd"/>
            <w:r w:rsidRPr="00C0159A">
              <w:rPr>
                <w:lang w:eastAsia="en-US"/>
              </w:rPr>
              <w:t xml:space="preserve">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TGA parameters: lag time, ETP, peak, time to peak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TEM parameters: CT, CFT and MCF 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>; partial with 4F-PCC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/>
                <w:lang w:eastAsia="en-US"/>
              </w:rPr>
              <w:t>(+)</w:t>
            </w:r>
            <w:r w:rsidRPr="00C0159A">
              <w:rPr>
                <w:rFonts w:ascii="Segoe UI Symbol" w:hAnsi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>; lag time and ETP only with 4F-PCC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lastRenderedPageBreak/>
              <w:t>(+)</w:t>
            </w:r>
            <w:r w:rsidRPr="00C0159A">
              <w:rPr>
                <w:lang w:eastAsia="en-US"/>
              </w:rPr>
              <w:t xml:space="preserve"> with both PCCs</w:t>
            </w:r>
          </w:p>
        </w:tc>
      </w:tr>
      <w:tr w:rsidR="00183A8B" w:rsidRPr="00C0159A" w:rsidTr="00212C1C">
        <w:tc>
          <w:tcPr>
            <w:tcW w:w="14454" w:type="dxa"/>
            <w:gridSpan w:val="5"/>
            <w:shd w:val="clear" w:color="auto" w:fill="E5DFEC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i/>
                <w:lang w:eastAsia="en-US"/>
              </w:rPr>
              <w:lastRenderedPageBreak/>
              <w:t>in vitro</w:t>
            </w:r>
            <w:r w:rsidRPr="00C0159A">
              <w:rPr>
                <w:lang w:eastAsia="en-US"/>
              </w:rPr>
              <w:t xml:space="preserve"> studies using samples from healthy volunteers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Solbeck</w:t>
            </w:r>
            <w:proofErr w:type="spellEnd"/>
            <w:r w:rsidRPr="00C0159A">
              <w:rPr>
                <w:lang w:eastAsia="en-US"/>
              </w:rPr>
              <w:t xml:space="preserve">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2014a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Dabigatran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Octaplex</w:t>
            </w:r>
            <w:proofErr w:type="spellEnd"/>
            <w:r w:rsidRPr="00C0159A">
              <w:rPr>
                <w:lang w:eastAsia="en-US"/>
              </w:rPr>
              <w:t>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TEG parameters 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rFonts w:ascii="Wingdings 2" w:hAnsi="Wingdings 2"/>
                <w:lang w:eastAsia="en-US"/>
              </w:rPr>
            </w:pPr>
            <w:r>
              <w:rPr>
                <w:lang w:eastAsia="en-US"/>
              </w:rPr>
              <w:t>(‒)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Solbeck</w:t>
            </w:r>
            <w:proofErr w:type="spellEnd"/>
            <w:r w:rsidRPr="00C0159A">
              <w:rPr>
                <w:lang w:eastAsia="en-US"/>
              </w:rPr>
              <w:t xml:space="preserve">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2014b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Dabigatran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Octaplex</w:t>
            </w:r>
            <w:proofErr w:type="spellEnd"/>
            <w:r w:rsidRPr="00C0159A">
              <w:rPr>
                <w:lang w:eastAsia="en-US"/>
              </w:rPr>
              <w:t>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Sonoclot</w:t>
            </w:r>
            <w:proofErr w:type="spellEnd"/>
            <w:r w:rsidRPr="00C0159A">
              <w:rPr>
                <w:lang w:eastAsia="en-US"/>
              </w:rPr>
              <w:t xml:space="preserve"> parameters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(‒)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Lindahl</w:t>
            </w:r>
            <w:proofErr w:type="spellEnd"/>
            <w:r w:rsidRPr="00C0159A">
              <w:rPr>
                <w:lang w:eastAsia="en-US"/>
              </w:rPr>
              <w:t xml:space="preserve">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2015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Dabigatran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Cofact</w:t>
            </w:r>
            <w:proofErr w:type="spellEnd"/>
            <w:r w:rsidRPr="00C0159A">
              <w:rPr>
                <w:lang w:eastAsia="en-US"/>
              </w:rPr>
              <w:t xml:space="preserve">®) or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(FEIBA®)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CT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Initial rate of clot growth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</w:t>
            </w:r>
          </w:p>
          <w:p w:rsidR="00183A8B" w:rsidRPr="00C0159A" w:rsidRDefault="00183A8B" w:rsidP="00212C1C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(‒)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Perzborn</w:t>
            </w:r>
            <w:proofErr w:type="spellEnd"/>
            <w:r w:rsidRPr="00C0159A">
              <w:rPr>
                <w:lang w:eastAsia="en-US"/>
              </w:rPr>
              <w:t xml:space="preserve"> </w:t>
            </w:r>
            <w:r w:rsidRPr="00577F96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2014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Rivaroxaban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Beriplex</w:t>
            </w:r>
            <w:proofErr w:type="spellEnd"/>
            <w:r w:rsidRPr="00C0159A">
              <w:rPr>
                <w:lang w:eastAsia="en-US"/>
              </w:rPr>
              <w:t xml:space="preserve">®) or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(FEIBA®)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PT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CT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TGA parameters:</w:t>
            </w:r>
          </w:p>
          <w:p w:rsidR="00183A8B" w:rsidRPr="00A43FDA" w:rsidRDefault="00183A8B" w:rsidP="00183A8B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 w:rsidRPr="00A43FDA">
              <w:rPr>
                <w:lang w:eastAsia="en-US"/>
              </w:rPr>
              <w:t xml:space="preserve">ETP </w:t>
            </w:r>
          </w:p>
          <w:p w:rsidR="00183A8B" w:rsidRPr="00A43FDA" w:rsidRDefault="00183A8B" w:rsidP="00183A8B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 w:rsidRPr="00A43FDA">
              <w:rPr>
                <w:lang w:eastAsia="en-US"/>
              </w:rPr>
              <w:t xml:space="preserve">Lag time </w:t>
            </w:r>
          </w:p>
          <w:p w:rsidR="00183A8B" w:rsidRPr="00A43FDA" w:rsidRDefault="00183A8B" w:rsidP="00183A8B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 w:rsidRPr="00A43FDA">
              <w:rPr>
                <w:lang w:eastAsia="en-US"/>
              </w:rPr>
              <w:t xml:space="preserve">Peak 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both PCCs,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&gt; 4F-PCC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Partial 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both PCCs,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&gt; 4F-PCC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Partial with both PCCs,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&gt; 4F-PCC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Partial 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Escolar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2015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Rivaroxaban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Beriplex</w:t>
            </w:r>
            <w:proofErr w:type="spellEnd"/>
            <w:r w:rsidRPr="00C0159A">
              <w:rPr>
                <w:lang w:eastAsia="en-US"/>
              </w:rPr>
              <w:t xml:space="preserve">®) or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(FEIBA®)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TGA parameters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TEM parameters: CT, CFT and MCF 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both PCCs,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&gt; 4F-PCC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both PCCs,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&gt; 4F-PCC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Körber</w:t>
            </w:r>
            <w:proofErr w:type="spellEnd"/>
            <w:r w:rsidRPr="00C0159A">
              <w:rPr>
                <w:lang w:eastAsia="en-US"/>
              </w:rPr>
              <w:t xml:space="preserve">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2014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Rivaroxaban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Octaplex</w:t>
            </w:r>
            <w:proofErr w:type="spellEnd"/>
            <w:r w:rsidRPr="00C0159A">
              <w:rPr>
                <w:lang w:eastAsia="en-US"/>
              </w:rPr>
              <w:t>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CT, </w:t>
            </w:r>
            <w:proofErr w:type="spellStart"/>
            <w:r w:rsidRPr="00C0159A">
              <w:rPr>
                <w:lang w:eastAsia="en-US"/>
              </w:rPr>
              <w:t>aPTT</w:t>
            </w:r>
            <w:proofErr w:type="spellEnd"/>
            <w:r w:rsidRPr="00C0159A">
              <w:rPr>
                <w:lang w:eastAsia="en-US"/>
              </w:rPr>
              <w:t>, PT ratio, PT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rFonts w:ascii="Calibri" w:hAnsi="Calibri"/>
                <w:i/>
                <w:lang w:eastAsia="en-US"/>
              </w:rPr>
            </w:pPr>
            <w:r>
              <w:rPr>
                <w:lang w:eastAsia="en-US"/>
              </w:rPr>
              <w:t>(‒)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Körber</w:t>
            </w:r>
            <w:proofErr w:type="spellEnd"/>
            <w:r w:rsidRPr="00C0159A">
              <w:rPr>
                <w:lang w:eastAsia="en-US"/>
              </w:rPr>
              <w:t xml:space="preserve">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</w:t>
            </w:r>
            <w:r>
              <w:rPr>
                <w:lang w:eastAsia="en-US"/>
              </w:rPr>
              <w:t>16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Rivaroxaban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Octaplex</w:t>
            </w:r>
            <w:proofErr w:type="spellEnd"/>
            <w:r w:rsidRPr="00C0159A">
              <w:rPr>
                <w:lang w:eastAsia="en-US"/>
              </w:rPr>
              <w:t>®)</w:t>
            </w:r>
            <w:r>
              <w:rPr>
                <w:lang w:eastAsia="en-US"/>
              </w:rPr>
              <w:t xml:space="preserve"> or </w:t>
            </w:r>
            <w:proofErr w:type="spellStart"/>
            <w:r>
              <w:rPr>
                <w:lang w:eastAsia="en-US"/>
              </w:rPr>
              <w:t>aPCC</w:t>
            </w:r>
            <w:proofErr w:type="spellEnd"/>
            <w:r>
              <w:rPr>
                <w:lang w:eastAsia="en-US"/>
              </w:rPr>
              <w:t xml:space="preserve"> (FEIBA®)</w:t>
            </w:r>
          </w:p>
        </w:tc>
        <w:tc>
          <w:tcPr>
            <w:tcW w:w="4536" w:type="dxa"/>
          </w:tcPr>
          <w:p w:rsidR="00183A8B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CT</w:t>
            </w:r>
          </w:p>
          <w:p w:rsidR="00183A8B" w:rsidRDefault="00183A8B" w:rsidP="00212C1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aPTT</w:t>
            </w:r>
            <w:proofErr w:type="spellEnd"/>
          </w:p>
          <w:p w:rsidR="00183A8B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PT ratio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PT</w:t>
            </w:r>
          </w:p>
        </w:tc>
        <w:tc>
          <w:tcPr>
            <w:tcW w:w="4735" w:type="dxa"/>
          </w:tcPr>
          <w:p w:rsidR="00183A8B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(significant effect dose-dependent with 4F-PCC)</w:t>
            </w:r>
          </w:p>
          <w:p w:rsidR="00183A8B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(+)</w:t>
            </w:r>
          </w:p>
          <w:p w:rsidR="00183A8B" w:rsidRDefault="00183A8B" w:rsidP="00212C1C">
            <w:pPr>
              <w:rPr>
                <w:rFonts w:ascii="Segoe UI Symbol" w:hAnsi="Segoe UI Symbol"/>
                <w:lang w:eastAsia="en-US"/>
              </w:rPr>
            </w:pPr>
            <w:r>
              <w:rPr>
                <w:rFonts w:ascii="Segoe UI Symbol" w:hAnsi="Segoe UI Symbol"/>
                <w:lang w:eastAsia="en-US"/>
              </w:rPr>
              <w:t xml:space="preserve">(+) </w:t>
            </w:r>
            <w:r w:rsidRPr="006D6D0E">
              <w:rPr>
                <w:lang w:eastAsia="en-US"/>
              </w:rPr>
              <w:t xml:space="preserve">with </w:t>
            </w:r>
            <w:proofErr w:type="spellStart"/>
            <w:r w:rsidRPr="006D6D0E">
              <w:rPr>
                <w:lang w:eastAsia="en-US"/>
              </w:rPr>
              <w:t>aPCC</w:t>
            </w:r>
            <w:proofErr w:type="spellEnd"/>
            <w:r w:rsidRPr="006D6D0E">
              <w:rPr>
                <w:lang w:eastAsia="en-US"/>
              </w:rPr>
              <w:t xml:space="preserve"> only</w:t>
            </w:r>
            <w:r w:rsidRPr="00C0159A">
              <w:rPr>
                <w:rFonts w:ascii="Segoe UI Symbol" w:hAnsi="Segoe UI Symbol"/>
                <w:lang w:eastAsia="en-US"/>
              </w:rPr>
              <w:t xml:space="preserve"> </w:t>
            </w:r>
          </w:p>
          <w:p w:rsidR="00183A8B" w:rsidRPr="00C0159A" w:rsidRDefault="00183A8B" w:rsidP="00212C1C">
            <w:pPr>
              <w:rPr>
                <w:rFonts w:ascii="Segoe UI Symbol" w:hAnsi="Segoe UI Symbol"/>
                <w:lang w:eastAsia="en-US"/>
              </w:rPr>
            </w:pPr>
            <w:r>
              <w:rPr>
                <w:rFonts w:ascii="Segoe UI Symbol" w:hAnsi="Segoe UI Symbol"/>
                <w:lang w:eastAsia="en-US"/>
              </w:rPr>
              <w:t xml:space="preserve">(+) </w:t>
            </w:r>
            <w:r w:rsidRPr="006D6D0E">
              <w:rPr>
                <w:lang w:eastAsia="en-US"/>
              </w:rPr>
              <w:t xml:space="preserve">with </w:t>
            </w:r>
            <w:proofErr w:type="spellStart"/>
            <w:r w:rsidRPr="006D6D0E">
              <w:rPr>
                <w:lang w:eastAsia="en-US"/>
              </w:rPr>
              <w:t>aPCC</w:t>
            </w:r>
            <w:proofErr w:type="spellEnd"/>
            <w:r w:rsidRPr="006D6D0E">
              <w:rPr>
                <w:lang w:eastAsia="en-US"/>
              </w:rPr>
              <w:t xml:space="preserve"> only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Dinkelaar</w:t>
            </w:r>
            <w:proofErr w:type="spellEnd"/>
            <w:r w:rsidRPr="00C0159A">
              <w:rPr>
                <w:lang w:eastAsia="en-US"/>
              </w:rPr>
              <w:t xml:space="preserve">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2013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Rivaroxaban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Cofact</w:t>
            </w:r>
            <w:proofErr w:type="spellEnd"/>
            <w:r w:rsidRPr="00C0159A">
              <w:rPr>
                <w:lang w:eastAsia="en-US"/>
              </w:rPr>
              <w:t>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ETP, peak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PT, lag time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/>
                <w:lang w:eastAsia="en-US"/>
              </w:rPr>
              <w:t>(+)</w:t>
            </w:r>
            <w:r w:rsidRPr="00C0159A">
              <w:rPr>
                <w:rFonts w:ascii="Segoe UI Symbol" w:hAnsi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>(in whole blood CAT)</w:t>
            </w:r>
          </w:p>
          <w:p w:rsidR="00183A8B" w:rsidRPr="00C0159A" w:rsidRDefault="00183A8B" w:rsidP="00212C1C">
            <w:pPr>
              <w:rPr>
                <w:rFonts w:ascii="Calibri" w:hAnsi="Calibri"/>
                <w:i/>
                <w:lang w:eastAsia="en-US"/>
              </w:rPr>
            </w:pPr>
            <w:r>
              <w:rPr>
                <w:lang w:eastAsia="en-US"/>
              </w:rPr>
              <w:t>(‒)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Nagakari</w:t>
            </w:r>
            <w:proofErr w:type="spellEnd"/>
            <w:r>
              <w:rPr>
                <w:lang w:eastAsia="en-US"/>
              </w:rPr>
              <w:t xml:space="preserve"> </w:t>
            </w:r>
            <w:r w:rsidRPr="00DB0E47">
              <w:rPr>
                <w:i/>
                <w:lang w:eastAsia="en-US"/>
              </w:rPr>
              <w:t>et al</w:t>
            </w:r>
            <w:r>
              <w:rPr>
                <w:lang w:eastAsia="en-US"/>
              </w:rPr>
              <w:t>. 2017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Rivaroxaban, edoxaban or </w:t>
            </w:r>
            <w:proofErr w:type="spellStart"/>
            <w:r>
              <w:rPr>
                <w:lang w:eastAsia="en-US"/>
              </w:rPr>
              <w:t>apixaban</w:t>
            </w:r>
            <w:proofErr w:type="spellEnd"/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4F-PCC (PPSB-HT®) or </w:t>
            </w:r>
            <w:proofErr w:type="spellStart"/>
            <w:r>
              <w:rPr>
                <w:lang w:eastAsia="en-US"/>
              </w:rPr>
              <w:t>aPCC</w:t>
            </w:r>
            <w:proofErr w:type="spellEnd"/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PT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(+)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Iba</w:t>
            </w:r>
            <w:proofErr w:type="spellEnd"/>
            <w:r>
              <w:rPr>
                <w:lang w:eastAsia="en-US"/>
              </w:rPr>
              <w:t xml:space="preserve"> </w:t>
            </w:r>
            <w:r w:rsidRPr="007D7C1F">
              <w:rPr>
                <w:i/>
                <w:lang w:eastAsia="en-US"/>
              </w:rPr>
              <w:t>et al</w:t>
            </w:r>
            <w:r>
              <w:rPr>
                <w:lang w:eastAsia="en-US"/>
              </w:rPr>
              <w:t>. 2016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Edoxaban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4F-PCC (PPSB-HT®) or </w:t>
            </w:r>
            <w:proofErr w:type="spellStart"/>
            <w:r>
              <w:rPr>
                <w:lang w:eastAsia="en-US"/>
              </w:rPr>
              <w:t>aPCC</w:t>
            </w:r>
            <w:proofErr w:type="spellEnd"/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PT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(+) </w:t>
            </w:r>
          </w:p>
        </w:tc>
      </w:tr>
      <w:tr w:rsidR="00183A8B" w:rsidRPr="00C0159A" w:rsidTr="00212C1C"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Halim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2014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Edoxaban</w:t>
            </w:r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(FEIBA®)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PT and </w:t>
            </w:r>
            <w:proofErr w:type="spellStart"/>
            <w:r w:rsidRPr="00C0159A">
              <w:rPr>
                <w:lang w:eastAsia="en-US"/>
              </w:rPr>
              <w:t>aPTT</w:t>
            </w:r>
            <w:proofErr w:type="spellEnd"/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(+)</w:t>
            </w:r>
          </w:p>
        </w:tc>
      </w:tr>
      <w:tr w:rsidR="00183A8B" w:rsidRPr="00C0159A" w:rsidTr="00212C1C">
        <w:trPr>
          <w:trHeight w:val="413"/>
        </w:trPr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Escolar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2013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Apixaban</w:t>
            </w:r>
            <w:proofErr w:type="spellEnd"/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Beriplex</w:t>
            </w:r>
            <w:proofErr w:type="spellEnd"/>
            <w:r w:rsidRPr="00C0159A">
              <w:rPr>
                <w:lang w:eastAsia="en-US"/>
              </w:rPr>
              <w:t xml:space="preserve">®) </w:t>
            </w:r>
            <w:r w:rsidRPr="00C0159A">
              <w:rPr>
                <w:lang w:eastAsia="en-US"/>
              </w:rPr>
              <w:lastRenderedPageBreak/>
              <w:t xml:space="preserve">or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(FEIBA®)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lastRenderedPageBreak/>
              <w:t xml:space="preserve">TGA parameters: </w:t>
            </w:r>
          </w:p>
          <w:p w:rsidR="00183A8B" w:rsidRPr="00A43FDA" w:rsidRDefault="00183A8B" w:rsidP="00183A8B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 w:rsidRPr="00A43FDA">
              <w:rPr>
                <w:lang w:eastAsia="en-US"/>
              </w:rPr>
              <w:lastRenderedPageBreak/>
              <w:t>Lag phase, peak (phospholipid reagent)</w:t>
            </w:r>
          </w:p>
          <w:p w:rsidR="00183A8B" w:rsidRPr="00A43FDA" w:rsidRDefault="00183A8B" w:rsidP="00183A8B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 w:rsidRPr="00A43FDA">
              <w:rPr>
                <w:lang w:eastAsia="en-US"/>
              </w:rPr>
              <w:t>Time to peak, peak (TF and phospholipid reagent)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TEM parameters: CT, CFT, MCF 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lastRenderedPageBreak/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>with both PCCs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>; significant effect only observed for MCF with 4F-PCC</w:t>
            </w:r>
          </w:p>
        </w:tc>
      </w:tr>
      <w:tr w:rsidR="00183A8B" w:rsidRPr="00C0159A" w:rsidTr="00212C1C">
        <w:trPr>
          <w:trHeight w:val="413"/>
        </w:trPr>
        <w:tc>
          <w:tcPr>
            <w:tcW w:w="182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lastRenderedPageBreak/>
              <w:t xml:space="preserve">Martin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2015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Apixaban</w:t>
            </w:r>
            <w:proofErr w:type="spellEnd"/>
          </w:p>
        </w:tc>
        <w:tc>
          <w:tcPr>
            <w:tcW w:w="1938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Kanokad</w:t>
            </w:r>
            <w:proofErr w:type="spellEnd"/>
            <w:r w:rsidRPr="00C0159A">
              <w:rPr>
                <w:lang w:eastAsia="en-US"/>
              </w:rPr>
              <w:t xml:space="preserve">®) or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(FEIBA®)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TGA parameters </w:t>
            </w:r>
          </w:p>
          <w:p w:rsidR="00183A8B" w:rsidRPr="00A43FDA" w:rsidRDefault="00183A8B" w:rsidP="00183A8B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 w:rsidRPr="00A43FDA">
              <w:rPr>
                <w:lang w:eastAsia="en-US"/>
              </w:rPr>
              <w:t>ETP</w:t>
            </w:r>
          </w:p>
          <w:p w:rsidR="00183A8B" w:rsidRPr="00A43FDA" w:rsidRDefault="00183A8B" w:rsidP="00183A8B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 w:rsidRPr="00A43FDA">
              <w:rPr>
                <w:lang w:eastAsia="en-US"/>
              </w:rPr>
              <w:t>Lag time</w:t>
            </w:r>
          </w:p>
          <w:p w:rsidR="00183A8B" w:rsidRPr="00A43FDA" w:rsidRDefault="00183A8B" w:rsidP="00183A8B">
            <w:pPr>
              <w:pStyle w:val="ListParagraph"/>
              <w:numPr>
                <w:ilvl w:val="0"/>
                <w:numId w:val="1"/>
              </w:numPr>
              <w:rPr>
                <w:lang w:eastAsia="en-US"/>
              </w:rPr>
            </w:pPr>
            <w:r w:rsidRPr="00A43FDA">
              <w:rPr>
                <w:lang w:eastAsia="en-US"/>
              </w:rPr>
              <w:t>Peak height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PT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aPTT</w:t>
            </w:r>
            <w:proofErr w:type="spellEnd"/>
            <w:r w:rsidRPr="00C0159A">
              <w:rPr>
                <w:lang w:eastAsia="en-US"/>
              </w:rPr>
              <w:t xml:space="preserve">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Fibrin polymerisation kinetics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TEM parameters 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both PCCs,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&gt; 4F-PCC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/>
                <w:lang w:eastAsia="en-US"/>
              </w:rPr>
              <w:t>(+)</w:t>
            </w:r>
            <w:r w:rsidRPr="00C0159A">
              <w:rPr>
                <w:rFonts w:ascii="Segoe UI Symbol" w:hAnsi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4F-PCC, overcorrection 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>with both PCCs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>with both PCCs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Partial 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</w:t>
            </w:r>
          </w:p>
          <w:p w:rsidR="00183A8B" w:rsidRPr="00C0159A" w:rsidRDefault="00183A8B" w:rsidP="00212C1C">
            <w:pPr>
              <w:rPr>
                <w:i/>
                <w:lang w:eastAsia="en-US"/>
              </w:rPr>
            </w:pPr>
            <w:r w:rsidRPr="00C0159A">
              <w:rPr>
                <w:lang w:eastAsia="en-US"/>
              </w:rPr>
              <w:t xml:space="preserve">Partial with </w:t>
            </w:r>
            <w:proofErr w:type="spellStart"/>
            <w:r w:rsidRPr="00C0159A">
              <w:rPr>
                <w:lang w:eastAsia="en-US"/>
              </w:rPr>
              <w:t>aPCC</w:t>
            </w:r>
            <w:proofErr w:type="spellEnd"/>
            <w:r w:rsidRPr="00C0159A">
              <w:rPr>
                <w:lang w:eastAsia="en-US"/>
              </w:rPr>
              <w:t xml:space="preserve"> only </w:t>
            </w:r>
            <w:r w:rsidRPr="00C0159A">
              <w:rPr>
                <w:i/>
                <w:lang w:eastAsia="en-US"/>
              </w:rPr>
              <w:t>(no effect on MCF)</w:t>
            </w:r>
          </w:p>
        </w:tc>
      </w:tr>
      <w:tr w:rsidR="00183A8B" w:rsidRPr="00C0159A" w:rsidTr="00212C1C">
        <w:tc>
          <w:tcPr>
            <w:tcW w:w="1828" w:type="dxa"/>
            <w:vMerge w:val="restart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Dinkelaar</w:t>
            </w:r>
            <w:proofErr w:type="spellEnd"/>
            <w:r w:rsidRPr="00C0159A">
              <w:rPr>
                <w:lang w:eastAsia="en-US"/>
              </w:rPr>
              <w:t xml:space="preserve"> </w:t>
            </w:r>
            <w:r w:rsidRPr="00C0159A">
              <w:rPr>
                <w:i/>
                <w:lang w:eastAsia="en-US"/>
              </w:rPr>
              <w:t>et al</w:t>
            </w:r>
            <w:r w:rsidRPr="00C0159A">
              <w:rPr>
                <w:lang w:eastAsia="en-US"/>
              </w:rPr>
              <w:t>. 2014</w:t>
            </w: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Apixaban</w:t>
            </w:r>
            <w:proofErr w:type="spellEnd"/>
          </w:p>
        </w:tc>
        <w:tc>
          <w:tcPr>
            <w:tcW w:w="1938" w:type="dxa"/>
            <w:vMerge w:val="restart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4F-PCC (</w:t>
            </w:r>
            <w:proofErr w:type="spellStart"/>
            <w:r w:rsidRPr="00C0159A">
              <w:rPr>
                <w:lang w:eastAsia="en-US"/>
              </w:rPr>
              <w:t>Cofact</w:t>
            </w:r>
            <w:proofErr w:type="spellEnd"/>
            <w:r w:rsidRPr="00C0159A">
              <w:rPr>
                <w:lang w:eastAsia="en-US"/>
              </w:rPr>
              <w:t>®)</w:t>
            </w: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PT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ETP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TEG parameters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</w:p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aPTT</w:t>
            </w:r>
            <w:proofErr w:type="spellEnd"/>
            <w:r w:rsidRPr="00C0159A">
              <w:rPr>
                <w:lang w:eastAsia="en-US"/>
              </w:rPr>
              <w:t>, peak, lag time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(+)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(+)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Partial for pooled plasma (no effect on whole blood TEG parameters)</w:t>
            </w:r>
          </w:p>
          <w:p w:rsidR="00183A8B" w:rsidRPr="00C0159A" w:rsidRDefault="00183A8B" w:rsidP="00212C1C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(‒)</w:t>
            </w:r>
          </w:p>
        </w:tc>
      </w:tr>
      <w:tr w:rsidR="00183A8B" w:rsidRPr="00C0159A" w:rsidTr="00212C1C">
        <w:tc>
          <w:tcPr>
            <w:tcW w:w="1828" w:type="dxa"/>
            <w:vMerge/>
          </w:tcPr>
          <w:p w:rsidR="00183A8B" w:rsidRPr="00C0159A" w:rsidRDefault="00183A8B" w:rsidP="00212C1C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Dabigatran</w:t>
            </w:r>
          </w:p>
        </w:tc>
        <w:tc>
          <w:tcPr>
            <w:tcW w:w="1938" w:type="dxa"/>
            <w:vMerge/>
          </w:tcPr>
          <w:p w:rsidR="00183A8B" w:rsidRPr="00C0159A" w:rsidRDefault="00183A8B" w:rsidP="00212C1C">
            <w:pPr>
              <w:rPr>
                <w:lang w:eastAsia="en-US"/>
              </w:rPr>
            </w:pPr>
          </w:p>
        </w:tc>
        <w:tc>
          <w:tcPr>
            <w:tcW w:w="4536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PT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ETP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Peak TG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 xml:space="preserve">Whole blood TEG parameters 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</w:p>
          <w:p w:rsidR="00183A8B" w:rsidRPr="00C0159A" w:rsidRDefault="00183A8B" w:rsidP="00212C1C">
            <w:pPr>
              <w:rPr>
                <w:lang w:eastAsia="en-US"/>
              </w:rPr>
            </w:pPr>
            <w:proofErr w:type="spellStart"/>
            <w:r w:rsidRPr="00C0159A">
              <w:rPr>
                <w:lang w:eastAsia="en-US"/>
              </w:rPr>
              <w:t>aPTT</w:t>
            </w:r>
            <w:proofErr w:type="spellEnd"/>
            <w:r w:rsidRPr="00C0159A">
              <w:rPr>
                <w:lang w:eastAsia="en-US"/>
              </w:rPr>
              <w:t xml:space="preserve">, lag time </w:t>
            </w:r>
          </w:p>
        </w:tc>
        <w:tc>
          <w:tcPr>
            <w:tcW w:w="4735" w:type="dxa"/>
          </w:tcPr>
          <w:p w:rsidR="00183A8B" w:rsidRPr="00C0159A" w:rsidRDefault="00183A8B" w:rsidP="00212C1C">
            <w:pPr>
              <w:rPr>
                <w:lang w:eastAsia="en-US"/>
              </w:rPr>
            </w:pPr>
            <w:r w:rsidRPr="00C0159A">
              <w:rPr>
                <w:lang w:eastAsia="en-US"/>
              </w:rPr>
              <w:t>Partial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(+)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(+)</w:t>
            </w:r>
          </w:p>
          <w:p w:rsidR="00183A8B" w:rsidRPr="00C0159A" w:rsidRDefault="00183A8B" w:rsidP="00212C1C">
            <w:pPr>
              <w:rPr>
                <w:i/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(+)</w:t>
            </w:r>
            <w:r w:rsidRPr="00C0159A">
              <w:rPr>
                <w:rFonts w:ascii="Segoe UI Symbol" w:hAnsi="Segoe UI Symbol" w:cs="Segoe UI Symbol"/>
                <w:lang w:eastAsia="en-US"/>
              </w:rPr>
              <w:t xml:space="preserve"> </w:t>
            </w:r>
            <w:r w:rsidRPr="00C0159A">
              <w:rPr>
                <w:lang w:eastAsia="en-US"/>
              </w:rPr>
              <w:t xml:space="preserve">dependent on reagent used for whole blood </w:t>
            </w:r>
            <w:r w:rsidRPr="00C0159A">
              <w:rPr>
                <w:i/>
                <w:lang w:eastAsia="en-US"/>
              </w:rPr>
              <w:t>(no effect on pooled plasma TEG parameters)</w:t>
            </w:r>
          </w:p>
          <w:p w:rsidR="00183A8B" w:rsidRPr="00C0159A" w:rsidRDefault="00183A8B" w:rsidP="00212C1C">
            <w:pPr>
              <w:rPr>
                <w:lang w:eastAsia="en-US"/>
              </w:rPr>
            </w:pPr>
            <w:r>
              <w:rPr>
                <w:lang w:eastAsia="en-US"/>
              </w:rPr>
              <w:t>(‒)</w:t>
            </w:r>
          </w:p>
        </w:tc>
      </w:tr>
    </w:tbl>
    <w:p w:rsidR="00183A8B" w:rsidRDefault="00183A8B" w:rsidP="00183A8B">
      <w:pPr>
        <w:rPr>
          <w:rFonts w:cs="Segoe UI Symbol"/>
        </w:rPr>
      </w:pPr>
      <w:r w:rsidRPr="00A43FDA">
        <w:rPr>
          <w:rFonts w:cs="Arial"/>
        </w:rPr>
        <w:t>(‒), negative result; (+), positive result.</w:t>
      </w:r>
      <w:r>
        <w:rPr>
          <w:rFonts w:cs="Segoe UI Symbol"/>
        </w:rPr>
        <w:t xml:space="preserve"> </w:t>
      </w:r>
    </w:p>
    <w:p w:rsidR="00183A8B" w:rsidRDefault="00183A8B" w:rsidP="00183A8B">
      <w:r w:rsidRPr="00C0159A">
        <w:t xml:space="preserve">3F-PCC, three-factor prothrombin complex concentrate; 4F-PCC, four-factor prothrombin complex concentrate; </w:t>
      </w:r>
      <w:proofErr w:type="spellStart"/>
      <w:r w:rsidRPr="00C0159A">
        <w:t>aPCC</w:t>
      </w:r>
      <w:proofErr w:type="spellEnd"/>
      <w:r w:rsidRPr="00C0159A">
        <w:t xml:space="preserve">, activated prothrombin complex concentrate; </w:t>
      </w:r>
      <w:proofErr w:type="spellStart"/>
      <w:r w:rsidRPr="00C0159A">
        <w:t>aPTT</w:t>
      </w:r>
      <w:proofErr w:type="spellEnd"/>
      <w:r w:rsidRPr="00C0159A">
        <w:t xml:space="preserve">, activated partial thromboplastin time; AUC, area under the curve; CAT, calibrated automated </w:t>
      </w:r>
      <w:proofErr w:type="spellStart"/>
      <w:r w:rsidRPr="00C0159A">
        <w:t>thrombogram</w:t>
      </w:r>
      <w:proofErr w:type="spellEnd"/>
      <w:r w:rsidRPr="00C0159A">
        <w:t xml:space="preserve">; CFT, clot formation time; CT, clotting time; ETP, endogenous thrombin potential; MCF, maximum clot firmness; PT, prothrombin time; TCT, thrombin clotting time; </w:t>
      </w:r>
      <w:r w:rsidRPr="00E743B3">
        <w:t xml:space="preserve">TEG, </w:t>
      </w:r>
      <w:proofErr w:type="spellStart"/>
      <w:r w:rsidRPr="00E743B3">
        <w:t>thromboelastography</w:t>
      </w:r>
      <w:proofErr w:type="spellEnd"/>
      <w:r>
        <w:t>;</w:t>
      </w:r>
      <w:r w:rsidRPr="00163F1D">
        <w:t xml:space="preserve"> </w:t>
      </w:r>
      <w:r w:rsidRPr="00C0159A">
        <w:t xml:space="preserve">TF, tissue factor; TG, thrombin generation; TGA, thrombin generation assay; TT, thrombin time; TEM, </w:t>
      </w:r>
      <w:proofErr w:type="spellStart"/>
      <w:r w:rsidRPr="00C0159A">
        <w:t>thromboelastometry</w:t>
      </w:r>
      <w:proofErr w:type="spellEnd"/>
      <w:r w:rsidRPr="00C0159A">
        <w:t>.</w:t>
      </w:r>
    </w:p>
    <w:p w:rsidR="00B92132" w:rsidRDefault="00B92132">
      <w:bookmarkStart w:id="0" w:name="_GoBack"/>
      <w:bookmarkEnd w:id="0"/>
    </w:p>
    <w:sectPr w:rsidR="00B92132" w:rsidSect="00985FF3"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17"/>
    <w:multiLevelType w:val="hybridMultilevel"/>
    <w:tmpl w:val="71F0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9155C"/>
    <w:multiLevelType w:val="hybridMultilevel"/>
    <w:tmpl w:val="4DE4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8B"/>
    <w:rsid w:val="00183A8B"/>
    <w:rsid w:val="00922EFC"/>
    <w:rsid w:val="009D21EF"/>
    <w:rsid w:val="00B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183A8B"/>
    <w:pPr>
      <w:keepNext/>
      <w:spacing w:after="0" w:line="360" w:lineRule="auto"/>
      <w:outlineLvl w:val="2"/>
    </w:pPr>
    <w:rPr>
      <w:rFonts w:ascii="Calibri" w:eastAsia="Times New Roman" w:hAnsi="Calibri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3A8B"/>
    <w:rPr>
      <w:rFonts w:ascii="Calibri" w:eastAsia="Times New Roman" w:hAnsi="Calibri" w:cs="Times New Roman"/>
      <w:b/>
      <w:bCs/>
      <w:szCs w:val="24"/>
      <w:lang w:val="en-GB"/>
    </w:rPr>
  </w:style>
  <w:style w:type="table" w:styleId="TableGrid">
    <w:name w:val="Table Grid"/>
    <w:basedOn w:val="TableNormal"/>
    <w:uiPriority w:val="39"/>
    <w:rsid w:val="0018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83A8B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183A8B"/>
    <w:pPr>
      <w:keepNext/>
      <w:spacing w:after="0" w:line="360" w:lineRule="auto"/>
      <w:outlineLvl w:val="2"/>
    </w:pPr>
    <w:rPr>
      <w:rFonts w:ascii="Calibri" w:eastAsia="Times New Roman" w:hAnsi="Calibri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3A8B"/>
    <w:rPr>
      <w:rFonts w:ascii="Calibri" w:eastAsia="Times New Roman" w:hAnsi="Calibri" w:cs="Times New Roman"/>
      <w:b/>
      <w:bCs/>
      <w:szCs w:val="24"/>
      <w:lang w:val="en-GB"/>
    </w:rPr>
  </w:style>
  <w:style w:type="table" w:styleId="TableGrid">
    <w:name w:val="Table Grid"/>
    <w:basedOn w:val="TableNormal"/>
    <w:uiPriority w:val="39"/>
    <w:rsid w:val="0018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83A8B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4126</Characters>
  <Application>Microsoft Office Word</Application>
  <DocSecurity>0</DocSecurity>
  <Lines>257</Lines>
  <Paragraphs>213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AJTUALA</dc:creator>
  <cp:lastModifiedBy>AJTUALA</cp:lastModifiedBy>
  <cp:revision>1</cp:revision>
  <dcterms:created xsi:type="dcterms:W3CDTF">2018-11-13T16:33:00Z</dcterms:created>
  <dcterms:modified xsi:type="dcterms:W3CDTF">2018-11-13T16:33:00Z</dcterms:modified>
</cp:coreProperties>
</file>