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5" w:rsidRDefault="00CA2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 xml:space="preserve">. </w:t>
      </w:r>
      <w:proofErr w:type="gramStart"/>
      <w:r>
        <w:rPr>
          <w:rFonts w:ascii="Times New Roman" w:hAnsi="Times New Roman" w:hint="eastAsia"/>
          <w:b/>
        </w:rPr>
        <w:t>The flow diagram for inclusion of patients.</w:t>
      </w:r>
      <w:proofErr w:type="gramEnd"/>
      <w:r>
        <w:rPr>
          <w:rFonts w:ascii="Times New Roman" w:hAnsi="Times New Roman" w:hint="eastAsia"/>
          <w:b/>
        </w:rPr>
        <w:t xml:space="preserve"> </w:t>
      </w:r>
    </w:p>
    <w:p w:rsidR="003B3215" w:rsidRDefault="003B3215">
      <w:pPr>
        <w:rPr>
          <w:rFonts w:ascii="Times New Roman" w:hAnsi="Times New Roman"/>
          <w:b/>
        </w:rPr>
      </w:pPr>
    </w:p>
    <w:p w:rsidR="003B3215" w:rsidRDefault="00CA2DF0">
      <w:pPr>
        <w:rPr>
          <w:rFonts w:ascii="Times New Roman" w:hAnsi="Times New Roman"/>
          <w:b/>
        </w:rPr>
      </w:pPr>
      <w:r>
        <w:rPr>
          <w:sz w:val="24"/>
          <w:szCs w:val="24"/>
        </w:rPr>
        <w:pict>
          <v:group id="_x0000_s1048" style="position:absolute;left:0;text-align:left;margin-left:10.5pt;margin-top:12.15pt;width:378pt;height:370pt;z-index:3" coordorigin="1800,6753" coordsize="7560,7400">
            <v:oval id="_x0000_s1049" style="position:absolute;left:7076;top:11820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Distal metastasis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  <w:p w:rsidR="003B3215" w:rsidRDefault="003B3215"/>
                </w:txbxContent>
              </v:textbox>
            </v:oval>
            <v:oval id="_x0000_s1050" style="position:absolute;left:7076;top:13140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No standard treatment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n=43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  <w:p w:rsidR="003B3215" w:rsidRDefault="003B321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709;top:9864;width:0;height:463" o:connectortype="straight"/>
            <v:group id="_x0000_s1052" style="position:absolute;left:1800;top:6753;width:6038;height:3188" coordorigin="1800,6753" coordsize="6038,3188">
              <v:roundrect id="_x0000_s1053" style="position:absolute;left:3614;top:6753;width:2361;height:1443" arcsize="10923f">
                <v:textbox>
                  <w:txbxContent>
                    <w:p w:rsidR="003B3215" w:rsidRPr="00CA2DF0" w:rsidRDefault="00CA2DF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Osteosarcoma from January 2000 to February 2015</w:t>
                      </w:r>
                    </w:p>
                    <w:p w:rsidR="003B3215" w:rsidRDefault="00CA2DF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N=1133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  <v:group id="_x0000_s1054" style="position:absolute;left:2943;top:8196;width:3766;height:732" coordorigin="2955,7815" coordsize="6090,825">
                <v:shape id="_x0000_s1055" type="#_x0000_t32" style="position:absolute;left:2955;top:7815;width:3045;height:825;flip:x" o:connectortype="straight"/>
                <v:shape id="_x0000_s1056" type="#_x0000_t32" style="position:absolute;left:6000;top:7815;width:3045;height:825;flip:x y" o:connectortype="straight"/>
              </v:group>
              <v:oval id="_x0000_s1057" style="position:absolute;left:1800;top:8928;width:2284;height:1013">
                <v:textbox>
                  <w:txbxContent>
                    <w:p w:rsidR="003B3215" w:rsidRDefault="00CA2DF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Proximal Fibula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n=39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oval>
              <v:oval id="_x0000_s1058" style="position:absolute;left:5554;top:8928;width:2284;height:1013">
                <v:textbox>
                  <w:txbxContent>
                    <w:p w:rsidR="003B3215" w:rsidRDefault="00CA2DF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Proximal Tibia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n=214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）</w:t>
                      </w:r>
                    </w:p>
                    <w:p w:rsidR="003B3215" w:rsidRDefault="003B3215"/>
                  </w:txbxContent>
                </v:textbox>
              </v:oval>
            </v:group>
            <v:oval id="_x0000_s1059" style="position:absolute;left:1800;top:10332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Exclusion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n=11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oval>
            <v:oval id="_x0000_s1060" style="position:absolute;left:5580;top:10332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Exclusion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n=68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oval>
            <v:shape id="_x0000_s1061" type="#_x0000_t32" style="position:absolute;left:2929;top:9941;width:0;height:391" o:connectortype="straight"/>
            <v:shape id="_x0000_s1062" type="#_x0000_t32" style="position:absolute;left:6723;top:12281;width:353;height:0" o:connectortype="straight"/>
            <v:shape id="_x0000_s1063" type="#_x0000_t32" style="position:absolute;left:6723;top:13606;width:353;height:0" o:connectortype="straight"/>
            <v:shape id="_x0000_s1064" type="#_x0000_t32" style="position:absolute;left:6709;top:11345;width:14;height:2261" o:connectortype="straight"/>
            <v:oval id="_x0000_s1065" style="position:absolute;left:3296;top:11736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Distal metastasis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oval>
            <v:oval id="_x0000_s1066" style="position:absolute;left:3296;top:13140;width:2284;height:1013">
              <v:textbox>
                <w:txbxContent>
                  <w:p w:rsidR="003B3215" w:rsidRDefault="00CA2DF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bookmarkStart w:id="0" w:name="OLE_LINK9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No standard treatment</w:t>
                    </w:r>
                    <w:bookmarkEnd w:id="0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n=6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oval>
            <v:shape id="_x0000_s1067" type="#_x0000_t32" style="position:absolute;left:2943;top:12281;width:353;height:0" o:connectortype="straight"/>
            <v:shape id="_x0000_s1068" type="#_x0000_t32" style="position:absolute;left:2943;top:13606;width:353;height:0" o:connectortype="straight"/>
            <v:shape id="_x0000_s1069" type="#_x0000_t32" style="position:absolute;left:2929;top:11345;width:14;height:2261" o:connectortype="straight"/>
          </v:group>
        </w:pict>
      </w: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3B3215">
      <w:pPr>
        <w:rPr>
          <w:rFonts w:ascii="Times New Roman" w:hAnsi="Times New Roman"/>
          <w:b/>
        </w:rPr>
      </w:pPr>
    </w:p>
    <w:p w:rsidR="003B3215" w:rsidRDefault="00CA2DF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Figure S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>An example of chemotherapy protocol</w:t>
      </w:r>
    </w:p>
    <w:p w:rsidR="003B3215" w:rsidRDefault="003B3215">
      <w:pPr>
        <w:rPr>
          <w:rFonts w:ascii="Times New Roman" w:hAnsi="Times New Roman"/>
        </w:rPr>
      </w:pPr>
    </w:p>
    <w:p w:rsidR="003B3215" w:rsidRDefault="00CA2DF0">
      <w:pPr>
        <w:rPr>
          <w:rFonts w:ascii="Times New Roman" w:hAnsi="Times New Roman"/>
        </w:rPr>
      </w:pPr>
      <w:r>
        <w:pict>
          <v:group id="_x0000_s1070" style="position:absolute;left:0;text-align:left;margin-left:156pt;margin-top:8.1pt;width:176.25pt;height:93.6pt;z-index:2" coordorigin="4920,2226" coordsize="3525,1872">
            <v:group id="_x0000_s1071" style="position:absolute;left:5025;top:3006;width:3360;height:624" coordorigin="5370,3312" coordsize="3360,624">
              <v:shape id="_x0000_s1072" type="#_x0000_t32" style="position:absolute;left:5370;top:3936;width:3360;height:0" o:connectortype="straight"/>
              <v:shape id="_x0000_s1073" type="#_x0000_t32" style="position:absolute;left:5580;top:3312;width:0;height:525" o:connectortype="straight">
                <v:stroke endarrow="block"/>
              </v:shape>
              <v:shape id="_x0000_s1074" type="#_x0000_t32" style="position:absolute;left:6195;top:3312;width:0;height:525" o:connectortype="straight">
                <v:stroke endarrow="block"/>
              </v:shape>
              <v:shape id="_x0000_s1075" type="#_x0000_t32" style="position:absolute;left:6840;top:3312;width:0;height:525" o:connectortype="straight">
                <v:stroke endarrow="block"/>
              </v:shape>
              <v:shape id="_x0000_s1076" type="#_x0000_t32" style="position:absolute;left:7470;top:3324;width:0;height:525" o:connectortype="straight">
                <v:stroke endarrow="block"/>
              </v:shape>
              <v:shape id="_x0000_s1077" type="#_x0000_t32" style="position:absolute;left:8100;top:3312;width:0;height:525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4928;top:2550;width:622;height:456" stroked="f">
              <v:textbox>
                <w:txbxContent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MTX</w:t>
                    </w:r>
                  </w:p>
                </w:txbxContent>
              </v:textbox>
            </v:shape>
            <v:shape id="_x0000_s1079" type="#_x0000_t202" style="position:absolute;left:5550;top:2550;width:622;height:456" stroked="f">
              <v:textbox>
                <w:txbxContent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MTX</w:t>
                    </w:r>
                  </w:p>
                </w:txbxContent>
              </v:textbox>
            </v:shape>
            <v:shape id="_x0000_s1080" type="#_x0000_t202" style="position:absolute;left:6172;top:2226;width:622;height:768" stroked="f">
              <v:textbox>
                <w:txbxContent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DDP</w:t>
                    </w:r>
                  </w:p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ADM</w:t>
                    </w:r>
                  </w:p>
                </w:txbxContent>
              </v:textbox>
            </v:shape>
            <v:shape id="_x0000_s1081" type="#_x0000_t202" style="position:absolute;left:6794;top:2550;width:622;height:456" stroked="f">
              <v:textbox>
                <w:txbxContent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IFO</w:t>
                    </w:r>
                    <w:r>
                      <w:rPr>
                        <w:rFonts w:ascii="SimSun" w:hAnsi="SimSun" w:hint="eastAsia"/>
                        <w:b/>
                        <w:szCs w:val="21"/>
                      </w:rPr>
                      <w:t>、</w:t>
                    </w:r>
                  </w:p>
                </w:txbxContent>
              </v:textbox>
            </v:shape>
            <v:shape id="_x0000_s1082" type="#_x0000_t202" style="position:absolute;left:7326;top:2550;width:1119;height:456" stroked="f">
              <v:textbox>
                <w:txbxContent>
                  <w:p w:rsidR="003B3215" w:rsidRDefault="00CA2DF0">
                    <w:pPr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Surgery</w:t>
                    </w:r>
                  </w:p>
                </w:txbxContent>
              </v:textbox>
            </v:shape>
            <v:shape id="_x0000_s1083" type="#_x0000_t202" style="position:absolute;left:4920;top:3642;width:622;height:456" stroked="f">
              <v:textbox>
                <w:txbxContent>
                  <w:p w:rsidR="003B3215" w:rsidRDefault="00CA2DF0">
                    <w:pPr>
                      <w:ind w:firstLineChars="49" w:firstLine="103"/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5550;top:3642;width:622;height:456" stroked="f">
              <v:textbox>
                <w:txbxContent>
                  <w:p w:rsidR="003B3215" w:rsidRDefault="00CA2DF0">
                    <w:pPr>
                      <w:ind w:firstLineChars="49" w:firstLine="103"/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2</w:t>
                    </w:r>
                  </w:p>
                </w:txbxContent>
              </v:textbox>
            </v:shape>
            <v:shape id="_x0000_s1085" type="#_x0000_t202" style="position:absolute;left:6172;top:3642;width:622;height:456" stroked="f">
              <v:textbox>
                <w:txbxContent>
                  <w:p w:rsidR="003B3215" w:rsidRDefault="00CA2DF0">
                    <w:pPr>
                      <w:ind w:firstLineChars="49" w:firstLine="103"/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6794;top:3642;width:622;height:456" stroked="f">
              <v:textbox>
                <w:txbxContent>
                  <w:p w:rsidR="003B3215" w:rsidRDefault="00CA2DF0">
                    <w:pPr>
                      <w:ind w:firstLineChars="49" w:firstLine="103"/>
                      <w:rPr>
                        <w:rFonts w:ascii="SimSun"/>
                        <w:b/>
                        <w:szCs w:val="21"/>
                      </w:rPr>
                    </w:pPr>
                    <w:r>
                      <w:rPr>
                        <w:rFonts w:ascii="SimSun" w:hAnsi="SimSun"/>
                        <w:b/>
                        <w:szCs w:val="21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</w:rPr>
        <w:t>Neo-adjuvant Chemotherapy</w:t>
      </w:r>
    </w:p>
    <w:p w:rsidR="003B3215" w:rsidRDefault="003B3215">
      <w:pPr>
        <w:rPr>
          <w:rFonts w:ascii="Times New Roman" w:hAnsi="Times New Roman"/>
        </w:rPr>
      </w:pPr>
    </w:p>
    <w:p w:rsidR="003B3215" w:rsidRDefault="003B3215">
      <w:pPr>
        <w:rPr>
          <w:rFonts w:ascii="Times New Roman" w:hAnsi="Times New Roman"/>
        </w:rPr>
      </w:pPr>
    </w:p>
    <w:p w:rsidR="003B3215" w:rsidRDefault="003B3215">
      <w:pPr>
        <w:rPr>
          <w:rFonts w:ascii="Times New Roman" w:hAnsi="Times New Roman"/>
        </w:rPr>
      </w:pPr>
    </w:p>
    <w:p w:rsidR="003B3215" w:rsidRDefault="003B3215">
      <w:pPr>
        <w:rPr>
          <w:rFonts w:ascii="Times New Roman" w:hAnsi="Times New Roman"/>
        </w:rPr>
      </w:pPr>
    </w:p>
    <w:p w:rsidR="003B3215" w:rsidRDefault="00CA2DF0">
      <w:pPr>
        <w:rPr>
          <w:rFonts w:ascii="Times New Roman" w:hAnsi="Times New Roman"/>
        </w:rPr>
      </w:pPr>
      <w:r>
        <w:rPr>
          <w:rFonts w:ascii="Times New Roman" w:hAnsi="Times New Roman"/>
        </w:rPr>
        <w:t>Adjuvant Chemotherapy</w:t>
      </w:r>
    </w:p>
    <w:p w:rsidR="003B3215" w:rsidRDefault="00CA2DF0">
      <w:pPr>
        <w:rPr>
          <w:rFonts w:ascii="Georgia" w:hAnsi="Georgia"/>
        </w:rPr>
      </w:pPr>
      <w:r>
        <w:pict>
          <v:group id="_x0000_s1087" style="position:absolute;left:0;text-align:left;margin-left:48pt;margin-top:13.35pt;width:288.75pt;height:94.8pt;z-index:1" coordorigin="3165,4848" coordsize="5775,1896">
            <v:shape id="_x0000_s1088" type="#_x0000_t32" style="position:absolute;left:3270;top:6276;width:5670;height:0" o:connectortype="straight"/>
            <v:group id="_x0000_s1089" style="position:absolute;left:3165;top:4848;width:5670;height:1896" coordorigin="3165,4848" coordsize="5670,1896">
              <v:group id="_x0000_s1090" style="position:absolute;left:5047;top:4860;width:1874;height:780" coordorigin="3173,4872" coordsize="1874,780">
                <v:shape id="_x0000_s1091" type="#_x0000_t202" style="position:absolute;left:3173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MTX</w:t>
                        </w:r>
                      </w:p>
                    </w:txbxContent>
                  </v:textbox>
                </v:shape>
                <v:shape id="_x0000_s1092" type="#_x0000_t202" style="position:absolute;left:3803;top:4872;width:622;height:768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DDP</w:t>
                        </w:r>
                      </w:p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ADM</w:t>
                        </w:r>
                      </w:p>
                    </w:txbxContent>
                  </v:textbox>
                </v:shape>
                <v:shape id="_x0000_s1093" type="#_x0000_t202" style="position:absolute;left:4425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IFO</w:t>
                        </w:r>
                        <w:r>
                          <w:rPr>
                            <w:rFonts w:ascii="SimSun" w:hAnsi="SimSun" w:hint="eastAsia"/>
                            <w:b/>
                            <w:szCs w:val="21"/>
                          </w:rPr>
                          <w:t>、</w:t>
                        </w:r>
                      </w:p>
                    </w:txbxContent>
                  </v:textbox>
                </v:shape>
              </v:group>
              <v:shape id="_x0000_s1094" type="#_x0000_t202" style="position:absolute;left:3165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1</w:t>
                      </w:r>
                    </w:p>
                  </w:txbxContent>
                </v:textbox>
              </v:shape>
              <v:shape id="_x0000_s1095" type="#_x0000_t202" style="position:absolute;left:3795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2</w:t>
                      </w:r>
                    </w:p>
                  </w:txbxContent>
                </v:textbox>
              </v:shape>
              <v:shape id="_x0000_s1096" type="#_x0000_t202" style="position:absolute;left:4417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3</w:t>
                      </w:r>
                    </w:p>
                  </w:txbxContent>
                </v:textbox>
              </v:shape>
              <v:shape id="_x0000_s1097" type="#_x0000_t202" style="position:absolute;left:5039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4</w:t>
                      </w:r>
                    </w:p>
                  </w:txbxContent>
                </v:textbox>
              </v:shape>
              <v:group id="_x0000_s1098" style="position:absolute;left:6921;top:4848;width:1874;height:780" coordorigin="3173,4872" coordsize="1874,780">
                <v:shape id="_x0000_s1099" type="#_x0000_t202" style="position:absolute;left:3173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MTX</w:t>
                        </w:r>
                      </w:p>
                    </w:txbxContent>
                  </v:textbox>
                </v:shape>
                <v:shape id="_x0000_s1100" type="#_x0000_t202" style="position:absolute;left:3803;top:4872;width:622;height:768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DDP</w:t>
                        </w:r>
                      </w:p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ADM</w:t>
                        </w:r>
                      </w:p>
                    </w:txbxContent>
                  </v:textbox>
                </v:shape>
                <v:shape id="_x0000_s1101" type="#_x0000_t202" style="position:absolute;left:4425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IFO</w:t>
                        </w:r>
                        <w:r>
                          <w:rPr>
                            <w:rFonts w:ascii="SimSun" w:hAnsi="SimSun" w:hint="eastAsia"/>
                            <w:b/>
                            <w:szCs w:val="21"/>
                          </w:rPr>
                          <w:t>、</w:t>
                        </w:r>
                      </w:p>
                    </w:txbxContent>
                  </v:textbox>
                </v:shape>
              </v:group>
              <v:group id="_x0000_s1102" style="position:absolute;left:3173;top:4872;width:1874;height:780" coordorigin="3173,4872" coordsize="1874,780">
                <v:shape id="_x0000_s1103" type="#_x0000_t202" style="position:absolute;left:3173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MTX</w:t>
                        </w:r>
                      </w:p>
                    </w:txbxContent>
                  </v:textbox>
                </v:shape>
                <v:shape id="_x0000_s1104" type="#_x0000_t202" style="position:absolute;left:3803;top:4872;width:622;height:768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DDP</w:t>
                        </w:r>
                      </w:p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ADM</w:t>
                        </w:r>
                      </w:p>
                    </w:txbxContent>
                  </v:textbox>
                </v:shape>
                <v:shape id="_x0000_s1105" type="#_x0000_t202" style="position:absolute;left:4425;top:5196;width:622;height:456" stroked="f">
                  <v:textbox>
                    <w:txbxContent>
                      <w:p w:rsidR="003B3215" w:rsidRDefault="00CA2DF0">
                        <w:pPr>
                          <w:rPr>
                            <w:rFonts w:ascii="SimSun"/>
                            <w:b/>
                            <w:szCs w:val="21"/>
                          </w:rPr>
                        </w:pPr>
                        <w:r>
                          <w:rPr>
                            <w:rFonts w:ascii="SimSun" w:hAnsi="SimSun"/>
                            <w:b/>
                            <w:szCs w:val="21"/>
                          </w:rPr>
                          <w:t>IFO</w:t>
                        </w:r>
                        <w:r>
                          <w:rPr>
                            <w:rFonts w:ascii="SimSun" w:hAnsi="SimSun" w:hint="eastAsia"/>
                            <w:b/>
                            <w:szCs w:val="21"/>
                          </w:rPr>
                          <w:t>、</w:t>
                        </w:r>
                      </w:p>
                    </w:txbxContent>
                  </v:textbox>
                </v:shape>
              </v:group>
              <v:shape id="_x0000_s1106" type="#_x0000_t32" style="position:absolute;left:3480;top:5652;width:0;height:525" o:connectortype="straight">
                <v:stroke endarrow="block"/>
              </v:shape>
              <v:group id="_x0000_s1107" style="position:absolute;left:4095;top:5652;width:1905;height:537" coordorigin="4095,5652" coordsize="1905,537">
                <v:shape id="_x0000_s1108" type="#_x0000_t32" style="position:absolute;left:4095;top:5652;width:0;height:525" o:connectortype="straight">
                  <v:stroke endarrow="block"/>
                </v:shape>
                <v:shape id="_x0000_s1109" type="#_x0000_t32" style="position:absolute;left:4740;top:5652;width:0;height:525" o:connectortype="straight">
                  <v:stroke endarrow="block"/>
                </v:shape>
                <v:shape id="_x0000_s1110" type="#_x0000_t32" style="position:absolute;left:5370;top:5664;width:0;height:525" o:connectortype="straight">
                  <v:stroke endarrow="block"/>
                </v:shape>
                <v:shape id="_x0000_s1111" type="#_x0000_t32" style="position:absolute;left:6000;top:5652;width:0;height:525" o:connectortype="straight">
                  <v:stroke endarrow="block"/>
                </v:shape>
              </v:group>
              <v:group id="_x0000_s1112" style="position:absolute;left:6630;top:5664;width:1905;height:537" coordorigin="4095,5652" coordsize="1905,537">
                <v:shape id="_x0000_s1113" type="#_x0000_t32" style="position:absolute;left:4095;top:5652;width:0;height:525" o:connectortype="straight">
                  <v:stroke endarrow="block"/>
                </v:shape>
                <v:shape id="_x0000_s1114" type="#_x0000_t32" style="position:absolute;left:4740;top:5652;width:0;height:525" o:connectortype="straight">
                  <v:stroke endarrow="block"/>
                </v:shape>
                <v:shape id="_x0000_s1115" type="#_x0000_t32" style="position:absolute;left:5370;top:5664;width:0;height:525" o:connectortype="straight">
                  <v:stroke endarrow="block"/>
                </v:shape>
                <v:shape id="_x0000_s1116" type="#_x0000_t32" style="position:absolute;left:6000;top:5652;width:0;height:525" o:connectortype="straight">
                  <v:stroke endarrow="block"/>
                </v:shape>
              </v:group>
              <v:shape id="_x0000_s1117" type="#_x0000_t202" style="position:absolute;left:5693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5</w:t>
                      </w:r>
                    </w:p>
                  </w:txbxContent>
                </v:textbox>
              </v:shape>
              <v:shape id="_x0000_s1118" type="#_x0000_t202" style="position:absolute;left:6315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6</w:t>
                      </w:r>
                    </w:p>
                  </w:txbxContent>
                </v:textbox>
              </v:shape>
              <v:shape id="_x0000_s1119" type="#_x0000_t202" style="position:absolute;left:6937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7</w:t>
                      </w:r>
                    </w:p>
                  </w:txbxContent>
                </v:textbox>
              </v:shape>
              <v:shape id="_x0000_s1120" type="#_x0000_t202" style="position:absolute;left:7583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8</w:t>
                      </w:r>
                    </w:p>
                  </w:txbxContent>
                </v:textbox>
              </v:shape>
              <v:shape id="_x0000_s1121" type="#_x0000_t202" style="position:absolute;left:8213;top:6288;width:622;height:456" stroked="f">
                <v:textbox>
                  <w:txbxContent>
                    <w:p w:rsidR="003B3215" w:rsidRDefault="00CA2DF0">
                      <w:pPr>
                        <w:ind w:firstLineChars="49" w:firstLine="103"/>
                        <w:rPr>
                          <w:rFonts w:ascii="SimSun"/>
                          <w:b/>
                          <w:szCs w:val="21"/>
                        </w:rPr>
                      </w:pPr>
                      <w:r>
                        <w:rPr>
                          <w:rFonts w:ascii="SimSun" w:hAnsi="SimSun"/>
                          <w:b/>
                          <w:szCs w:val="21"/>
                        </w:rPr>
                        <w:t>9</w:t>
                      </w:r>
                    </w:p>
                  </w:txbxContent>
                </v:textbox>
              </v:shape>
            </v:group>
          </v:group>
        </w:pict>
      </w:r>
    </w:p>
    <w:p w:rsidR="003B3215" w:rsidRDefault="003B3215">
      <w:pPr>
        <w:rPr>
          <w:rFonts w:ascii="Georgia" w:hAnsi="Georgia"/>
          <w:b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Georgia" w:hAnsi="Georgia"/>
        </w:rPr>
      </w:pPr>
    </w:p>
    <w:p w:rsidR="003B3215" w:rsidRDefault="003B3215">
      <w:pPr>
        <w:rPr>
          <w:rFonts w:ascii="Times New Roman" w:hAnsi="Times New Roman"/>
        </w:rPr>
      </w:pPr>
    </w:p>
    <w:p w:rsidR="003B3215" w:rsidRDefault="00CA2DF0">
      <w:pPr>
        <w:rPr>
          <w:rFonts w:ascii="Times New Roman" w:hAnsi="Times New Roman"/>
        </w:rPr>
      </w:pPr>
      <w:bookmarkStart w:id="1" w:name="OLE_LINK1"/>
      <w:r>
        <w:rPr>
          <w:rFonts w:ascii="Times New Roman" w:hAnsi="Times New Roman"/>
          <w:b/>
        </w:rPr>
        <w:t>Figure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S</w:t>
      </w:r>
      <w:bookmarkStart w:id="2" w:name="_GoBack"/>
      <w:bookmarkEnd w:id="2"/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An example of measuring </w:t>
      </w:r>
      <w:r>
        <w:rPr>
          <w:rFonts w:ascii="Times New Roman" w:hAnsi="Times New Roman"/>
          <w:sz w:val="24"/>
          <w:szCs w:val="24"/>
        </w:rPr>
        <w:t xml:space="preserve">tumor volumes (TVS) and </w:t>
      </w:r>
      <w:proofErr w:type="spellStart"/>
      <w:r>
        <w:rPr>
          <w:rFonts w:ascii="Times New Roman" w:hAnsi="Times New Roman"/>
          <w:sz w:val="24"/>
          <w:szCs w:val="24"/>
        </w:rPr>
        <w:t>extraosseous</w:t>
      </w:r>
      <w:proofErr w:type="spellEnd"/>
      <w:r>
        <w:rPr>
          <w:rFonts w:ascii="Times New Roman" w:hAnsi="Times New Roman"/>
          <w:sz w:val="24"/>
          <w:szCs w:val="24"/>
        </w:rPr>
        <w:t xml:space="preserve"> tumor volumes (ETVS).</w:t>
      </w:r>
      <w:proofErr w:type="gramEnd"/>
    </w:p>
    <w:bookmarkEnd w:id="1"/>
    <w:p w:rsidR="003B3215" w:rsidRDefault="00CA2DF0">
      <w:pPr>
        <w:rPr>
          <w:rFonts w:ascii="Georgia" w:hAnsi="Georgia"/>
        </w:rPr>
      </w:pPr>
      <w:r>
        <w:rPr>
          <w:rFonts w:ascii="Georgia" w:hAnsi="Georgi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肿瘤体积测量(完整版).bmp" style="width:208.45pt;height:292.2pt">
            <v:imagedata r:id="rId6" o:title=""/>
          </v:shape>
        </w:pict>
      </w:r>
    </w:p>
    <w:p w:rsidR="003B3215" w:rsidRDefault="00CA2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Measurement of tumor length from coronary section. B. Measurement of tumor width and depth from transverse section. C. Measurement of </w:t>
      </w:r>
      <w:r>
        <w:rPr>
          <w:rFonts w:ascii="Times New Roman" w:hAnsi="Times New Roman"/>
          <w:sz w:val="24"/>
          <w:szCs w:val="24"/>
        </w:rPr>
        <w:t xml:space="preserve">intraosseous </w:t>
      </w:r>
      <w:r>
        <w:rPr>
          <w:rFonts w:ascii="Times New Roman" w:hAnsi="Times New Roman"/>
        </w:rPr>
        <w:t xml:space="preserve">tumor length from coronary section. D. Measurement of </w:t>
      </w:r>
      <w:r>
        <w:rPr>
          <w:rFonts w:ascii="Times New Roman" w:hAnsi="Times New Roman"/>
          <w:sz w:val="24"/>
          <w:szCs w:val="24"/>
        </w:rPr>
        <w:t>intraosseous</w:t>
      </w:r>
      <w:r>
        <w:rPr>
          <w:rFonts w:ascii="Times New Roman" w:hAnsi="Times New Roman"/>
        </w:rPr>
        <w:t xml:space="preserve"> tumor width and depth from transverse section.</w:t>
      </w:r>
    </w:p>
    <w:p w:rsidR="003B3215" w:rsidRDefault="003B3215">
      <w:pPr>
        <w:rPr>
          <w:rFonts w:ascii="Georgia" w:hAnsi="Georgia"/>
        </w:rPr>
      </w:pPr>
    </w:p>
    <w:sectPr w:rsidR="003B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otal_Editing_Time" w:val="4"/>
  </w:docVars>
  <w:rsids>
    <w:rsidRoot w:val="00AE47FC"/>
    <w:rsid w:val="0001769F"/>
    <w:rsid w:val="00025865"/>
    <w:rsid w:val="00047B90"/>
    <w:rsid w:val="00057348"/>
    <w:rsid w:val="0008736A"/>
    <w:rsid w:val="000A430D"/>
    <w:rsid w:val="000C770D"/>
    <w:rsid w:val="00130F14"/>
    <w:rsid w:val="0013784E"/>
    <w:rsid w:val="00137E33"/>
    <w:rsid w:val="001671BA"/>
    <w:rsid w:val="00192906"/>
    <w:rsid w:val="001E7CAE"/>
    <w:rsid w:val="001F2A58"/>
    <w:rsid w:val="002066A5"/>
    <w:rsid w:val="00232870"/>
    <w:rsid w:val="0023668B"/>
    <w:rsid w:val="002749BD"/>
    <w:rsid w:val="00282D24"/>
    <w:rsid w:val="002876DE"/>
    <w:rsid w:val="00295929"/>
    <w:rsid w:val="002B4926"/>
    <w:rsid w:val="002D16AD"/>
    <w:rsid w:val="00386B6D"/>
    <w:rsid w:val="00393F34"/>
    <w:rsid w:val="003A7A3E"/>
    <w:rsid w:val="003B0F8A"/>
    <w:rsid w:val="003B3215"/>
    <w:rsid w:val="003F1A85"/>
    <w:rsid w:val="004136A6"/>
    <w:rsid w:val="00435F8C"/>
    <w:rsid w:val="00442529"/>
    <w:rsid w:val="00447DDB"/>
    <w:rsid w:val="004608F0"/>
    <w:rsid w:val="00465C77"/>
    <w:rsid w:val="00484219"/>
    <w:rsid w:val="004E11A8"/>
    <w:rsid w:val="004F74B0"/>
    <w:rsid w:val="00517EA3"/>
    <w:rsid w:val="00544D05"/>
    <w:rsid w:val="00546277"/>
    <w:rsid w:val="00553E38"/>
    <w:rsid w:val="005612AB"/>
    <w:rsid w:val="00592C07"/>
    <w:rsid w:val="005C6E5B"/>
    <w:rsid w:val="006036CE"/>
    <w:rsid w:val="00606415"/>
    <w:rsid w:val="0061152C"/>
    <w:rsid w:val="00651856"/>
    <w:rsid w:val="00672692"/>
    <w:rsid w:val="0068755E"/>
    <w:rsid w:val="006B72FB"/>
    <w:rsid w:val="006D6153"/>
    <w:rsid w:val="006E14F1"/>
    <w:rsid w:val="006E53D2"/>
    <w:rsid w:val="006F0AAB"/>
    <w:rsid w:val="00771358"/>
    <w:rsid w:val="00791C48"/>
    <w:rsid w:val="007B37CE"/>
    <w:rsid w:val="007B7C2A"/>
    <w:rsid w:val="007D121D"/>
    <w:rsid w:val="007F309A"/>
    <w:rsid w:val="00802062"/>
    <w:rsid w:val="00845377"/>
    <w:rsid w:val="0085417C"/>
    <w:rsid w:val="00860390"/>
    <w:rsid w:val="00866B8C"/>
    <w:rsid w:val="008F045F"/>
    <w:rsid w:val="009319E5"/>
    <w:rsid w:val="00963395"/>
    <w:rsid w:val="009B492D"/>
    <w:rsid w:val="009C7E2D"/>
    <w:rsid w:val="00A278CF"/>
    <w:rsid w:val="00A43543"/>
    <w:rsid w:val="00A56D0D"/>
    <w:rsid w:val="00A956FC"/>
    <w:rsid w:val="00AB4315"/>
    <w:rsid w:val="00AB5E8F"/>
    <w:rsid w:val="00AC364D"/>
    <w:rsid w:val="00AE47FC"/>
    <w:rsid w:val="00B05CE1"/>
    <w:rsid w:val="00B203B1"/>
    <w:rsid w:val="00B65210"/>
    <w:rsid w:val="00B92A1C"/>
    <w:rsid w:val="00C17154"/>
    <w:rsid w:val="00C24568"/>
    <w:rsid w:val="00C25213"/>
    <w:rsid w:val="00C3724F"/>
    <w:rsid w:val="00C73CC3"/>
    <w:rsid w:val="00C8194D"/>
    <w:rsid w:val="00C974A4"/>
    <w:rsid w:val="00CA2DF0"/>
    <w:rsid w:val="00CB6AC7"/>
    <w:rsid w:val="00CC52C9"/>
    <w:rsid w:val="00CD2272"/>
    <w:rsid w:val="00D02A67"/>
    <w:rsid w:val="00D2448B"/>
    <w:rsid w:val="00D604B7"/>
    <w:rsid w:val="00DD16AA"/>
    <w:rsid w:val="00DE6830"/>
    <w:rsid w:val="00E02C76"/>
    <w:rsid w:val="00E2485C"/>
    <w:rsid w:val="00E25E6B"/>
    <w:rsid w:val="00E76138"/>
    <w:rsid w:val="00EC6A0E"/>
    <w:rsid w:val="00FD4AB4"/>
    <w:rsid w:val="00FE7CCA"/>
    <w:rsid w:val="2D8B7045"/>
    <w:rsid w:val="4E10665A"/>
    <w:rsid w:val="6EE9557B"/>
    <w:rsid w:val="713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 fillcolor="white">
      <v:fill color="white"/>
    </o:shapedefaults>
    <o:shapelayout v:ext="edit">
      <o:idmap v:ext="edit" data="1"/>
      <o:rules v:ext="edit">
        <o:r id="V:Rule1" type="connector" idref="#_x0000_s1051"/>
        <o:r id="V:Rule2" type="connector" idref="#_x0000_s1056"/>
        <o:r id="V:Rule3" type="connector" idref="#_x0000_s1055"/>
        <o:r id="V:Rule4" type="connector" idref="#_x0000_s1064"/>
        <o:r id="V:Rule5" type="connector" idref="#_x0000_s1106"/>
        <o:r id="V:Rule6" type="connector" idref="#_x0000_s1063"/>
        <o:r id="V:Rule7" type="connector" idref="#_x0000_s1108"/>
        <o:r id="V:Rule8" type="connector" idref="#_x0000_s1061"/>
        <o:r id="V:Rule9" type="connector" idref="#_x0000_s1062"/>
        <o:r id="V:Rule10" type="connector" idref="#_x0000_s1069"/>
        <o:r id="V:Rule11" type="connector" idref="#_x0000_s1110"/>
        <o:r id="V:Rule12" type="connector" idref="#_x0000_s1109"/>
        <o:r id="V:Rule13" type="connector" idref="#_x0000_s1072"/>
        <o:r id="V:Rule14" type="connector" idref="#_x0000_s1111"/>
        <o:r id="V:Rule15" type="connector" idref="#_x0000_s1074"/>
        <o:r id="V:Rule16" type="connector" idref="#_x0000_s1073"/>
        <o:r id="V:Rule17" type="connector" idref="#_x0000_s1113"/>
        <o:r id="V:Rule18" type="connector" idref="#_x0000_s1116"/>
        <o:r id="V:Rule19" type="connector" idref="#_x0000_s1088"/>
        <o:r id="V:Rule20" type="connector" idref="#_x0000_s1067"/>
        <o:r id="V:Rule21" type="connector" idref="#_x0000_s1077"/>
        <o:r id="V:Rule22" type="connector" idref="#_x0000_s1068"/>
        <o:r id="V:Rule23" type="connector" idref="#_x0000_s1075"/>
        <o:r id="V:Rule24" type="connector" idref="#_x0000_s1115"/>
        <o:r id="V:Rule25" type="connector" idref="#_x0000_s1114"/>
        <o:r id="V:Rule26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qFormat/>
    <w:pPr>
      <w:jc w:val="left"/>
    </w:pPr>
  </w:style>
  <w:style w:type="paragraph" w:styleId="DocumentMap">
    <w:name w:val="Document Map"/>
    <w:basedOn w:val="Normal"/>
    <w:link w:val="DocumentMapChar"/>
    <w:uiPriority w:val="99"/>
    <w:semiHidden/>
    <w:rPr>
      <w:rFonts w:ascii="SimSu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qFormat/>
    <w:locked/>
    <w:rPr>
      <w:rFonts w:ascii="SimSun" w:eastAsia="SimSun" w:cs="Times New Roman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4"/>
    <customShpInfo spid="_x0000_s2075"/>
    <customShpInfo spid="_x0000_s2077"/>
    <customShpInfo spid="_x0000_s2079"/>
    <customShpInfo spid="_x0000_s2080"/>
    <customShpInfo spid="_x0000_s2078"/>
    <customShpInfo spid="_x0000_s2081"/>
    <customShpInfo spid="_x0000_s2082"/>
    <customShpInfo spid="_x0000_s2076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72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095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094"/>
    <customShpInfo spid="_x0000_s2112"/>
    <customShpInfo spid="_x0000_s2115"/>
    <customShpInfo spid="_x0000_s2116"/>
    <customShpInfo spid="_x0000_s2117"/>
    <customShpInfo spid="_x0000_s2114"/>
    <customShpInfo spid="_x0000_s2118"/>
    <customShpInfo spid="_x0000_s2119"/>
    <customShpInfo spid="_x0000_s2120"/>
    <customShpInfo spid="_x0000_s2121"/>
    <customShpInfo spid="_x0000_s2123"/>
    <customShpInfo spid="_x0000_s2124"/>
    <customShpInfo spid="_x0000_s2125"/>
    <customShpInfo spid="_x0000_s2122"/>
    <customShpInfo spid="_x0000_s2127"/>
    <customShpInfo spid="_x0000_s2128"/>
    <customShpInfo spid="_x0000_s2129"/>
    <customShpInfo spid="_x0000_s2126"/>
    <customShpInfo spid="_x0000_s2130"/>
    <customShpInfo spid="_x0000_s2132"/>
    <customShpInfo spid="_x0000_s2133"/>
    <customShpInfo spid="_x0000_s2134"/>
    <customShpInfo spid="_x0000_s2135"/>
    <customShpInfo spid="_x0000_s2131"/>
    <customShpInfo spid="_x0000_s2137"/>
    <customShpInfo spid="_x0000_s2138"/>
    <customShpInfo spid="_x0000_s2139"/>
    <customShpInfo spid="_x0000_s2140"/>
    <customShpInfo spid="_x0000_s2136"/>
    <customShpInfo spid="_x0000_s2141"/>
    <customShpInfo spid="_x0000_s2142"/>
    <customShpInfo spid="_x0000_s2143"/>
    <customShpInfo spid="_x0000_s2144"/>
    <customShpInfo spid="_x0000_s2145"/>
    <customShpInfo spid="_x0000_s2113"/>
    <customShpInfo spid="_x0000_s21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482</Characters>
  <Application>Microsoft Office Word</Application>
  <DocSecurity>0</DocSecurity>
  <Lines>60</Lines>
  <Paragraphs>7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1</dc:title>
  <dc:creator>lenovo</dc:creator>
  <cp:lastModifiedBy>RGERASOL</cp:lastModifiedBy>
  <cp:revision>3</cp:revision>
  <dcterms:created xsi:type="dcterms:W3CDTF">2018-07-06T09:53:00Z</dcterms:created>
  <dcterms:modified xsi:type="dcterms:W3CDTF">2018-11-09T18:50:00Z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