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D1" w:rsidRPr="00E95CA9" w:rsidRDefault="00CB78EF" w:rsidP="001C7C7A">
      <w:pPr>
        <w:pStyle w:val="Heading1"/>
        <w:spacing w:before="0" w:after="0" w:line="480" w:lineRule="auto"/>
        <w:rPr>
          <w:sz w:val="24"/>
          <w:szCs w:val="24"/>
        </w:rPr>
      </w:pPr>
      <w:bookmarkStart w:id="0" w:name="_Ref442277558"/>
      <w:r w:rsidRPr="00E95CA9">
        <w:rPr>
          <w:sz w:val="24"/>
          <w:szCs w:val="24"/>
        </w:rPr>
        <w:t xml:space="preserve">ONLINE-ONLY </w:t>
      </w:r>
      <w:r w:rsidR="00191083">
        <w:rPr>
          <w:sz w:val="24"/>
          <w:szCs w:val="24"/>
        </w:rPr>
        <w:t>ADDITIONAL</w:t>
      </w:r>
      <w:r w:rsidR="00191083" w:rsidRPr="00E95CA9">
        <w:rPr>
          <w:sz w:val="24"/>
          <w:szCs w:val="24"/>
        </w:rPr>
        <w:t xml:space="preserve"> </w:t>
      </w:r>
      <w:r w:rsidRPr="00E95CA9">
        <w:rPr>
          <w:sz w:val="24"/>
          <w:szCs w:val="24"/>
        </w:rPr>
        <w:t>MATERIAL</w:t>
      </w:r>
    </w:p>
    <w:p w:rsidR="006B4873" w:rsidRPr="00E95CA9" w:rsidRDefault="00191083" w:rsidP="001C7C7A">
      <w:pPr>
        <w:spacing w:after="0" w:line="480" w:lineRule="auto"/>
        <w:rPr>
          <w:b/>
        </w:rPr>
      </w:pPr>
      <w:r>
        <w:rPr>
          <w:b/>
        </w:rPr>
        <w:t>Additional</w:t>
      </w:r>
      <w:r w:rsidRPr="00E95CA9">
        <w:rPr>
          <w:b/>
        </w:rPr>
        <w:t xml:space="preserve"> </w:t>
      </w:r>
      <w:r w:rsidR="00621D88" w:rsidRPr="00E95CA9">
        <w:rPr>
          <w:b/>
        </w:rPr>
        <w:t>Tables</w:t>
      </w:r>
    </w:p>
    <w:p w:rsidR="006B4873" w:rsidRPr="00E95CA9" w:rsidRDefault="000051E8" w:rsidP="001C7C7A">
      <w:pPr>
        <w:spacing w:line="480" w:lineRule="auto"/>
      </w:pPr>
      <w:r w:rsidRPr="00E95CA9">
        <w:rPr>
          <w:b/>
        </w:rPr>
        <w:t>T</w:t>
      </w:r>
      <w:r w:rsidR="006B4873" w:rsidRPr="00E95CA9">
        <w:rPr>
          <w:b/>
        </w:rPr>
        <w:t xml:space="preserve">able </w:t>
      </w:r>
      <w:proofErr w:type="spellStart"/>
      <w:r w:rsidR="00013273">
        <w:rPr>
          <w:b/>
        </w:rPr>
        <w:t>S</w:t>
      </w:r>
      <w:r w:rsidR="006B4873" w:rsidRPr="00E95CA9">
        <w:rPr>
          <w:b/>
        </w:rPr>
        <w:t>1</w:t>
      </w:r>
      <w:proofErr w:type="spellEnd"/>
      <w:r w:rsidR="000D300F" w:rsidRPr="00E95CA9">
        <w:rPr>
          <w:rFonts w:ascii="Times New Roman" w:hAnsi="Times New Roman" w:cs="Times New Roman"/>
          <w:b/>
        </w:rPr>
        <w:t xml:space="preserve"> </w:t>
      </w:r>
      <w:r w:rsidR="006B4873" w:rsidRPr="00E95CA9">
        <w:rPr>
          <w:b/>
        </w:rPr>
        <w:t xml:space="preserve">Inclusion and </w:t>
      </w:r>
      <w:r w:rsidR="00E145D2" w:rsidRPr="00E95CA9">
        <w:rPr>
          <w:b/>
        </w:rPr>
        <w:t>exclusion criteria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6"/>
      </w:tblGrid>
      <w:tr w:rsidR="006B4873" w:rsidRPr="00E95CA9" w:rsidTr="0073287F">
        <w:trPr>
          <w:jc w:val="center"/>
        </w:trPr>
        <w:tc>
          <w:tcPr>
            <w:tcW w:w="9026" w:type="dxa"/>
            <w:shd w:val="clear" w:color="auto" w:fill="auto"/>
            <w:vAlign w:val="center"/>
          </w:tcPr>
          <w:p w:rsidR="006B4873" w:rsidRPr="00E95CA9" w:rsidRDefault="006B4873" w:rsidP="00F10D87">
            <w:pPr>
              <w:spacing w:after="0"/>
            </w:pPr>
            <w:r w:rsidRPr="00E95CA9">
              <w:t>Inclusion criteria</w:t>
            </w:r>
          </w:p>
        </w:tc>
      </w:tr>
      <w:tr w:rsidR="006B4873" w:rsidRPr="00E95CA9" w:rsidTr="0073287F">
        <w:trPr>
          <w:jc w:val="center"/>
        </w:trPr>
        <w:tc>
          <w:tcPr>
            <w:tcW w:w="9026" w:type="dxa"/>
            <w:vAlign w:val="center"/>
          </w:tcPr>
          <w:p w:rsidR="006B4873" w:rsidRPr="00E95CA9" w:rsidRDefault="006B4873" w:rsidP="00416D38">
            <w:pPr>
              <w:pStyle w:val="ListParagraph"/>
              <w:numPr>
                <w:ilvl w:val="0"/>
                <w:numId w:val="39"/>
              </w:numPr>
              <w:spacing w:after="0"/>
              <w:ind w:left="604" w:hanging="283"/>
            </w:pPr>
            <w:r w:rsidRPr="00E95CA9">
              <w:t>Diagnosis of type 2 diabetes</w:t>
            </w:r>
          </w:p>
          <w:p w:rsidR="006B4873" w:rsidRPr="00E95CA9" w:rsidRDefault="006B4873" w:rsidP="00416D38">
            <w:pPr>
              <w:pStyle w:val="ListParagraph"/>
              <w:numPr>
                <w:ilvl w:val="0"/>
                <w:numId w:val="39"/>
              </w:numPr>
              <w:spacing w:after="0"/>
              <w:ind w:left="604" w:hanging="283"/>
            </w:pPr>
            <w:r w:rsidRPr="00E95CA9">
              <w:t>Age ≥</w:t>
            </w:r>
            <w:r w:rsidR="00AD1371">
              <w:t xml:space="preserve"> </w:t>
            </w:r>
            <w:r w:rsidRPr="00E95CA9">
              <w:t>18 years</w:t>
            </w:r>
            <w:r w:rsidR="000413CF">
              <w:rPr>
                <w:vertAlign w:val="superscript"/>
              </w:rPr>
              <w:t>a</w:t>
            </w:r>
          </w:p>
          <w:p w:rsidR="006B4873" w:rsidRPr="00E95CA9" w:rsidRDefault="006B4873" w:rsidP="00416D38">
            <w:pPr>
              <w:pStyle w:val="ListParagraph"/>
              <w:numPr>
                <w:ilvl w:val="0"/>
                <w:numId w:val="39"/>
              </w:numPr>
              <w:spacing w:after="0"/>
              <w:ind w:left="604" w:hanging="283"/>
            </w:pPr>
            <w:r w:rsidRPr="00E95CA9">
              <w:t>Initiating a second-line therapy (add-on or switching) after a first-line oral treatment with monotherapy, dual therapy, or triple therapy</w:t>
            </w:r>
            <w:r w:rsidR="000413CF">
              <w:rPr>
                <w:vertAlign w:val="superscript"/>
              </w:rPr>
              <w:t>b</w:t>
            </w:r>
          </w:p>
          <w:p w:rsidR="006B4873" w:rsidRPr="00E95CA9" w:rsidRDefault="006B4873" w:rsidP="00416D38">
            <w:pPr>
              <w:pStyle w:val="ListParagraph"/>
              <w:numPr>
                <w:ilvl w:val="0"/>
                <w:numId w:val="39"/>
              </w:numPr>
              <w:spacing w:after="0"/>
              <w:ind w:left="604" w:hanging="283"/>
            </w:pPr>
            <w:r w:rsidRPr="00E95CA9">
              <w:t>Provision of written informed consent</w:t>
            </w:r>
          </w:p>
        </w:tc>
      </w:tr>
      <w:tr w:rsidR="006B4873" w:rsidRPr="00E95CA9" w:rsidTr="0073287F">
        <w:trPr>
          <w:jc w:val="center"/>
        </w:trPr>
        <w:tc>
          <w:tcPr>
            <w:tcW w:w="9026" w:type="dxa"/>
            <w:shd w:val="clear" w:color="auto" w:fill="auto"/>
            <w:vAlign w:val="center"/>
          </w:tcPr>
          <w:p w:rsidR="006B4873" w:rsidRPr="00E95CA9" w:rsidRDefault="006B4873" w:rsidP="00F10D87">
            <w:pPr>
              <w:spacing w:after="0"/>
            </w:pPr>
            <w:r w:rsidRPr="00E95CA9">
              <w:t>Exclusion criteria</w:t>
            </w:r>
          </w:p>
        </w:tc>
      </w:tr>
      <w:tr w:rsidR="006B4873" w:rsidRPr="00E95CA9" w:rsidTr="0073287F">
        <w:trPr>
          <w:jc w:val="center"/>
        </w:trPr>
        <w:tc>
          <w:tcPr>
            <w:tcW w:w="9026" w:type="dxa"/>
            <w:vAlign w:val="center"/>
          </w:tcPr>
          <w:p w:rsidR="00A91625" w:rsidRPr="00E95CA9" w:rsidRDefault="006B4873" w:rsidP="00416D38">
            <w:pPr>
              <w:pStyle w:val="ListParagraph"/>
              <w:numPr>
                <w:ilvl w:val="0"/>
                <w:numId w:val="40"/>
              </w:numPr>
              <w:spacing w:after="0"/>
              <w:ind w:left="604" w:hanging="283"/>
            </w:pPr>
            <w:r w:rsidRPr="00E95CA9">
              <w:t>Type 1 diabetes</w:t>
            </w:r>
          </w:p>
          <w:p w:rsidR="006B4873" w:rsidRPr="00E95CA9" w:rsidRDefault="006B4873" w:rsidP="00416D38">
            <w:pPr>
              <w:pStyle w:val="ListParagraph"/>
              <w:numPr>
                <w:ilvl w:val="0"/>
                <w:numId w:val="40"/>
              </w:numPr>
              <w:spacing w:after="0"/>
              <w:ind w:left="604" w:hanging="283"/>
            </w:pPr>
            <w:r w:rsidRPr="00E95CA9">
              <w:t>Pregnancy</w:t>
            </w:r>
          </w:p>
          <w:p w:rsidR="00A91625" w:rsidRPr="00E95CA9" w:rsidRDefault="006B4873" w:rsidP="00416D38">
            <w:pPr>
              <w:pStyle w:val="ListParagraph"/>
              <w:numPr>
                <w:ilvl w:val="0"/>
                <w:numId w:val="40"/>
              </w:numPr>
              <w:spacing w:after="0"/>
              <w:ind w:left="604" w:hanging="283"/>
            </w:pPr>
            <w:r w:rsidRPr="00E95CA9">
              <w:t xml:space="preserve">Initiation of dual therapy after having previously received two different lines of monotherapy </w:t>
            </w:r>
            <w:r w:rsidR="00013775" w:rsidRPr="00E95CA9">
              <w:t xml:space="preserve">(e.g. </w:t>
            </w:r>
            <w:r w:rsidRPr="00E95CA9">
              <w:t>initiation of a combination of a sulfonylurea and a DPP-4 inhibitor after successive metformin monotherapy and sulfonylurea monotherapy)</w:t>
            </w:r>
          </w:p>
          <w:p w:rsidR="006B4873" w:rsidRPr="00E95CA9" w:rsidRDefault="006B4873" w:rsidP="00416D38">
            <w:pPr>
              <w:pStyle w:val="ListParagraph"/>
              <w:numPr>
                <w:ilvl w:val="0"/>
                <w:numId w:val="40"/>
              </w:numPr>
              <w:spacing w:after="0"/>
              <w:ind w:left="604" w:hanging="283"/>
            </w:pPr>
            <w:r w:rsidRPr="00E95CA9">
              <w:t>Current treatment with chemotherapy or oral or intravenous steroids</w:t>
            </w:r>
          </w:p>
          <w:p w:rsidR="00A91625" w:rsidRPr="00E95CA9" w:rsidRDefault="006B4873" w:rsidP="00416D38">
            <w:pPr>
              <w:pStyle w:val="ListParagraph"/>
              <w:numPr>
                <w:ilvl w:val="0"/>
                <w:numId w:val="40"/>
              </w:numPr>
              <w:spacing w:after="0"/>
              <w:ind w:left="604" w:hanging="283"/>
            </w:pPr>
            <w:r w:rsidRPr="00E95CA9">
              <w:t>Undergoing dialysis or received a renal transplant</w:t>
            </w:r>
          </w:p>
          <w:p w:rsidR="006B4873" w:rsidRPr="00E95CA9" w:rsidRDefault="006B4873" w:rsidP="00416D38">
            <w:pPr>
              <w:pStyle w:val="ListParagraph"/>
              <w:numPr>
                <w:ilvl w:val="0"/>
                <w:numId w:val="40"/>
              </w:numPr>
              <w:spacing w:after="0"/>
              <w:ind w:left="604" w:hanging="283"/>
            </w:pPr>
            <w:r w:rsidRPr="00E95CA9">
              <w:t>First-line treatment with insulin or another injectable agent</w:t>
            </w:r>
          </w:p>
          <w:p w:rsidR="006B4873" w:rsidRPr="00E95CA9" w:rsidRDefault="006B4873" w:rsidP="00416D38">
            <w:pPr>
              <w:pStyle w:val="ListParagraph"/>
              <w:numPr>
                <w:ilvl w:val="0"/>
                <w:numId w:val="40"/>
              </w:numPr>
              <w:spacing w:after="0"/>
              <w:ind w:left="604" w:hanging="283"/>
            </w:pPr>
            <w:r w:rsidRPr="00E95CA9">
              <w:t>First-line treatment with herbal remedies or natural medicines alone</w:t>
            </w:r>
          </w:p>
          <w:p w:rsidR="006B4873" w:rsidRPr="00E95CA9" w:rsidRDefault="006B4873" w:rsidP="00416D38">
            <w:pPr>
              <w:pStyle w:val="ListParagraph"/>
              <w:numPr>
                <w:ilvl w:val="0"/>
                <w:numId w:val="40"/>
              </w:numPr>
              <w:spacing w:after="0"/>
              <w:ind w:left="604" w:hanging="283"/>
            </w:pPr>
            <w:r w:rsidRPr="00E95CA9">
              <w:t>Participation in an interventional trial</w:t>
            </w:r>
          </w:p>
          <w:p w:rsidR="006B4873" w:rsidRPr="00E95CA9" w:rsidRDefault="006B4873" w:rsidP="00416D38">
            <w:pPr>
              <w:pStyle w:val="ListParagraph"/>
              <w:numPr>
                <w:ilvl w:val="0"/>
                <w:numId w:val="40"/>
              </w:numPr>
              <w:spacing w:after="0"/>
              <w:ind w:left="604" w:hanging="283"/>
            </w:pPr>
            <w:r w:rsidRPr="00E95CA9">
              <w:t xml:space="preserve">Condition or circumstance </w:t>
            </w:r>
            <w:r w:rsidR="005D5E51" w:rsidRPr="00E95CA9">
              <w:t>that</w:t>
            </w:r>
            <w:r w:rsidRPr="00E95CA9">
              <w:t xml:space="preserve">, in the opinion of the investigator, could significantly compromise the 3-year follow-up </w:t>
            </w:r>
            <w:r w:rsidR="00013775" w:rsidRPr="00E95CA9">
              <w:t xml:space="preserve">(e.g. </w:t>
            </w:r>
            <w:r w:rsidRPr="00E95CA9">
              <w:t xml:space="preserve">life-threatening comorbidities, tourist, </w:t>
            </w:r>
            <w:r w:rsidR="00C4618C" w:rsidRPr="00E95CA9">
              <w:t>non</w:t>
            </w:r>
            <w:r w:rsidR="00726E9C" w:rsidRPr="00E95CA9">
              <w:t>-</w:t>
            </w:r>
            <w:r w:rsidRPr="00E95CA9">
              <w:t xml:space="preserve">native language speaker or </w:t>
            </w:r>
            <w:r w:rsidR="000C5AD8" w:rsidRPr="00E95CA9">
              <w:t>lack of</w:t>
            </w:r>
            <w:r w:rsidRPr="00E95CA9">
              <w:t xml:space="preserve"> understand</w:t>
            </w:r>
            <w:r w:rsidR="000C5AD8" w:rsidRPr="00E95CA9">
              <w:t>ing of</w:t>
            </w:r>
            <w:r w:rsidRPr="00E95CA9">
              <w:t xml:space="preserve"> the local language </w:t>
            </w:r>
            <w:r w:rsidR="000C5AD8" w:rsidRPr="00E95CA9">
              <w:t xml:space="preserve">in countries </w:t>
            </w:r>
            <w:r w:rsidRPr="00E95CA9">
              <w:t>where interpreter services are not reliably available, psychiatric disturbances, dementia, alcohol or drug abuse)</w:t>
            </w:r>
          </w:p>
          <w:p w:rsidR="006B4873" w:rsidRPr="00E95CA9" w:rsidRDefault="006B4873" w:rsidP="00416D38">
            <w:pPr>
              <w:pStyle w:val="ListParagraph"/>
              <w:numPr>
                <w:ilvl w:val="0"/>
                <w:numId w:val="40"/>
              </w:numPr>
              <w:spacing w:after="0"/>
              <w:ind w:left="604" w:hanging="283"/>
            </w:pPr>
            <w:r w:rsidRPr="00E95CA9">
              <w:t>Unwilling to sign the informed consent form</w:t>
            </w:r>
          </w:p>
        </w:tc>
      </w:tr>
    </w:tbl>
    <w:p w:rsidR="000413CF" w:rsidRPr="000413CF" w:rsidRDefault="000413CF" w:rsidP="00F10D87">
      <w:pPr>
        <w:spacing w:after="0"/>
      </w:pPr>
      <w:r>
        <w:rPr>
          <w:vertAlign w:val="superscript"/>
        </w:rPr>
        <w:t xml:space="preserve">a </w:t>
      </w:r>
      <w:r w:rsidR="006F302A" w:rsidRPr="006F302A">
        <w:t>≥</w:t>
      </w:r>
      <w:r>
        <w:t xml:space="preserve"> </w:t>
      </w:r>
      <w:r w:rsidR="006F302A" w:rsidRPr="006F302A">
        <w:t xml:space="preserve">20 years in Japan. </w:t>
      </w:r>
      <w:r w:rsidRPr="000413CF">
        <w:rPr>
          <w:vertAlign w:val="superscript"/>
        </w:rPr>
        <w:t>b</w:t>
      </w:r>
      <w:r w:rsidR="006F302A" w:rsidRPr="006F302A">
        <w:t>In Japan, only patients using an oral monotherapy as first-line treatment were included.</w:t>
      </w:r>
    </w:p>
    <w:p w:rsidR="00442835" w:rsidRPr="00E95CA9" w:rsidRDefault="006B4873" w:rsidP="00F10D87">
      <w:pPr>
        <w:spacing w:after="0"/>
        <w:rPr>
          <w:b/>
        </w:rPr>
      </w:pPr>
      <w:r w:rsidRPr="00233711">
        <w:rPr>
          <w:i/>
        </w:rPr>
        <w:t>DDP-4</w:t>
      </w:r>
      <w:r w:rsidR="00726E9C" w:rsidRPr="00E95CA9">
        <w:t xml:space="preserve"> </w:t>
      </w:r>
      <w:r w:rsidRPr="00E95CA9">
        <w:t>dipeptidyl peptidase-4</w:t>
      </w:r>
    </w:p>
    <w:bookmarkEnd w:id="0"/>
    <w:p w:rsidR="00223F43" w:rsidRPr="00E95CA9" w:rsidRDefault="00223F43" w:rsidP="001C7C7A">
      <w:pPr>
        <w:spacing w:after="0" w:line="480" w:lineRule="auto"/>
      </w:pPr>
    </w:p>
    <w:p w:rsidR="006B4873" w:rsidRPr="00E95CA9" w:rsidRDefault="006B4873" w:rsidP="001C7C7A">
      <w:pPr>
        <w:spacing w:after="0" w:line="480" w:lineRule="auto"/>
        <w:sectPr w:rsidR="006B4873" w:rsidRPr="00E95CA9" w:rsidSect="001A3FD0"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B4031C" w:rsidRPr="00E95CA9" w:rsidRDefault="000051E8" w:rsidP="001C7C7A">
      <w:pPr>
        <w:spacing w:line="480" w:lineRule="auto"/>
        <w:ind w:left="-142"/>
        <w:rPr>
          <w:b/>
        </w:rPr>
      </w:pPr>
      <w:r w:rsidRPr="00E95CA9">
        <w:rPr>
          <w:b/>
        </w:rPr>
        <w:lastRenderedPageBreak/>
        <w:t xml:space="preserve">Table </w:t>
      </w:r>
      <w:proofErr w:type="spellStart"/>
      <w:r w:rsidR="00013273">
        <w:rPr>
          <w:b/>
        </w:rPr>
        <w:t>S</w:t>
      </w:r>
      <w:r w:rsidRPr="00E95CA9">
        <w:rPr>
          <w:b/>
        </w:rPr>
        <w:t>2</w:t>
      </w:r>
      <w:proofErr w:type="spellEnd"/>
      <w:r w:rsidR="000D300F" w:rsidRPr="00E95CA9">
        <w:rPr>
          <w:rFonts w:ascii="Times New Roman" w:hAnsi="Times New Roman" w:cs="Times New Roman"/>
          <w:b/>
        </w:rPr>
        <w:t xml:space="preserve"> </w:t>
      </w:r>
      <w:r w:rsidR="00B4031C" w:rsidRPr="00E95CA9">
        <w:rPr>
          <w:b/>
        </w:rPr>
        <w:t xml:space="preserve">Comparisons </w:t>
      </w:r>
      <w:r w:rsidR="00E145D2" w:rsidRPr="00E95CA9">
        <w:rPr>
          <w:b/>
        </w:rPr>
        <w:t xml:space="preserve">between patients for whom either </w:t>
      </w:r>
      <w:r w:rsidR="00B4031C" w:rsidRPr="00E95CA9">
        <w:rPr>
          <w:b/>
        </w:rPr>
        <w:t>HbA</w:t>
      </w:r>
      <w:r w:rsidR="00B4031C" w:rsidRPr="00E95CA9">
        <w:rPr>
          <w:b/>
          <w:vertAlign w:val="subscript"/>
        </w:rPr>
        <w:t>1c</w:t>
      </w:r>
      <w:r w:rsidR="00B4031C" w:rsidRPr="00E95CA9">
        <w:rPr>
          <w:b/>
        </w:rPr>
        <w:t xml:space="preserve"> or </w:t>
      </w:r>
      <w:r w:rsidR="00E145D2" w:rsidRPr="00E95CA9">
        <w:rPr>
          <w:b/>
        </w:rPr>
        <w:t xml:space="preserve">total cholesterol data are unreported, and those with complete </w:t>
      </w:r>
      <w:r w:rsidR="00B4031C" w:rsidRPr="00E95CA9">
        <w:rPr>
          <w:b/>
        </w:rPr>
        <w:t>HbA</w:t>
      </w:r>
      <w:r w:rsidR="00B4031C" w:rsidRPr="00E95CA9">
        <w:rPr>
          <w:b/>
          <w:vertAlign w:val="subscript"/>
        </w:rPr>
        <w:t>1c</w:t>
      </w:r>
      <w:r w:rsidR="00B4031C" w:rsidRPr="00E95CA9">
        <w:rPr>
          <w:b/>
        </w:rPr>
        <w:t xml:space="preserve"> and </w:t>
      </w:r>
      <w:r w:rsidR="00E145D2" w:rsidRPr="00E95CA9">
        <w:rPr>
          <w:b/>
        </w:rPr>
        <w:t>total cholesterol data</w:t>
      </w:r>
    </w:p>
    <w:tbl>
      <w:tblPr>
        <w:tblW w:w="92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2229"/>
        <w:gridCol w:w="1890"/>
        <w:gridCol w:w="1474"/>
      </w:tblGrid>
      <w:tr w:rsidR="00B4031C" w:rsidRPr="00E95CA9" w:rsidTr="001A3FD0">
        <w:trPr>
          <w:cantSplit/>
          <w:tblHeader/>
          <w:jc w:val="center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60" w:type="dxa"/>
              <w:right w:w="60" w:type="dxa"/>
            </w:tcMar>
          </w:tcPr>
          <w:p w:rsidR="00B4031C" w:rsidRPr="00E95CA9" w:rsidRDefault="00B4031C" w:rsidP="00F10D87">
            <w:pPr>
              <w:keepNext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60" w:type="dxa"/>
              <w:right w:w="60" w:type="dxa"/>
            </w:tcMar>
          </w:tcPr>
          <w:p w:rsidR="00B4031C" w:rsidRPr="00233711" w:rsidRDefault="00B4031C" w:rsidP="00964016">
            <w:pPr>
              <w:keepNext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33711">
              <w:rPr>
                <w:rFonts w:ascii="Times New Roman" w:hAnsi="Times New Roman"/>
                <w:b/>
                <w:color w:val="000000"/>
              </w:rPr>
              <w:t xml:space="preserve">Patients </w:t>
            </w:r>
            <w:r w:rsidR="00DA7928" w:rsidRPr="00233711">
              <w:rPr>
                <w:rFonts w:ascii="Times New Roman" w:hAnsi="Times New Roman"/>
                <w:b/>
                <w:color w:val="000000"/>
              </w:rPr>
              <w:t>with</w:t>
            </w:r>
            <w:r w:rsidRPr="00233711">
              <w:rPr>
                <w:rFonts w:ascii="Times New Roman" w:hAnsi="Times New Roman"/>
                <w:b/>
                <w:color w:val="000000"/>
              </w:rPr>
              <w:t xml:space="preserve"> either HbA</w:t>
            </w:r>
            <w:r w:rsidRPr="00233711">
              <w:rPr>
                <w:rFonts w:ascii="Times New Roman" w:hAnsi="Times New Roman"/>
                <w:b/>
                <w:color w:val="000000"/>
                <w:vertAlign w:val="subscript"/>
              </w:rPr>
              <w:t>1c</w:t>
            </w:r>
            <w:r w:rsidRPr="00233711">
              <w:rPr>
                <w:rFonts w:ascii="Times New Roman" w:hAnsi="Times New Roman"/>
                <w:b/>
                <w:color w:val="000000"/>
              </w:rPr>
              <w:t xml:space="preserve"> or TC data</w:t>
            </w:r>
            <w:r w:rsidR="00DA7928" w:rsidRPr="00233711">
              <w:rPr>
                <w:rFonts w:ascii="Times New Roman" w:hAnsi="Times New Roman"/>
                <w:b/>
                <w:color w:val="000000"/>
              </w:rPr>
              <w:t xml:space="preserve"> unreported</w:t>
            </w:r>
          </w:p>
          <w:p w:rsidR="00B4031C" w:rsidRPr="00233711" w:rsidRDefault="00B4031C" w:rsidP="00213399">
            <w:pPr>
              <w:keepNext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33711">
              <w:rPr>
                <w:rFonts w:ascii="Times New Roman" w:hAnsi="Times New Roman"/>
                <w:b/>
                <w:color w:val="000000"/>
              </w:rPr>
              <w:t>(n</w:t>
            </w:r>
            <w:r w:rsidR="00FE0530" w:rsidRPr="00233711">
              <w:rPr>
                <w:rFonts w:ascii="Times New Roman" w:hAnsi="Times New Roman"/>
                <w:b/>
                <w:color w:val="000000"/>
              </w:rPr>
              <w:t> </w:t>
            </w:r>
            <w:r w:rsidR="00780920" w:rsidRPr="00233711">
              <w:rPr>
                <w:rFonts w:ascii="Times New Roman" w:hAnsi="Times New Roman"/>
                <w:b/>
                <w:color w:val="000000"/>
              </w:rPr>
              <w:t>=</w:t>
            </w:r>
            <w:r w:rsidR="00FE0530" w:rsidRPr="00233711">
              <w:rPr>
                <w:rFonts w:ascii="Times New Roman" w:hAnsi="Times New Roman"/>
                <w:b/>
                <w:color w:val="000000"/>
              </w:rPr>
              <w:t> </w:t>
            </w:r>
            <w:r w:rsidR="00213399">
              <w:rPr>
                <w:rFonts w:ascii="Times New Roman" w:hAnsi="Times New Roman"/>
                <w:b/>
                <w:color w:val="000000"/>
              </w:rPr>
              <w:t>7,358</w:t>
            </w:r>
            <w:r w:rsidRPr="00233711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60" w:type="dxa"/>
              <w:right w:w="60" w:type="dxa"/>
            </w:tcMar>
          </w:tcPr>
          <w:p w:rsidR="00B4031C" w:rsidRPr="00233711" w:rsidRDefault="00B4031C" w:rsidP="00964016">
            <w:pPr>
              <w:keepNext/>
              <w:adjustRightInd w:val="0"/>
              <w:spacing w:after="0"/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233711">
              <w:rPr>
                <w:rFonts w:ascii="Times New Roman" w:hAnsi="Times New Roman"/>
                <w:b/>
                <w:color w:val="000000"/>
              </w:rPr>
              <w:t xml:space="preserve">Patients with </w:t>
            </w:r>
            <w:r w:rsidR="00107EEB" w:rsidRPr="00233711">
              <w:rPr>
                <w:rFonts w:ascii="Times New Roman" w:hAnsi="Times New Roman"/>
                <w:b/>
                <w:color w:val="000000"/>
              </w:rPr>
              <w:t xml:space="preserve">complete </w:t>
            </w:r>
            <w:proofErr w:type="spellStart"/>
            <w:r w:rsidR="00726E9C" w:rsidRPr="00233711">
              <w:rPr>
                <w:rFonts w:ascii="Times New Roman" w:hAnsi="Times New Roman"/>
                <w:b/>
                <w:color w:val="000000"/>
              </w:rPr>
              <w:t>data</w:t>
            </w:r>
            <w:r w:rsidR="007A02F2" w:rsidRPr="00233711">
              <w:rPr>
                <w:rFonts w:ascii="Times New Roman" w:hAnsi="Times New Roman"/>
                <w:b/>
                <w:color w:val="000000"/>
                <w:vertAlign w:val="superscript"/>
              </w:rPr>
              <w:t>a</w:t>
            </w:r>
            <w:proofErr w:type="spellEnd"/>
          </w:p>
          <w:p w:rsidR="00F10D87" w:rsidRPr="00233711" w:rsidRDefault="00F10D87" w:rsidP="00964016">
            <w:pPr>
              <w:keepNext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B4031C" w:rsidRPr="00233711" w:rsidRDefault="00B4031C" w:rsidP="00213399">
            <w:pPr>
              <w:keepNext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33711">
              <w:rPr>
                <w:rFonts w:ascii="Times New Roman" w:hAnsi="Times New Roman"/>
                <w:b/>
                <w:color w:val="000000"/>
              </w:rPr>
              <w:t>(</w:t>
            </w:r>
            <w:r w:rsidR="00FE0530" w:rsidRPr="00233711">
              <w:rPr>
                <w:rFonts w:ascii="Times New Roman" w:hAnsi="Times New Roman"/>
                <w:b/>
                <w:color w:val="000000"/>
              </w:rPr>
              <w:t>n = </w:t>
            </w:r>
            <w:r w:rsidR="00213399">
              <w:rPr>
                <w:rFonts w:ascii="Times New Roman" w:hAnsi="Times New Roman"/>
                <w:b/>
                <w:color w:val="000000"/>
              </w:rPr>
              <w:t>6</w:t>
            </w:r>
            <w:r w:rsidR="00FF45F8">
              <w:rPr>
                <w:rFonts w:ascii="Times New Roman" w:hAnsi="Times New Roman"/>
                <w:b/>
                <w:color w:val="000000"/>
              </w:rPr>
              <w:t>,</w:t>
            </w:r>
            <w:r w:rsidR="00213399">
              <w:rPr>
                <w:rFonts w:ascii="Times New Roman" w:hAnsi="Times New Roman"/>
                <w:b/>
                <w:color w:val="000000"/>
              </w:rPr>
              <w:t>656</w:t>
            </w:r>
            <w:r w:rsidRPr="00233711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60" w:type="dxa"/>
              <w:right w:w="60" w:type="dxa"/>
            </w:tcMar>
          </w:tcPr>
          <w:p w:rsidR="00B4031C" w:rsidRPr="00233711" w:rsidRDefault="00726E9C" w:rsidP="00964016">
            <w:pPr>
              <w:keepNext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233711">
              <w:rPr>
                <w:rFonts w:ascii="Times New Roman" w:hAnsi="Times New Roman"/>
                <w:b/>
                <w:color w:val="000000"/>
              </w:rPr>
              <w:t>P</w:t>
            </w:r>
            <w:r w:rsidRPr="002337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107EEB" w:rsidRPr="00233711">
              <w:rPr>
                <w:rFonts w:ascii="Times New Roman" w:hAnsi="Times New Roman"/>
                <w:b/>
                <w:color w:val="000000"/>
              </w:rPr>
              <w:t>value</w:t>
            </w:r>
            <w:r w:rsidR="007A02F2" w:rsidRPr="00E95CA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b</w:t>
            </w:r>
            <w:proofErr w:type="spellEnd"/>
          </w:p>
        </w:tc>
      </w:tr>
      <w:tr w:rsidR="00B4031C" w:rsidRPr="00E95CA9" w:rsidTr="001A3FD0">
        <w:trPr>
          <w:cantSplit/>
          <w:jc w:val="center"/>
        </w:trPr>
        <w:tc>
          <w:tcPr>
            <w:tcW w:w="3628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F10D87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Any microvascular disease,</w:t>
            </w:r>
            <w:r w:rsidR="00FE0530" w:rsidRPr="00E95CA9">
              <w:rPr>
                <w:rFonts w:cstheme="minorHAnsi"/>
                <w:i/>
              </w:rPr>
              <w:t xml:space="preserve"> </w:t>
            </w:r>
            <w:r w:rsidR="003A33DA" w:rsidRPr="00E95CA9">
              <w:rPr>
                <w:rFonts w:cstheme="minorHAnsi"/>
              </w:rPr>
              <w:t>n</w:t>
            </w:r>
            <w:r w:rsidR="00FE0530" w:rsidRPr="00E95CA9">
              <w:rPr>
                <w:rFonts w:cstheme="minorHAnsi"/>
                <w:i/>
              </w:rPr>
              <w:t xml:space="preserve"> </w:t>
            </w:r>
            <w:r w:rsidRPr="00E95CA9">
              <w:rPr>
                <w:rFonts w:ascii="Times New Roman" w:hAnsi="Times New Roman" w:cs="Times New Roman"/>
                <w:color w:val="000000"/>
              </w:rPr>
              <w:t>(%)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</w:t>
            </w:r>
            <w:r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13.5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1,615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24.3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A63567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&lt;</w:t>
            </w:r>
            <w:r w:rsidR="00AD13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0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</w:tr>
      <w:tr w:rsidR="00B4031C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DA7928" w:rsidP="00F10D87">
            <w:pPr>
              <w:keepNext/>
              <w:adjustRightInd w:val="0"/>
              <w:spacing w:after="0"/>
              <w:ind w:left="261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1DF9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031C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F10D87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 xml:space="preserve">Any macrovascular disease, </w:t>
            </w:r>
            <w:r w:rsidR="003A33DA" w:rsidRPr="00E95CA9">
              <w:rPr>
                <w:rFonts w:ascii="Times New Roman" w:hAnsi="Times New Roman" w:cs="Times New Roman"/>
                <w:color w:val="000000"/>
              </w:rPr>
              <w:t>n</w:t>
            </w:r>
            <w:r w:rsidRPr="00E95CA9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(12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>2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856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12.9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0.228</w:t>
            </w:r>
          </w:p>
        </w:tc>
      </w:tr>
      <w:tr w:rsidR="00B4031C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DA7928" w:rsidP="00F10D87">
            <w:pPr>
              <w:keepNext/>
              <w:adjustRightInd w:val="0"/>
              <w:spacing w:after="0"/>
              <w:ind w:left="261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1DF9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031C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F10D8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 xml:space="preserve">Sex, </w:t>
            </w:r>
            <w:r w:rsidR="003A33DA" w:rsidRPr="00E95CA9">
              <w:rPr>
                <w:rFonts w:ascii="Times New Roman" w:hAnsi="Times New Roman" w:cs="Times New Roman"/>
                <w:color w:val="000000"/>
              </w:rPr>
              <w:t>n</w:t>
            </w:r>
            <w:r w:rsidRPr="00E95CA9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&lt;</w:t>
            </w:r>
            <w:r w:rsidR="00AD13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Pr="00E95CA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</w:tr>
      <w:tr w:rsidR="00B4031C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F10D87">
            <w:pPr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3,653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49.7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3,842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57.7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031C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F10D87">
            <w:pPr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3,703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50.3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2,814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42.3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031C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DA7928" w:rsidP="00F10D87">
            <w:pPr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1DF9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031C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F10D8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Age, years, mean (SD)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57.0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12.1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57.2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12.0</w:t>
            </w:r>
            <w:r w:rsidR="00B4031C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0.460</w:t>
            </w:r>
          </w:p>
        </w:tc>
      </w:tr>
      <w:tr w:rsidR="00B4031C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DA7928" w:rsidP="00F10D87">
            <w:pPr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1F5D90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1F5D90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B4031C" w:rsidRPr="00E95CA9" w:rsidRDefault="00B4031C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 xml:space="preserve">Time in formal education, </w:t>
            </w:r>
            <w:r w:rsidR="003A33DA" w:rsidRPr="00E95CA9">
              <w:rPr>
                <w:rFonts w:ascii="Times New Roman" w:hAnsi="Times New Roman" w:cs="Times New Roman"/>
                <w:color w:val="000000"/>
              </w:rPr>
              <w:t>n</w:t>
            </w:r>
            <w:r w:rsidRPr="00E95CA9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tabs>
                <w:tab w:val="left" w:pos="279"/>
              </w:tabs>
              <w:spacing w:after="0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No formal education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3.6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2.9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tabs>
                <w:tab w:val="left" w:pos="279"/>
              </w:tabs>
              <w:spacing w:after="0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Primary (1–6 years)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1,104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16.2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1,011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15.2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tabs>
                <w:tab w:val="left" w:pos="279"/>
              </w:tabs>
              <w:spacing w:after="0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Secondary (7–13 years)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3,333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48.9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3,310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49.7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tabs>
                <w:tab w:val="left" w:pos="279"/>
              </w:tabs>
              <w:spacing w:after="0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Higher (&gt;</w:t>
            </w:r>
            <w:r w:rsidR="00AD13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5CA9">
              <w:rPr>
                <w:rFonts w:ascii="Times New Roman" w:hAnsi="Times New Roman" w:cs="Times New Roman"/>
                <w:color w:val="000000"/>
              </w:rPr>
              <w:t>13 years)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2,138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31.3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2,142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32.2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DA7928" w:rsidP="00F10D87">
            <w:pPr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B41DF9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Diabetes duration, years, mean (SD)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5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Pr="00E95CA9">
              <w:rPr>
                <w:rFonts w:ascii="Times New Roman" w:hAnsi="Times New Roman" w:cs="Times New Roman"/>
                <w:color w:val="000000"/>
              </w:rPr>
              <w:t>7 (5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>4</w:t>
            </w:r>
            <w:r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5.1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DA7928" w:rsidP="00F10D87">
            <w:pPr>
              <w:adjustRightInd w:val="0"/>
              <w:spacing w:after="0"/>
              <w:ind w:left="262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B41DF9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HbA</w:t>
            </w:r>
            <w:r w:rsidRPr="00E95CA9">
              <w:rPr>
                <w:rFonts w:ascii="Times New Roman" w:hAnsi="Times New Roman" w:cs="Times New Roman"/>
                <w:color w:val="000000"/>
                <w:vertAlign w:val="subscript"/>
              </w:rPr>
              <w:t>1c</w:t>
            </w:r>
            <w:r w:rsidRPr="00E95CA9">
              <w:rPr>
                <w:rFonts w:ascii="Times New Roman" w:hAnsi="Times New Roman" w:cs="Times New Roman"/>
                <w:color w:val="000000"/>
              </w:rPr>
              <w:t>, %, mean (SD)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1.6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8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Pr="00E95CA9">
              <w:rPr>
                <w:rFonts w:ascii="Times New Roman" w:hAnsi="Times New Roman" w:cs="Times New Roman"/>
                <w:color w:val="000000"/>
              </w:rPr>
              <w:t>4 (1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>7</w:t>
            </w:r>
            <w:r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0.173</w:t>
            </w: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DA7928" w:rsidP="00F10D87">
            <w:pPr>
              <w:adjustRightInd w:val="0"/>
              <w:spacing w:after="0"/>
              <w:ind w:left="262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3,207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BMI, kg/m</w:t>
            </w:r>
            <w:r w:rsidRPr="00E95CA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95CA9">
              <w:rPr>
                <w:rFonts w:ascii="Times New Roman" w:hAnsi="Times New Roman" w:cs="Times New Roman"/>
                <w:color w:val="000000"/>
              </w:rPr>
              <w:t>, mean (SD)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28.8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(5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9)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5.8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213399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DA7928" w:rsidP="00F10D87">
            <w:pPr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13399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B41DF9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1A3FD0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 xml:space="preserve">Tobacco smoking, </w:t>
            </w:r>
            <w:r w:rsidR="003A33DA" w:rsidRPr="00E95CA9">
              <w:rPr>
                <w:rFonts w:ascii="Times New Roman" w:hAnsi="Times New Roman" w:cs="Times New Roman"/>
                <w:color w:val="000000"/>
              </w:rPr>
              <w:t>n</w:t>
            </w:r>
            <w:r w:rsidRPr="00E95CA9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&lt;</w:t>
            </w:r>
            <w:r w:rsidR="00AD13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Pr="00E95CA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C4618C" w:rsidP="001A3FD0">
            <w:pPr>
              <w:keepNext/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Non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smoker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5,346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74.5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4,390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66.0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1A3FD0">
            <w:pPr>
              <w:keepNext/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Ex-smoker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981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13.7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1,180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17.7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keepNext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Current smoker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849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11.8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1,086</w:t>
            </w:r>
            <w:r w:rsidR="00B41DF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16.3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DA7928" w:rsidP="00F10D87">
            <w:pPr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lastRenderedPageBreak/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1F5D90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SBP, mmHg, mean (SD)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131.7</w:t>
            </w:r>
            <w:r w:rsidR="001F5D90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16.2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132.6</w:t>
            </w:r>
            <w:r w:rsidR="001F5D90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16.8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 0.001</w:t>
            </w: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DA7928" w:rsidP="00F10D87">
            <w:pPr>
              <w:adjustRightInd w:val="0"/>
              <w:spacing w:after="0"/>
              <w:ind w:left="259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107EEB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Total cholesterol, mean (SD)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187.7</w:t>
            </w:r>
            <w:r w:rsidR="001F5D90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49.4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187.1</w:t>
            </w:r>
            <w:r w:rsidR="001F5D90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46.7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0.759</w:t>
            </w: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DA7928" w:rsidP="00F10D87">
            <w:pPr>
              <w:adjustRightInd w:val="0"/>
              <w:spacing w:after="0"/>
              <w:ind w:left="261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6,771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F10D87">
            <w:pPr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 xml:space="preserve">History of </w:t>
            </w:r>
            <w:proofErr w:type="spellStart"/>
            <w:r w:rsidRPr="00E95CA9">
              <w:rPr>
                <w:rFonts w:ascii="Times New Roman" w:hAnsi="Times New Roman" w:cs="Times New Roman"/>
                <w:color w:val="000000"/>
              </w:rPr>
              <w:t>hypoglyc</w:t>
            </w:r>
            <w:r w:rsidR="001F5A73" w:rsidRPr="00E95CA9">
              <w:rPr>
                <w:rFonts w:ascii="Times New Roman" w:hAnsi="Times New Roman" w:cs="Times New Roman"/>
                <w:color w:val="000000"/>
              </w:rPr>
              <w:t>emi</w:t>
            </w:r>
            <w:r w:rsidRPr="00E95CA9">
              <w:rPr>
                <w:rFonts w:ascii="Times New Roman" w:hAnsi="Times New Roman" w:cs="Times New Roman"/>
                <w:color w:val="000000"/>
              </w:rPr>
              <w:t>a</w:t>
            </w:r>
            <w:r w:rsidR="007A02F2" w:rsidRPr="00E95CA9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  <w:r w:rsidR="001F5D90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4.7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1F5D90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 xml:space="preserve">317 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(</w:t>
            </w:r>
            <w:r w:rsidR="0098582E">
              <w:rPr>
                <w:rFonts w:ascii="Times New Roman" w:hAnsi="Times New Roman" w:cs="Times New Roman"/>
                <w:color w:val="000000"/>
              </w:rPr>
              <w:t>4.8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0.834</w:t>
            </w: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DA7928" w:rsidP="00F10D87">
            <w:pPr>
              <w:adjustRightInd w:val="0"/>
              <w:spacing w:after="0"/>
              <w:ind w:left="262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1F5D90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1B0A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C4618C" w:rsidP="00F10D87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Co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 xml:space="preserve">medication, </w:t>
            </w:r>
            <w:r w:rsidR="003A33DA" w:rsidRPr="00E95CA9">
              <w:rPr>
                <w:rFonts w:ascii="Times New Roman" w:hAnsi="Times New Roman" w:cs="Times New Roman"/>
                <w:color w:val="000000"/>
              </w:rPr>
              <w:t>n</w:t>
            </w:r>
            <w:r w:rsidR="00221B0A" w:rsidRPr="00E95CA9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221B0A" w:rsidRPr="00E95CA9" w:rsidRDefault="00221B0A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7976DE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F10D87">
            <w:pPr>
              <w:adjustRightInd w:val="0"/>
              <w:spacing w:after="0"/>
              <w:ind w:left="262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ACEi or ARB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2,406</w:t>
            </w:r>
            <w:r w:rsidR="001F5D90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32.7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2,705</w:t>
            </w:r>
            <w:r w:rsidR="00DD3A1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40.6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&lt;</w:t>
            </w:r>
            <w:r w:rsidR="00AD13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Pr="00E95CA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</w:tr>
      <w:tr w:rsidR="007976DE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F10D87">
            <w:pPr>
              <w:adjustRightInd w:val="0"/>
              <w:spacing w:after="0"/>
              <w:ind w:left="262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Diuretic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862</w:t>
            </w:r>
            <w:r w:rsidR="001F5D90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11.7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</w:t>
            </w:r>
            <w:r w:rsidR="00DD3A1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12.0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0.616</w:t>
            </w:r>
          </w:p>
        </w:tc>
      </w:tr>
      <w:tr w:rsidR="007976DE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F10D87">
            <w:pPr>
              <w:adjustRightInd w:val="0"/>
              <w:spacing w:after="0"/>
              <w:ind w:left="262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β-blocker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</w:t>
            </w:r>
            <w:r w:rsidR="001F5D90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12.7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947</w:t>
            </w:r>
            <w:r w:rsidR="00DD3A1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14.2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7976DE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F10D87">
            <w:pPr>
              <w:adjustRightInd w:val="0"/>
              <w:spacing w:after="0"/>
              <w:ind w:left="262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Statin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2505</w:t>
            </w:r>
            <w:r w:rsidR="00DD3A1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34.0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3311</w:t>
            </w:r>
            <w:r w:rsidR="00DD3A1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49.7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&lt;</w:t>
            </w:r>
            <w:r w:rsidR="00AD13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Pr="00E95CA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</w:tr>
      <w:tr w:rsidR="007976DE" w:rsidRPr="00E95CA9" w:rsidTr="001A3FD0">
        <w:trPr>
          <w:cantSplit/>
          <w:jc w:val="center"/>
        </w:trPr>
        <w:tc>
          <w:tcPr>
            <w:tcW w:w="3628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F10D87">
            <w:pPr>
              <w:keepNext/>
              <w:adjustRightInd w:val="0"/>
              <w:spacing w:after="0"/>
              <w:ind w:left="262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ASA</w:t>
            </w:r>
          </w:p>
        </w:tc>
        <w:tc>
          <w:tcPr>
            <w:tcW w:w="2229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</w:t>
            </w:r>
            <w:r w:rsidR="00DD3A1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13.0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98582E" w:rsidP="0098582E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1,292</w:t>
            </w:r>
            <w:r w:rsidR="00DD3A19" w:rsidRPr="00E95C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19.4</w:t>
            </w:r>
            <w:r w:rsidR="007976DE" w:rsidRPr="00E9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&lt;</w:t>
            </w:r>
            <w:r w:rsidR="00AD13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  <w:r w:rsidR="00B73FC6" w:rsidRPr="00E95CA9">
              <w:rPr>
                <w:rFonts w:ascii="Times New Roman" w:hAnsi="Times New Roman" w:cs="Times New Roman"/>
                <w:color w:val="000000"/>
              </w:rPr>
              <w:t>.</w:t>
            </w:r>
            <w:r w:rsidRPr="00E95CA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</w:tr>
      <w:tr w:rsidR="007976DE" w:rsidRPr="00E95CA9" w:rsidTr="001A3FD0">
        <w:trPr>
          <w:cantSplit/>
          <w:jc w:val="center"/>
        </w:trPr>
        <w:tc>
          <w:tcPr>
            <w:tcW w:w="3628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DA7928" w:rsidP="00F10D87">
            <w:pPr>
              <w:keepNext/>
              <w:adjustRightInd w:val="0"/>
              <w:spacing w:after="0"/>
              <w:ind w:left="262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Unreported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5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76DE" w:rsidRPr="00E95CA9" w:rsidRDefault="007976DE" w:rsidP="00964016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300F" w:rsidRPr="00E95CA9" w:rsidRDefault="00726E9C" w:rsidP="00F10D87">
      <w:pPr>
        <w:spacing w:after="0" w:line="480" w:lineRule="auto"/>
      </w:pPr>
      <w:r w:rsidRPr="00233711">
        <w:rPr>
          <w:i/>
        </w:rPr>
        <w:t>ACEi</w:t>
      </w:r>
      <w:r w:rsidR="00F10D87" w:rsidRPr="00E95CA9">
        <w:t xml:space="preserve"> </w:t>
      </w:r>
      <w:r w:rsidRPr="00E95CA9">
        <w:t>angiotensin-converting enzyme inhibitor</w:t>
      </w:r>
      <w:r w:rsidR="007A02F2" w:rsidRPr="00E95CA9">
        <w:t>,</w:t>
      </w:r>
      <w:r w:rsidRPr="00E95CA9">
        <w:t xml:space="preserve"> </w:t>
      </w:r>
      <w:r w:rsidRPr="00233711">
        <w:rPr>
          <w:i/>
        </w:rPr>
        <w:t>ARB</w:t>
      </w:r>
      <w:r w:rsidRPr="00E95CA9">
        <w:t xml:space="preserve"> angiotensin receptor blocker</w:t>
      </w:r>
      <w:r w:rsidR="007A02F2" w:rsidRPr="00E95CA9">
        <w:t>,</w:t>
      </w:r>
      <w:r w:rsidRPr="00E95CA9">
        <w:t xml:space="preserve"> </w:t>
      </w:r>
      <w:r w:rsidRPr="00233711">
        <w:rPr>
          <w:i/>
        </w:rPr>
        <w:t>ASA</w:t>
      </w:r>
      <w:r w:rsidRPr="00E95CA9">
        <w:t xml:space="preserve"> acetylsalicylic acid</w:t>
      </w:r>
      <w:r w:rsidR="007A02F2" w:rsidRPr="00E95CA9">
        <w:t>,</w:t>
      </w:r>
      <w:r w:rsidRPr="00E95CA9">
        <w:t xml:space="preserve"> </w:t>
      </w:r>
      <w:r w:rsidRPr="00233711">
        <w:rPr>
          <w:i/>
        </w:rPr>
        <w:t>BMI</w:t>
      </w:r>
      <w:r w:rsidRPr="00E95CA9">
        <w:t xml:space="preserve"> body mass index</w:t>
      </w:r>
      <w:r w:rsidR="007A02F2" w:rsidRPr="00E95CA9">
        <w:t>,</w:t>
      </w:r>
      <w:r w:rsidRPr="00E95CA9">
        <w:t xml:space="preserve"> </w:t>
      </w:r>
      <w:r w:rsidRPr="00233711">
        <w:rPr>
          <w:i/>
        </w:rPr>
        <w:t>HbA</w:t>
      </w:r>
      <w:r w:rsidRPr="00233711">
        <w:rPr>
          <w:i/>
          <w:vertAlign w:val="subscript"/>
        </w:rPr>
        <w:t>1c</w:t>
      </w:r>
      <w:r w:rsidRPr="00E95CA9">
        <w:t xml:space="preserve"> glycated hemoglobin</w:t>
      </w:r>
      <w:r w:rsidR="007A02F2" w:rsidRPr="00E95CA9">
        <w:t>,</w:t>
      </w:r>
      <w:r w:rsidRPr="00E95CA9">
        <w:t xml:space="preserve"> </w:t>
      </w:r>
      <w:r w:rsidRPr="00233711">
        <w:rPr>
          <w:i/>
        </w:rPr>
        <w:t>SBP</w:t>
      </w:r>
      <w:r w:rsidRPr="00E95CA9">
        <w:t xml:space="preserve"> systolic blood pressure</w:t>
      </w:r>
      <w:r w:rsidR="007A02F2" w:rsidRPr="00E95CA9">
        <w:t>,</w:t>
      </w:r>
      <w:r w:rsidRPr="00E95CA9">
        <w:t xml:space="preserve"> </w:t>
      </w:r>
      <w:r w:rsidRPr="00233711">
        <w:rPr>
          <w:i/>
        </w:rPr>
        <w:t>SD</w:t>
      </w:r>
      <w:r w:rsidRPr="00E95CA9">
        <w:t xml:space="preserve"> standard deviation</w:t>
      </w:r>
      <w:r w:rsidR="007A02F2" w:rsidRPr="00E95CA9">
        <w:t>,</w:t>
      </w:r>
      <w:r w:rsidRPr="00E95CA9">
        <w:t xml:space="preserve"> </w:t>
      </w:r>
      <w:r w:rsidRPr="00233711">
        <w:rPr>
          <w:i/>
        </w:rPr>
        <w:t>TC</w:t>
      </w:r>
      <w:r w:rsidRPr="00E95CA9">
        <w:t xml:space="preserve"> total cholesterol</w:t>
      </w:r>
    </w:p>
    <w:p w:rsidR="000D300F" w:rsidRPr="00E95CA9" w:rsidRDefault="000D300F" w:rsidP="00F10D87">
      <w:pPr>
        <w:spacing w:after="0" w:line="480" w:lineRule="auto"/>
      </w:pPr>
      <w:r w:rsidRPr="00E95CA9">
        <w:rPr>
          <w:vertAlign w:val="superscript"/>
        </w:rPr>
        <w:t>a</w:t>
      </w:r>
      <w:r w:rsidRPr="00E95CA9">
        <w:t xml:space="preserve"> </w:t>
      </w:r>
      <w:r w:rsidR="00726E9C" w:rsidRPr="00E95CA9">
        <w:t xml:space="preserve">Patients with </w:t>
      </w:r>
      <w:r w:rsidR="00107EEB" w:rsidRPr="00E95CA9">
        <w:t>reported data for all variables included in the hierarchical logistic model</w:t>
      </w:r>
    </w:p>
    <w:p w:rsidR="000D300F" w:rsidRPr="00E95CA9" w:rsidRDefault="000D300F" w:rsidP="00F10D87">
      <w:pPr>
        <w:spacing w:after="0" w:line="480" w:lineRule="auto"/>
      </w:pPr>
      <w:r w:rsidRPr="00E95CA9">
        <w:rPr>
          <w:rFonts w:ascii="Times New Roman" w:hAnsi="Times New Roman" w:cs="Times New Roman"/>
          <w:vertAlign w:val="superscript"/>
        </w:rPr>
        <w:t>b</w:t>
      </w:r>
      <w:r w:rsidRPr="00E95CA9">
        <w:t xml:space="preserve"> </w:t>
      </w:r>
      <w:r w:rsidR="003A33DA" w:rsidRPr="00E95CA9">
        <w:t>P</w:t>
      </w:r>
      <w:r w:rsidR="00726E9C" w:rsidRPr="00E95CA9">
        <w:t xml:space="preserve"> </w:t>
      </w:r>
      <w:r w:rsidR="00B4031C" w:rsidRPr="00E95CA9">
        <w:t xml:space="preserve">values calculated for continuous variables using </w:t>
      </w:r>
      <w:r w:rsidR="00B4031C" w:rsidRPr="00E95CA9">
        <w:rPr>
          <w:rFonts w:ascii="Times New Roman" w:hAnsi="Times New Roman" w:cs="Times New Roman"/>
          <w:bCs/>
          <w:color w:val="000000"/>
        </w:rPr>
        <w:t>Student</w:t>
      </w:r>
      <w:r w:rsidR="00A91625" w:rsidRPr="00E95CA9">
        <w:rPr>
          <w:rFonts w:ascii="Times New Roman" w:hAnsi="Times New Roman" w:cs="Times New Roman"/>
          <w:bCs/>
          <w:color w:val="000000"/>
        </w:rPr>
        <w:t>’</w:t>
      </w:r>
      <w:r w:rsidR="00B4031C" w:rsidRPr="00E95CA9">
        <w:rPr>
          <w:rFonts w:ascii="Times New Roman" w:hAnsi="Times New Roman" w:cs="Times New Roman"/>
          <w:bCs/>
          <w:color w:val="000000"/>
        </w:rPr>
        <w:t xml:space="preserve">s </w:t>
      </w:r>
      <w:r w:rsidR="00B4031C" w:rsidRPr="00E95CA9">
        <w:rPr>
          <w:i/>
        </w:rPr>
        <w:t>t</w:t>
      </w:r>
      <w:r w:rsidR="00B4031C" w:rsidRPr="00E95CA9">
        <w:t xml:space="preserve">-test, and for categorical variables using the </w:t>
      </w:r>
      <w:r w:rsidR="00726E9C" w:rsidRPr="00E95CA9">
        <w:rPr>
          <w:rFonts w:cstheme="minorHAnsi"/>
        </w:rPr>
        <w:t>χ</w:t>
      </w:r>
      <w:r w:rsidR="00B4031C" w:rsidRPr="00E95CA9">
        <w:rPr>
          <w:vertAlign w:val="superscript"/>
        </w:rPr>
        <w:t>2</w:t>
      </w:r>
      <w:r w:rsidR="00B4031C" w:rsidRPr="00E95CA9">
        <w:t xml:space="preserve"> or </w:t>
      </w:r>
      <w:r w:rsidR="00B4031C" w:rsidRPr="00E95CA9">
        <w:rPr>
          <w:rFonts w:ascii="Times New Roman" w:hAnsi="Times New Roman" w:cs="Times New Roman"/>
          <w:bCs/>
          <w:color w:val="000000"/>
        </w:rPr>
        <w:t>Fisher</w:t>
      </w:r>
      <w:r w:rsidR="00A91625" w:rsidRPr="00E95CA9">
        <w:rPr>
          <w:rFonts w:ascii="Times New Roman" w:hAnsi="Times New Roman" w:cs="Times New Roman"/>
          <w:bCs/>
          <w:color w:val="000000"/>
        </w:rPr>
        <w:t>’</w:t>
      </w:r>
      <w:r w:rsidR="00B4031C" w:rsidRPr="00E95CA9">
        <w:rPr>
          <w:rFonts w:ascii="Times New Roman" w:hAnsi="Times New Roman" w:cs="Times New Roman"/>
          <w:bCs/>
          <w:color w:val="000000"/>
        </w:rPr>
        <w:t>s</w:t>
      </w:r>
      <w:r w:rsidR="00B4031C" w:rsidRPr="00E95CA9">
        <w:t xml:space="preserve"> exact test, as appropriate</w:t>
      </w:r>
    </w:p>
    <w:p w:rsidR="008E6E82" w:rsidRPr="00E95CA9" w:rsidRDefault="000D300F" w:rsidP="00F10D87">
      <w:pPr>
        <w:spacing w:after="0" w:line="480" w:lineRule="auto"/>
        <w:rPr>
          <w:b/>
        </w:rPr>
      </w:pPr>
      <w:r w:rsidRPr="00E95CA9">
        <w:rPr>
          <w:rFonts w:ascii="Times New Roman" w:hAnsi="Times New Roman" w:cs="Times New Roman"/>
          <w:color w:val="000000"/>
          <w:vertAlign w:val="superscript"/>
        </w:rPr>
        <w:t>c</w:t>
      </w:r>
      <w:r w:rsidRPr="00E95CA9">
        <w:t xml:space="preserve"> </w:t>
      </w:r>
      <w:r w:rsidR="00B4031C" w:rsidRPr="00E95CA9">
        <w:t>Minor hypoglyc</w:t>
      </w:r>
      <w:r w:rsidR="001F5A73" w:rsidRPr="00E95CA9">
        <w:t>emi</w:t>
      </w:r>
      <w:r w:rsidR="00B4031C" w:rsidRPr="00E95CA9">
        <w:t>c event in the previous month or major hypoglyc</w:t>
      </w:r>
      <w:r w:rsidR="001F5A73" w:rsidRPr="00E95CA9">
        <w:t>emi</w:t>
      </w:r>
      <w:r w:rsidR="00B4031C" w:rsidRPr="00E95CA9">
        <w:t>c event in the previous year</w:t>
      </w:r>
      <w:r w:rsidR="008E6E82" w:rsidRPr="00E95CA9">
        <w:rPr>
          <w:b/>
        </w:rPr>
        <w:br w:type="page"/>
      </w:r>
    </w:p>
    <w:p w:rsidR="006D5E1D" w:rsidRPr="00E95CA9" w:rsidRDefault="000051E8" w:rsidP="001C7C7A">
      <w:pPr>
        <w:spacing w:line="480" w:lineRule="auto"/>
      </w:pPr>
      <w:r w:rsidRPr="00E95CA9">
        <w:rPr>
          <w:b/>
        </w:rPr>
        <w:lastRenderedPageBreak/>
        <w:t xml:space="preserve">Table </w:t>
      </w:r>
      <w:proofErr w:type="spellStart"/>
      <w:r w:rsidR="00013273">
        <w:rPr>
          <w:b/>
        </w:rPr>
        <w:t>S</w:t>
      </w:r>
      <w:r w:rsidRPr="00E95CA9">
        <w:rPr>
          <w:b/>
        </w:rPr>
        <w:t>3</w:t>
      </w:r>
      <w:proofErr w:type="spellEnd"/>
      <w:r w:rsidR="000D300F" w:rsidRPr="00E95CA9">
        <w:rPr>
          <w:rFonts w:ascii="Times New Roman" w:hAnsi="Times New Roman" w:cs="Times New Roman"/>
          <w:b/>
        </w:rPr>
        <w:t xml:space="preserve"> </w:t>
      </w:r>
      <w:r w:rsidR="003E4B90" w:rsidRPr="00E95CA9">
        <w:rPr>
          <w:b/>
        </w:rPr>
        <w:t xml:space="preserve">Number and </w:t>
      </w:r>
      <w:r w:rsidR="00E145D2" w:rsidRPr="00E95CA9">
        <w:rPr>
          <w:b/>
        </w:rPr>
        <w:t>proportion of patients with microvascular and macrovascular complications according to country (unadjusted</w:t>
      </w:r>
      <w:r w:rsidR="00280F46" w:rsidRPr="00E95CA9">
        <w:rPr>
          <w:b/>
        </w:rPr>
        <w:t>)</w:t>
      </w:r>
    </w:p>
    <w:tbl>
      <w:tblPr>
        <w:tblStyle w:val="TableGrid"/>
        <w:tblW w:w="8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3"/>
        <w:gridCol w:w="1814"/>
        <w:gridCol w:w="895"/>
        <w:gridCol w:w="2133"/>
        <w:gridCol w:w="2136"/>
      </w:tblGrid>
      <w:tr w:rsidR="009E6F39" w:rsidRPr="00E95CA9" w:rsidTr="00F10D87">
        <w:trPr>
          <w:tblHeader/>
          <w:jc w:val="center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F39" w:rsidRPr="00E43FC6" w:rsidRDefault="009E6F39" w:rsidP="00F10D87">
            <w:pPr>
              <w:spacing w:after="0"/>
              <w:rPr>
                <w:b/>
              </w:rPr>
            </w:pPr>
            <w:r w:rsidRPr="00E43FC6">
              <w:rPr>
                <w:b/>
              </w:rPr>
              <w:t>Region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F39" w:rsidRPr="00E43FC6" w:rsidRDefault="009E6F39" w:rsidP="00964016">
            <w:pPr>
              <w:spacing w:after="0"/>
              <w:rPr>
                <w:b/>
              </w:rPr>
            </w:pPr>
            <w:r w:rsidRPr="00E43FC6">
              <w:rPr>
                <w:b/>
              </w:rPr>
              <w:t>Country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F39" w:rsidRPr="00E43FC6" w:rsidRDefault="009E6F39" w:rsidP="00964016">
            <w:pPr>
              <w:spacing w:after="0"/>
              <w:rPr>
                <w:b/>
              </w:rPr>
            </w:pPr>
            <w:r w:rsidRPr="00E43FC6">
              <w:rPr>
                <w:b/>
              </w:rPr>
              <w:t>N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F39" w:rsidRPr="00E43FC6" w:rsidRDefault="009E6F39" w:rsidP="00964016">
            <w:pPr>
              <w:spacing w:after="0"/>
              <w:rPr>
                <w:b/>
              </w:rPr>
            </w:pPr>
            <w:r w:rsidRPr="00E43FC6">
              <w:rPr>
                <w:b/>
              </w:rPr>
              <w:t>Microvascular, n (%)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9E6F39" w:rsidRPr="00E43FC6" w:rsidRDefault="009E6F39" w:rsidP="00964016">
            <w:pPr>
              <w:spacing w:after="0"/>
              <w:rPr>
                <w:b/>
              </w:rPr>
            </w:pPr>
            <w:r w:rsidRPr="00E43FC6">
              <w:rPr>
                <w:b/>
              </w:rPr>
              <w:t>Macrovascular, n (%)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Africa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Algeria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10D87" w:rsidRPr="00E95CA9" w:rsidRDefault="00F0163F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293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F10D87" w:rsidRPr="00E95CA9" w:rsidRDefault="00F0163F" w:rsidP="00F0163F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70</w:t>
            </w:r>
            <w:r w:rsidRPr="00E95CA9">
              <w:rPr>
                <w:rFonts w:cstheme="minorHAnsi"/>
                <w:color w:val="000000"/>
                <w:kern w:val="24"/>
              </w:rPr>
              <w:t xml:space="preserve"> </w:t>
            </w:r>
            <w:r w:rsidR="00F10D87" w:rsidRPr="00E95CA9">
              <w:rPr>
                <w:rFonts w:cstheme="minorHAnsi"/>
                <w:color w:val="000000"/>
                <w:kern w:val="24"/>
              </w:rPr>
              <w:t>(</w:t>
            </w:r>
            <w:r>
              <w:rPr>
                <w:rFonts w:cstheme="minorHAnsi"/>
                <w:color w:val="000000"/>
                <w:kern w:val="24"/>
              </w:rPr>
              <w:t>23.9</w:t>
            </w:r>
            <w:r w:rsidR="00F10D87" w:rsidRPr="00E95CA9">
              <w:rPr>
                <w:rFonts w:cstheme="minorHAnsi"/>
                <w:color w:val="000000"/>
                <w:kern w:val="24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10D87" w:rsidRPr="00E95CA9" w:rsidRDefault="007D00E7" w:rsidP="007D00E7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19</w:t>
            </w:r>
            <w:r w:rsidR="00F10D87" w:rsidRPr="00E95CA9">
              <w:rPr>
                <w:rFonts w:cstheme="minorHAnsi"/>
                <w:color w:val="000000"/>
                <w:kern w:val="24"/>
              </w:rPr>
              <w:t xml:space="preserve"> (</w:t>
            </w:r>
            <w:r>
              <w:rPr>
                <w:rFonts w:cstheme="minorHAnsi"/>
                <w:color w:val="000000"/>
                <w:kern w:val="24"/>
              </w:rPr>
              <w:t>6.5</w:t>
            </w:r>
            <w:r w:rsidR="00F10D87" w:rsidRPr="00E95CA9">
              <w:rPr>
                <w:rFonts w:cstheme="minorHAnsi"/>
                <w:color w:val="000000"/>
                <w:kern w:val="24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South Africa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10D87" w:rsidRPr="00E95CA9" w:rsidRDefault="00F0163F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519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F10D87" w:rsidRPr="00E95CA9" w:rsidRDefault="00F10D87" w:rsidP="00F0163F">
            <w:pPr>
              <w:spacing w:after="0"/>
              <w:rPr>
                <w:rFonts w:cstheme="minorHAnsi"/>
                <w:color w:val="000000"/>
                <w:kern w:val="24"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48 (</w:t>
            </w:r>
            <w:r w:rsidR="00F0163F">
              <w:rPr>
                <w:rFonts w:cstheme="minorHAnsi"/>
                <w:color w:val="000000"/>
                <w:kern w:val="24"/>
              </w:rPr>
              <w:t>9.2</w:t>
            </w:r>
            <w:r w:rsidRPr="00E95CA9">
              <w:rPr>
                <w:rFonts w:cstheme="minorHAnsi"/>
                <w:color w:val="000000"/>
                <w:kern w:val="24"/>
              </w:rPr>
              <w:t>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10D87" w:rsidRPr="00E95CA9" w:rsidRDefault="00F10D87" w:rsidP="007D00E7">
            <w:pPr>
              <w:spacing w:after="0"/>
              <w:rPr>
                <w:rFonts w:cstheme="minorHAnsi"/>
                <w:color w:val="000000"/>
                <w:kern w:val="24"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55 (</w:t>
            </w:r>
            <w:r w:rsidR="007D00E7">
              <w:rPr>
                <w:rFonts w:cstheme="minorHAnsi"/>
                <w:color w:val="000000"/>
                <w:kern w:val="24"/>
              </w:rPr>
              <w:t>10.6</w:t>
            </w:r>
            <w:r w:rsidRPr="00E95CA9">
              <w:rPr>
                <w:rFonts w:cstheme="minorHAnsi"/>
                <w:color w:val="000000"/>
                <w:kern w:val="24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Americas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Argentina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10D87" w:rsidRPr="00E95CA9" w:rsidRDefault="00F0163F" w:rsidP="0096401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kern w:val="24"/>
              </w:rPr>
              <w:t>299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F10D87" w:rsidRPr="00E95CA9" w:rsidRDefault="00F10D87" w:rsidP="00F0163F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30 (</w:t>
            </w:r>
            <w:r w:rsidR="00F0163F">
              <w:rPr>
                <w:rFonts w:cstheme="minorHAnsi"/>
              </w:rPr>
              <w:t>10.0</w:t>
            </w:r>
            <w:r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10D87" w:rsidRPr="00E95CA9" w:rsidRDefault="00F10D87" w:rsidP="007D00E7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35 (</w:t>
            </w:r>
            <w:r w:rsidR="007D00E7">
              <w:rPr>
                <w:rFonts w:cstheme="minorHAnsi"/>
              </w:rPr>
              <w:t>11.7</w:t>
            </w:r>
            <w:r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Brazil</w:t>
            </w:r>
          </w:p>
        </w:tc>
        <w:tc>
          <w:tcPr>
            <w:tcW w:w="895" w:type="dxa"/>
          </w:tcPr>
          <w:p w:rsidR="00F10D87" w:rsidRPr="00E95CA9" w:rsidRDefault="00F0163F" w:rsidP="0096401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kern w:val="24"/>
              </w:rPr>
              <w:t>437</w:t>
            </w:r>
          </w:p>
        </w:tc>
        <w:tc>
          <w:tcPr>
            <w:tcW w:w="2133" w:type="dxa"/>
            <w:vAlign w:val="center"/>
          </w:tcPr>
          <w:p w:rsidR="00F10D87" w:rsidRPr="00E95CA9" w:rsidRDefault="00F0163F" w:rsidP="00F016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  <w:r w:rsidRPr="00E95CA9">
              <w:rPr>
                <w:rFonts w:cstheme="minorHAnsi"/>
              </w:rPr>
              <w:t xml:space="preserve"> </w:t>
            </w:r>
            <w:r w:rsidR="00F10D87" w:rsidRPr="00E95CA9">
              <w:rPr>
                <w:rFonts w:cstheme="minorHAnsi"/>
              </w:rPr>
              <w:t>(</w:t>
            </w:r>
            <w:r>
              <w:rPr>
                <w:rFonts w:cstheme="minorHAnsi"/>
              </w:rPr>
              <w:t>19.2</w:t>
            </w:r>
            <w:r w:rsidR="00F10D87"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7D00E7" w:rsidP="007D00E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  <w:r w:rsidR="00F10D87" w:rsidRPr="00E95CA9">
              <w:rPr>
                <w:rFonts w:cstheme="minorHAnsi"/>
              </w:rPr>
              <w:t xml:space="preserve"> (11.9)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Canada</w:t>
            </w:r>
          </w:p>
        </w:tc>
        <w:tc>
          <w:tcPr>
            <w:tcW w:w="895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386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57 (14.8)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42 (10.9)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Colombia</w:t>
            </w:r>
          </w:p>
        </w:tc>
        <w:tc>
          <w:tcPr>
            <w:tcW w:w="895" w:type="dxa"/>
          </w:tcPr>
          <w:p w:rsidR="00F10D87" w:rsidRPr="00E95CA9" w:rsidRDefault="00F0163F" w:rsidP="00F016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kern w:val="24"/>
              </w:rPr>
              <w:t>206</w:t>
            </w:r>
          </w:p>
        </w:tc>
        <w:tc>
          <w:tcPr>
            <w:tcW w:w="2133" w:type="dxa"/>
            <w:vAlign w:val="center"/>
          </w:tcPr>
          <w:p w:rsidR="00F10D87" w:rsidRPr="00E95CA9" w:rsidRDefault="00F0163F" w:rsidP="00F016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  <w:r w:rsidRPr="00E95CA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(21.4</w:t>
            </w:r>
            <w:r w:rsidR="00F10D87"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7D00E7" w:rsidP="007D00E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Pr="00E95CA9">
              <w:rPr>
                <w:rFonts w:cstheme="minorHAnsi"/>
              </w:rPr>
              <w:t xml:space="preserve"> </w:t>
            </w:r>
            <w:r w:rsidR="00F10D87" w:rsidRPr="00E95CA9">
              <w:rPr>
                <w:rFonts w:cstheme="minorHAnsi"/>
              </w:rPr>
              <w:t>(</w:t>
            </w:r>
            <w:r>
              <w:rPr>
                <w:rFonts w:cstheme="minorHAnsi"/>
              </w:rPr>
              <w:t>15.5</w:t>
            </w:r>
            <w:r w:rsidR="00F10D87"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Costa Rica</w:t>
            </w:r>
          </w:p>
        </w:tc>
        <w:tc>
          <w:tcPr>
            <w:tcW w:w="895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127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7 (5.5)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10 (7.9)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Mexico</w:t>
            </w:r>
          </w:p>
        </w:tc>
        <w:tc>
          <w:tcPr>
            <w:tcW w:w="895" w:type="dxa"/>
          </w:tcPr>
          <w:p w:rsidR="00F10D87" w:rsidRPr="00E95CA9" w:rsidRDefault="00F0163F" w:rsidP="0096401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kern w:val="24"/>
              </w:rPr>
              <w:t>455</w:t>
            </w:r>
          </w:p>
        </w:tc>
        <w:tc>
          <w:tcPr>
            <w:tcW w:w="2133" w:type="dxa"/>
            <w:vAlign w:val="center"/>
          </w:tcPr>
          <w:p w:rsidR="00F10D87" w:rsidRPr="00E95CA9" w:rsidRDefault="00F0163F" w:rsidP="00F016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Pr="00E95CA9">
              <w:rPr>
                <w:rFonts w:cstheme="minorHAnsi"/>
              </w:rPr>
              <w:t xml:space="preserve"> </w:t>
            </w:r>
            <w:r w:rsidR="00F10D87" w:rsidRPr="00E95CA9">
              <w:rPr>
                <w:rFonts w:cstheme="minorHAnsi"/>
              </w:rPr>
              <w:t>(</w:t>
            </w:r>
            <w:r>
              <w:rPr>
                <w:rFonts w:cstheme="minorHAnsi"/>
              </w:rPr>
              <w:t>17.1</w:t>
            </w:r>
            <w:r w:rsidR="00F10D87"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7D00E7" w:rsidP="007D00E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="00F10D87" w:rsidRPr="00E95CA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11.2</w:t>
            </w:r>
            <w:r w:rsidR="00F10D87"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Panama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10D87" w:rsidRPr="00E95CA9" w:rsidRDefault="00F10D87" w:rsidP="00964016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92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2 (2.2)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10 (10.9)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South-East Asia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India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10D87" w:rsidRPr="00E95CA9" w:rsidRDefault="00F0163F" w:rsidP="00F0163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kern w:val="24"/>
              </w:rPr>
              <w:t>3,139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F10D87" w:rsidRPr="00E95CA9" w:rsidRDefault="00F0163F" w:rsidP="00F016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498</w:t>
            </w:r>
            <w:r w:rsidR="00F10D87" w:rsidRPr="00E95CA9">
              <w:rPr>
                <w:rFonts w:cstheme="minorHAnsi"/>
                <w:color w:val="000000" w:themeColor="text1"/>
                <w:kern w:val="24"/>
              </w:rPr>
              <w:t xml:space="preserve"> (15.9)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10D87" w:rsidRPr="00E95CA9" w:rsidRDefault="007D00E7" w:rsidP="007D00E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  <w:r w:rsidR="00F10D87" w:rsidRPr="00E95CA9">
              <w:rPr>
                <w:rFonts w:cstheme="minorHAnsi"/>
              </w:rPr>
              <w:t xml:space="preserve"> (3.1)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Indonesia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10D87" w:rsidRPr="00E95CA9" w:rsidRDefault="00F10D87" w:rsidP="00964016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221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58 (26.2)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37 (16.7)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Europe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Austria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10D87" w:rsidRPr="00E95CA9" w:rsidRDefault="00F10D87" w:rsidP="00964016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209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56 (26.8)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50 (23.9)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b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Czech Republic</w:t>
            </w:r>
          </w:p>
        </w:tc>
        <w:tc>
          <w:tcPr>
            <w:tcW w:w="895" w:type="dxa"/>
          </w:tcPr>
          <w:p w:rsidR="00F10D87" w:rsidRPr="00E95CA9" w:rsidRDefault="00F0163F" w:rsidP="0096401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kern w:val="24"/>
              </w:rPr>
              <w:t>454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106 (23.3)</w:t>
            </w:r>
          </w:p>
        </w:tc>
        <w:tc>
          <w:tcPr>
            <w:tcW w:w="2136" w:type="dxa"/>
          </w:tcPr>
          <w:p w:rsidR="00F10D87" w:rsidRPr="00E95CA9" w:rsidRDefault="00F10D87" w:rsidP="007D00E7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102 (</w:t>
            </w:r>
            <w:r w:rsidR="007D00E7">
              <w:rPr>
                <w:rFonts w:cstheme="minorHAnsi"/>
              </w:rPr>
              <w:t>22.5</w:t>
            </w:r>
            <w:r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744E5D" w:rsidRDefault="00F10D87" w:rsidP="00F10D87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 w:themeColor="text1"/>
                <w:kern w:val="24"/>
              </w:rPr>
              <w:t>Denmark</w:t>
            </w:r>
          </w:p>
        </w:tc>
        <w:tc>
          <w:tcPr>
            <w:tcW w:w="895" w:type="dxa"/>
          </w:tcPr>
          <w:p w:rsidR="00F10D87" w:rsidRPr="00744E5D" w:rsidRDefault="00744E5D" w:rsidP="00F0163F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/>
                <w:kern w:val="24"/>
              </w:rPr>
              <w:t>41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2 (5.4)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4 (11.8)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744E5D" w:rsidRDefault="00F10D87" w:rsidP="00F10D87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 w:themeColor="text1"/>
                <w:kern w:val="24"/>
              </w:rPr>
              <w:t>France</w:t>
            </w:r>
          </w:p>
        </w:tc>
        <w:tc>
          <w:tcPr>
            <w:tcW w:w="895" w:type="dxa"/>
          </w:tcPr>
          <w:p w:rsidR="00F10D87" w:rsidRPr="00744E5D" w:rsidRDefault="00F0163F" w:rsidP="00F0163F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/>
                <w:kern w:val="24"/>
              </w:rPr>
              <w:t>2</w:t>
            </w:r>
            <w:r w:rsidR="00744E5D" w:rsidRPr="00744E5D">
              <w:rPr>
                <w:rFonts w:cstheme="minorHAnsi"/>
                <w:color w:val="000000"/>
                <w:kern w:val="24"/>
              </w:rPr>
              <w:t>64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27 (10.6)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64 (25.6)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744E5D" w:rsidRDefault="00F10D87" w:rsidP="00F10D87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 w:themeColor="text1"/>
                <w:kern w:val="24"/>
              </w:rPr>
              <w:t>Italy</w:t>
            </w:r>
          </w:p>
        </w:tc>
        <w:tc>
          <w:tcPr>
            <w:tcW w:w="895" w:type="dxa"/>
          </w:tcPr>
          <w:p w:rsidR="00F10D87" w:rsidRPr="00744E5D" w:rsidRDefault="00F0163F" w:rsidP="00964016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/>
                <w:kern w:val="24"/>
              </w:rPr>
              <w:t>361</w:t>
            </w:r>
          </w:p>
        </w:tc>
        <w:tc>
          <w:tcPr>
            <w:tcW w:w="2133" w:type="dxa"/>
            <w:vAlign w:val="center"/>
          </w:tcPr>
          <w:p w:rsidR="00F10D87" w:rsidRPr="00E95CA9" w:rsidRDefault="00F0163F" w:rsidP="00F0163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  <w:r w:rsidR="00F10D87" w:rsidRPr="00E95CA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26.6</w:t>
            </w:r>
            <w:r w:rsidR="00F10D87"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7D00E7" w:rsidP="007D00E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  <w:r w:rsidR="00F10D87" w:rsidRPr="00E95CA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21.1</w:t>
            </w:r>
            <w:r w:rsidR="00F10D87"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744E5D" w:rsidRDefault="00F10D87" w:rsidP="00F10D87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 w:themeColor="text1"/>
                <w:kern w:val="24"/>
              </w:rPr>
              <w:t>Netherlands</w:t>
            </w:r>
          </w:p>
        </w:tc>
        <w:tc>
          <w:tcPr>
            <w:tcW w:w="895" w:type="dxa"/>
          </w:tcPr>
          <w:p w:rsidR="00F10D87" w:rsidRPr="00744E5D" w:rsidRDefault="00F0163F" w:rsidP="00964016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/>
                <w:kern w:val="24"/>
              </w:rPr>
              <w:t>162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F0163F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40 (</w:t>
            </w:r>
            <w:r w:rsidR="00F0163F">
              <w:rPr>
                <w:rFonts w:cstheme="minorHAnsi"/>
              </w:rPr>
              <w:t>24.7</w:t>
            </w:r>
            <w:r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F10D87" w:rsidP="007D00E7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33 (</w:t>
            </w:r>
            <w:r w:rsidR="007D00E7">
              <w:rPr>
                <w:rFonts w:cstheme="minorHAnsi"/>
              </w:rPr>
              <w:t>20.4</w:t>
            </w:r>
            <w:r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744E5D" w:rsidRDefault="00F10D87" w:rsidP="00F10D87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 w:themeColor="text1"/>
                <w:kern w:val="24"/>
              </w:rPr>
              <w:t>Norway</w:t>
            </w:r>
          </w:p>
        </w:tc>
        <w:tc>
          <w:tcPr>
            <w:tcW w:w="895" w:type="dxa"/>
          </w:tcPr>
          <w:p w:rsidR="00F10D87" w:rsidRPr="00744E5D" w:rsidRDefault="00F0163F" w:rsidP="00F0163F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/>
                <w:kern w:val="24"/>
              </w:rPr>
              <w:t>7</w:t>
            </w:r>
            <w:r w:rsidR="00744E5D" w:rsidRPr="00744E5D">
              <w:rPr>
                <w:rFonts w:cstheme="minorHAnsi"/>
                <w:color w:val="000000"/>
                <w:kern w:val="24"/>
              </w:rPr>
              <w:t>9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14 (19.4)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13 (20.3)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744E5D" w:rsidRDefault="00F10D87" w:rsidP="00F10D87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 w:themeColor="text1"/>
                <w:kern w:val="24"/>
              </w:rPr>
              <w:t>Poland</w:t>
            </w:r>
          </w:p>
        </w:tc>
        <w:tc>
          <w:tcPr>
            <w:tcW w:w="895" w:type="dxa"/>
          </w:tcPr>
          <w:p w:rsidR="00F10D87" w:rsidRPr="00744E5D" w:rsidRDefault="00F0163F" w:rsidP="00F0163F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/>
                <w:kern w:val="24"/>
              </w:rPr>
              <w:t>324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F0163F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43 (</w:t>
            </w:r>
            <w:r w:rsidR="00F0163F">
              <w:rPr>
                <w:rFonts w:cstheme="minorHAnsi"/>
              </w:rPr>
              <w:t>13.3</w:t>
            </w:r>
            <w:r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7D00E7" w:rsidP="007D00E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="00F10D87" w:rsidRPr="00E95CA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27.8</w:t>
            </w:r>
            <w:r w:rsidR="00F10D87"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744E5D" w:rsidRDefault="00F10D87" w:rsidP="00F10D87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 w:themeColor="text1"/>
                <w:kern w:val="24"/>
              </w:rPr>
              <w:t>Russia</w:t>
            </w:r>
          </w:p>
        </w:tc>
        <w:tc>
          <w:tcPr>
            <w:tcW w:w="895" w:type="dxa"/>
          </w:tcPr>
          <w:p w:rsidR="00F10D87" w:rsidRPr="00744E5D" w:rsidRDefault="00F10D87" w:rsidP="00964016">
            <w:pPr>
              <w:spacing w:after="0"/>
              <w:rPr>
                <w:rFonts w:cstheme="minorHAnsi"/>
                <w:b/>
              </w:rPr>
            </w:pPr>
            <w:r w:rsidRPr="00744E5D">
              <w:rPr>
                <w:rFonts w:cstheme="minorHAnsi"/>
                <w:color w:val="000000"/>
                <w:kern w:val="24"/>
              </w:rPr>
              <w:t>588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239 (40.6)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326 (55.4)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744E5D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744E5D">
              <w:rPr>
                <w:rFonts w:cstheme="minorHAnsi"/>
                <w:color w:val="000000" w:themeColor="text1"/>
                <w:kern w:val="24"/>
              </w:rPr>
              <w:t>Spain</w:t>
            </w:r>
          </w:p>
        </w:tc>
        <w:tc>
          <w:tcPr>
            <w:tcW w:w="895" w:type="dxa"/>
          </w:tcPr>
          <w:p w:rsidR="00F10D87" w:rsidRPr="00744E5D" w:rsidRDefault="00F0163F" w:rsidP="00F0163F">
            <w:pPr>
              <w:spacing w:after="0"/>
              <w:rPr>
                <w:rFonts w:cstheme="minorHAnsi"/>
                <w:color w:val="000000"/>
                <w:kern w:val="24"/>
              </w:rPr>
            </w:pPr>
            <w:r w:rsidRPr="00744E5D">
              <w:rPr>
                <w:rFonts w:cstheme="minorHAnsi"/>
                <w:color w:val="000000"/>
                <w:kern w:val="24"/>
              </w:rPr>
              <w:t>225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F0163F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36 (</w:t>
            </w:r>
            <w:r w:rsidR="00F0163F">
              <w:rPr>
                <w:rFonts w:cstheme="minorHAnsi"/>
              </w:rPr>
              <w:t>16.0</w:t>
            </w:r>
            <w:r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7D00E7" w:rsidP="007D00E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F10D87" w:rsidRPr="00E95CA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16.0</w:t>
            </w:r>
            <w:r w:rsidR="00F10D87"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744E5D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744E5D">
              <w:rPr>
                <w:rFonts w:cstheme="minorHAnsi"/>
                <w:color w:val="000000" w:themeColor="text1"/>
                <w:kern w:val="24"/>
              </w:rPr>
              <w:t>Sweden</w:t>
            </w:r>
          </w:p>
        </w:tc>
        <w:tc>
          <w:tcPr>
            <w:tcW w:w="895" w:type="dxa"/>
          </w:tcPr>
          <w:p w:rsidR="00F10D87" w:rsidRPr="00744E5D" w:rsidRDefault="00744E5D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 w:rsidRPr="00744E5D">
              <w:rPr>
                <w:rFonts w:cstheme="minorHAnsi"/>
                <w:color w:val="000000"/>
                <w:kern w:val="24"/>
              </w:rPr>
              <w:t>236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45 (19.1)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35 (15.4)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Turkey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10D87" w:rsidRPr="00E95CA9" w:rsidRDefault="00F10D87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536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108 (20.1)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86 (16.0)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F10D87" w:rsidRPr="00E95CA9" w:rsidRDefault="00F10D87" w:rsidP="00F10D87">
            <w:pPr>
              <w:keepNext/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Eastern Mediterranean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10D87" w:rsidRPr="00E95CA9" w:rsidRDefault="00F10D87" w:rsidP="00F10D87">
            <w:pPr>
              <w:keepNext/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Bahrain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10D87" w:rsidRPr="00E95CA9" w:rsidRDefault="00F10D87" w:rsidP="00964016">
            <w:pPr>
              <w:keepNext/>
              <w:spacing w:after="0"/>
              <w:rPr>
                <w:rFonts w:cstheme="minorHAnsi"/>
                <w:color w:val="000000"/>
                <w:kern w:val="24"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70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F10D87" w:rsidRPr="00E95CA9" w:rsidRDefault="00F10D87" w:rsidP="00964016">
            <w:pPr>
              <w:keepNext/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16 (22.9)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10D87" w:rsidRPr="00E95CA9" w:rsidRDefault="00F10D87" w:rsidP="00964016">
            <w:pPr>
              <w:keepNext/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9 (12.9)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keepNext/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keepNext/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Egypt</w:t>
            </w:r>
          </w:p>
        </w:tc>
        <w:tc>
          <w:tcPr>
            <w:tcW w:w="895" w:type="dxa"/>
          </w:tcPr>
          <w:p w:rsidR="00F10D87" w:rsidRPr="00E95CA9" w:rsidRDefault="00F10D87" w:rsidP="00964016">
            <w:pPr>
              <w:keepNext/>
              <w:spacing w:after="0"/>
              <w:rPr>
                <w:rFonts w:cstheme="minorHAnsi"/>
                <w:color w:val="000000"/>
                <w:kern w:val="24"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583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keepNext/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124 (21.3)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keepNext/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55 (9.4)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keepNext/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keepNext/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Jordan</w:t>
            </w:r>
          </w:p>
        </w:tc>
        <w:tc>
          <w:tcPr>
            <w:tcW w:w="895" w:type="dxa"/>
          </w:tcPr>
          <w:p w:rsidR="00F10D87" w:rsidRPr="00E95CA9" w:rsidRDefault="00D57DEE" w:rsidP="00964016">
            <w:pPr>
              <w:keepNext/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271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D57DEE">
            <w:pPr>
              <w:keepNext/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28 (</w:t>
            </w:r>
            <w:r w:rsidR="00D57DEE">
              <w:rPr>
                <w:rFonts w:cstheme="minorHAnsi"/>
              </w:rPr>
              <w:t>10.3</w:t>
            </w:r>
            <w:r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F10D87" w:rsidP="007D00E7">
            <w:pPr>
              <w:keepNext/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33 (</w:t>
            </w:r>
            <w:r w:rsidR="007D00E7">
              <w:rPr>
                <w:rFonts w:cstheme="minorHAnsi"/>
              </w:rPr>
              <w:t>12.2</w:t>
            </w:r>
            <w:r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keepNext/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keepNext/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Kuwait</w:t>
            </w:r>
          </w:p>
        </w:tc>
        <w:tc>
          <w:tcPr>
            <w:tcW w:w="895" w:type="dxa"/>
          </w:tcPr>
          <w:p w:rsidR="00F10D87" w:rsidRPr="00E95CA9" w:rsidRDefault="00F10D87" w:rsidP="00964016">
            <w:pPr>
              <w:keepNext/>
              <w:spacing w:after="0"/>
              <w:rPr>
                <w:rFonts w:cstheme="minorHAnsi"/>
                <w:color w:val="000000"/>
                <w:kern w:val="24"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51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keepNext/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16 (31.4)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keepNext/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6 (11.8)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keepNext/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keepNext/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Lebanon</w:t>
            </w:r>
          </w:p>
        </w:tc>
        <w:tc>
          <w:tcPr>
            <w:tcW w:w="895" w:type="dxa"/>
          </w:tcPr>
          <w:p w:rsidR="00F10D87" w:rsidRPr="00E95CA9" w:rsidRDefault="00D57DEE" w:rsidP="00964016">
            <w:pPr>
              <w:keepNext/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348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D57DEE">
            <w:pPr>
              <w:keepNext/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49 (</w:t>
            </w:r>
            <w:r w:rsidR="00D57DEE">
              <w:rPr>
                <w:rFonts w:cstheme="minorHAnsi"/>
              </w:rPr>
              <w:t>14.1</w:t>
            </w:r>
            <w:r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F10D87" w:rsidP="007D00E7">
            <w:pPr>
              <w:keepNext/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40 (</w:t>
            </w:r>
            <w:r w:rsidR="007D00E7">
              <w:rPr>
                <w:rFonts w:cstheme="minorHAnsi"/>
              </w:rPr>
              <w:t>11.5</w:t>
            </w:r>
            <w:r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Oman</w:t>
            </w:r>
          </w:p>
        </w:tc>
        <w:tc>
          <w:tcPr>
            <w:tcW w:w="895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31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10 (32.3)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1 (3.2)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Saudi Arabia</w:t>
            </w:r>
          </w:p>
        </w:tc>
        <w:tc>
          <w:tcPr>
            <w:tcW w:w="895" w:type="dxa"/>
          </w:tcPr>
          <w:p w:rsidR="00F10D87" w:rsidRPr="00E95CA9" w:rsidRDefault="00D57DEE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519</w:t>
            </w:r>
          </w:p>
        </w:tc>
        <w:tc>
          <w:tcPr>
            <w:tcW w:w="2133" w:type="dxa"/>
          </w:tcPr>
          <w:p w:rsidR="00F10D87" w:rsidRPr="00E95CA9" w:rsidRDefault="00D57DEE" w:rsidP="00D57DE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  <w:r w:rsidRPr="00E95CA9">
              <w:rPr>
                <w:rFonts w:cstheme="minorHAnsi"/>
              </w:rPr>
              <w:t xml:space="preserve"> </w:t>
            </w:r>
            <w:r w:rsidR="00F10D87" w:rsidRPr="00E95CA9">
              <w:rPr>
                <w:rFonts w:cstheme="minorHAnsi"/>
              </w:rPr>
              <w:t>(</w:t>
            </w:r>
            <w:r>
              <w:rPr>
                <w:rFonts w:cstheme="minorHAnsi"/>
              </w:rPr>
              <w:t>20.2</w:t>
            </w:r>
            <w:r w:rsidR="00F10D87"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F10D87" w:rsidP="007D00E7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51 (</w:t>
            </w:r>
            <w:r w:rsidR="007D00E7">
              <w:rPr>
                <w:rFonts w:cstheme="minorHAnsi"/>
              </w:rPr>
              <w:t>9.8</w:t>
            </w:r>
            <w:r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Tunisia</w:t>
            </w:r>
          </w:p>
        </w:tc>
        <w:tc>
          <w:tcPr>
            <w:tcW w:w="895" w:type="dxa"/>
          </w:tcPr>
          <w:p w:rsidR="00F10D87" w:rsidRPr="00E95CA9" w:rsidRDefault="00D57DEE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214</w:t>
            </w:r>
          </w:p>
        </w:tc>
        <w:tc>
          <w:tcPr>
            <w:tcW w:w="2133" w:type="dxa"/>
            <w:vAlign w:val="center"/>
          </w:tcPr>
          <w:p w:rsidR="00F10D87" w:rsidRPr="00E95CA9" w:rsidRDefault="00F10D87" w:rsidP="00D57DEE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41 (</w:t>
            </w:r>
            <w:r w:rsidR="00D57DEE">
              <w:rPr>
                <w:rFonts w:cstheme="minorHAnsi"/>
              </w:rPr>
              <w:t>19.2</w:t>
            </w:r>
            <w:r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7D00E7" w:rsidP="007D00E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F10D87" w:rsidRPr="00E95CA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8.4</w:t>
            </w:r>
            <w:r w:rsidR="00F10D87"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UAE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10D87" w:rsidRPr="00E95CA9" w:rsidRDefault="007D00E7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95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10D87" w:rsidRPr="00E95CA9" w:rsidRDefault="007D00E7" w:rsidP="007D00E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10</w:t>
            </w:r>
            <w:r w:rsidRPr="00E95CA9">
              <w:rPr>
                <w:rFonts w:cstheme="minorHAnsi"/>
                <w:color w:val="000000" w:themeColor="text1"/>
                <w:kern w:val="24"/>
              </w:rPr>
              <w:t xml:space="preserve"> </w:t>
            </w:r>
            <w:r w:rsidR="00F10D87" w:rsidRPr="00E95CA9">
              <w:rPr>
                <w:rFonts w:cstheme="minorHAnsi"/>
                <w:color w:val="000000" w:themeColor="text1"/>
                <w:kern w:val="24"/>
              </w:rPr>
              <w:t>(</w:t>
            </w:r>
            <w:r>
              <w:rPr>
                <w:rFonts w:cstheme="minorHAnsi"/>
                <w:color w:val="000000" w:themeColor="text1"/>
                <w:kern w:val="24"/>
              </w:rPr>
              <w:t>10.5</w:t>
            </w:r>
            <w:r w:rsidR="00F10D87" w:rsidRPr="00E95CA9">
              <w:rPr>
                <w:rFonts w:cstheme="minorHAnsi"/>
                <w:color w:val="000000" w:themeColor="text1"/>
                <w:kern w:val="24"/>
              </w:rPr>
              <w:t>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10D87" w:rsidRPr="00E95CA9" w:rsidRDefault="00F10D87" w:rsidP="007D00E7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5 (</w:t>
            </w:r>
            <w:r w:rsidR="007D00E7">
              <w:rPr>
                <w:rFonts w:cstheme="minorHAnsi"/>
              </w:rPr>
              <w:t>5.3</w:t>
            </w:r>
            <w:r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Western Pacific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Australia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10D87" w:rsidRPr="00E95CA9" w:rsidRDefault="00D57DEE" w:rsidP="00D57DEE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167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F10D87" w:rsidRPr="00E95CA9" w:rsidRDefault="00F10D87" w:rsidP="00D57DEE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52 (</w:t>
            </w:r>
            <w:r w:rsidR="00D57DEE">
              <w:rPr>
                <w:rFonts w:cstheme="minorHAnsi"/>
              </w:rPr>
              <w:t>31.1</w:t>
            </w:r>
            <w:r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10D87" w:rsidRPr="00E95CA9" w:rsidRDefault="00F10D87" w:rsidP="00E53711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24 (</w:t>
            </w:r>
            <w:r w:rsidR="00E53711">
              <w:rPr>
                <w:rFonts w:cstheme="minorHAnsi"/>
              </w:rPr>
              <w:t>14.4</w:t>
            </w:r>
            <w:r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China</w:t>
            </w:r>
          </w:p>
        </w:tc>
        <w:tc>
          <w:tcPr>
            <w:tcW w:w="895" w:type="dxa"/>
          </w:tcPr>
          <w:p w:rsidR="00F10D87" w:rsidRPr="00E95CA9" w:rsidRDefault="00D57DEE" w:rsidP="00D57DEE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1,293</w:t>
            </w:r>
          </w:p>
        </w:tc>
        <w:tc>
          <w:tcPr>
            <w:tcW w:w="2133" w:type="dxa"/>
            <w:vAlign w:val="center"/>
          </w:tcPr>
          <w:p w:rsidR="00F10D87" w:rsidRPr="00E95CA9" w:rsidRDefault="00D57DEE" w:rsidP="00D57DE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  <w:r w:rsidR="00F10D87" w:rsidRPr="00E95CA9">
              <w:rPr>
                <w:rFonts w:cstheme="minorHAnsi"/>
              </w:rPr>
              <w:t xml:space="preserve"> (12.1)</w:t>
            </w:r>
          </w:p>
        </w:tc>
        <w:tc>
          <w:tcPr>
            <w:tcW w:w="2136" w:type="dxa"/>
          </w:tcPr>
          <w:p w:rsidR="00F10D87" w:rsidRPr="00E95CA9" w:rsidRDefault="00E53711" w:rsidP="00E5371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  <w:r w:rsidR="00F10D87" w:rsidRPr="00E95CA9">
              <w:rPr>
                <w:rFonts w:cstheme="minorHAnsi"/>
              </w:rPr>
              <w:t xml:space="preserve"> (10.4)</w:t>
            </w:r>
          </w:p>
        </w:tc>
      </w:tr>
      <w:tr w:rsidR="007D00E7" w:rsidRPr="00E95CA9" w:rsidTr="00F10D87">
        <w:trPr>
          <w:jc w:val="center"/>
        </w:trPr>
        <w:tc>
          <w:tcPr>
            <w:tcW w:w="1803" w:type="dxa"/>
            <w:vMerge/>
          </w:tcPr>
          <w:p w:rsidR="007D00E7" w:rsidRPr="00E95CA9" w:rsidRDefault="007D00E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7D00E7" w:rsidRPr="00E95CA9" w:rsidRDefault="007D00E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Japan</w:t>
            </w:r>
          </w:p>
        </w:tc>
        <w:tc>
          <w:tcPr>
            <w:tcW w:w="895" w:type="dxa"/>
          </w:tcPr>
          <w:p w:rsidR="007D00E7" w:rsidRPr="00E95CA9" w:rsidRDefault="00E53711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1869</w:t>
            </w:r>
          </w:p>
        </w:tc>
        <w:tc>
          <w:tcPr>
            <w:tcW w:w="2133" w:type="dxa"/>
            <w:vAlign w:val="center"/>
          </w:tcPr>
          <w:p w:rsidR="007D00E7" w:rsidRPr="00E95CA9" w:rsidDel="00D57DEE" w:rsidRDefault="00E53711" w:rsidP="00D57DE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476 (25.5)</w:t>
            </w:r>
          </w:p>
        </w:tc>
        <w:tc>
          <w:tcPr>
            <w:tcW w:w="2136" w:type="dxa"/>
          </w:tcPr>
          <w:p w:rsidR="007D00E7" w:rsidRPr="00E95CA9" w:rsidRDefault="00E53711" w:rsidP="009640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209 (11.2)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Malaysia</w:t>
            </w:r>
          </w:p>
        </w:tc>
        <w:tc>
          <w:tcPr>
            <w:tcW w:w="895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334</w:t>
            </w:r>
          </w:p>
        </w:tc>
        <w:tc>
          <w:tcPr>
            <w:tcW w:w="2133" w:type="dxa"/>
            <w:vAlign w:val="center"/>
          </w:tcPr>
          <w:p w:rsidR="00F10D87" w:rsidRPr="00E95CA9" w:rsidRDefault="00D57DEE" w:rsidP="00D57DE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  <w:r w:rsidR="00F10D87" w:rsidRPr="00E95CA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26.3</w:t>
            </w:r>
            <w:r w:rsidR="00F10D87"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30 (9.0)</w:t>
            </w:r>
          </w:p>
        </w:tc>
      </w:tr>
      <w:tr w:rsidR="00F10D87" w:rsidRPr="00E95CA9" w:rsidTr="00F10D87">
        <w:trPr>
          <w:jc w:val="center"/>
        </w:trPr>
        <w:tc>
          <w:tcPr>
            <w:tcW w:w="1803" w:type="dxa"/>
            <w:vMerge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South Korea</w:t>
            </w:r>
          </w:p>
        </w:tc>
        <w:tc>
          <w:tcPr>
            <w:tcW w:w="895" w:type="dxa"/>
          </w:tcPr>
          <w:p w:rsidR="00F10D87" w:rsidRPr="00E95CA9" w:rsidRDefault="00D57DEE" w:rsidP="00D57DEE">
            <w:pPr>
              <w:spacing w:after="0"/>
              <w:rPr>
                <w:rFonts w:cstheme="minorHAnsi"/>
                <w:color w:val="000000"/>
                <w:kern w:val="24"/>
              </w:rPr>
            </w:pPr>
            <w:r>
              <w:rPr>
                <w:rFonts w:cstheme="minorHAnsi"/>
                <w:color w:val="000000"/>
                <w:kern w:val="24"/>
              </w:rPr>
              <w:t>236</w:t>
            </w:r>
          </w:p>
        </w:tc>
        <w:tc>
          <w:tcPr>
            <w:tcW w:w="2133" w:type="dxa"/>
          </w:tcPr>
          <w:p w:rsidR="00F10D87" w:rsidRPr="00E95CA9" w:rsidRDefault="00D57DEE" w:rsidP="00D57DE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F10D87" w:rsidRPr="00E95CA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9.7</w:t>
            </w:r>
            <w:r w:rsidR="00F10D87" w:rsidRPr="00E95CA9">
              <w:rPr>
                <w:rFonts w:cstheme="minorHAnsi"/>
              </w:rPr>
              <w:t>)</w:t>
            </w:r>
          </w:p>
        </w:tc>
        <w:tc>
          <w:tcPr>
            <w:tcW w:w="2136" w:type="dxa"/>
          </w:tcPr>
          <w:p w:rsidR="00F10D87" w:rsidRPr="00E95CA9" w:rsidRDefault="00E53711" w:rsidP="00E5371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F10D87" w:rsidRPr="00E95CA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11.9</w:t>
            </w:r>
            <w:r w:rsidR="00F10D87" w:rsidRPr="00E95CA9">
              <w:rPr>
                <w:rFonts w:cstheme="minorHAnsi"/>
              </w:rPr>
              <w:t>)</w:t>
            </w:r>
          </w:p>
        </w:tc>
      </w:tr>
      <w:tr w:rsidR="00F10D87" w:rsidRPr="00E95CA9" w:rsidTr="00F10D87">
        <w:trPr>
          <w:trHeight w:val="60"/>
          <w:jc w:val="center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10D87" w:rsidRPr="00E95CA9" w:rsidRDefault="00F10D87" w:rsidP="00F10D87">
            <w:pPr>
              <w:spacing w:after="0"/>
              <w:rPr>
                <w:rFonts w:cstheme="minorHAnsi"/>
                <w:color w:val="000000" w:themeColor="text1"/>
                <w:kern w:val="24"/>
              </w:rPr>
            </w:pPr>
            <w:r w:rsidRPr="00E95CA9">
              <w:rPr>
                <w:rFonts w:cstheme="minorHAnsi"/>
                <w:color w:val="000000" w:themeColor="text1"/>
                <w:kern w:val="24"/>
              </w:rPr>
              <w:t>Taiwan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10D87" w:rsidRPr="00E95CA9" w:rsidRDefault="00F10D87" w:rsidP="00964016">
            <w:pPr>
              <w:spacing w:after="0"/>
              <w:rPr>
                <w:rFonts w:cstheme="minorHAnsi"/>
                <w:color w:val="000000"/>
                <w:kern w:val="24"/>
              </w:rPr>
            </w:pPr>
            <w:r w:rsidRPr="00E95CA9">
              <w:rPr>
                <w:rFonts w:cstheme="minorHAnsi"/>
                <w:color w:val="000000"/>
                <w:kern w:val="24"/>
              </w:rPr>
              <w:t>258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23 (8.9)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10D87" w:rsidRPr="00E95CA9" w:rsidRDefault="00F10D87" w:rsidP="00964016">
            <w:pPr>
              <w:spacing w:after="0"/>
              <w:rPr>
                <w:rFonts w:cstheme="minorHAnsi"/>
              </w:rPr>
            </w:pPr>
            <w:r w:rsidRPr="00E95CA9">
              <w:rPr>
                <w:rFonts w:cstheme="minorHAnsi"/>
              </w:rPr>
              <w:t>28 (10.9)</w:t>
            </w:r>
          </w:p>
        </w:tc>
      </w:tr>
    </w:tbl>
    <w:p w:rsidR="000D300F" w:rsidRPr="00E95CA9" w:rsidRDefault="006D5E1D" w:rsidP="004352D2">
      <w:pPr>
        <w:spacing w:after="0" w:line="480" w:lineRule="auto"/>
      </w:pPr>
      <w:r w:rsidRPr="00E95CA9">
        <w:t xml:space="preserve">Percentages </w:t>
      </w:r>
      <w:r w:rsidR="00A457DC" w:rsidRPr="00E95CA9">
        <w:t xml:space="preserve">were </w:t>
      </w:r>
      <w:r w:rsidRPr="00E95CA9">
        <w:t xml:space="preserve">calculated for all patients with data available; </w:t>
      </w:r>
      <w:r w:rsidR="00DA7928" w:rsidRPr="00E95CA9">
        <w:t>unreported</w:t>
      </w:r>
      <w:r w:rsidRPr="00E95CA9">
        <w:t xml:space="preserve"> data </w:t>
      </w:r>
      <w:r w:rsidR="00A457DC" w:rsidRPr="00E95CA9">
        <w:t xml:space="preserve">were </w:t>
      </w:r>
      <w:r w:rsidRPr="00E95CA9">
        <w:t>excluded</w:t>
      </w:r>
    </w:p>
    <w:p w:rsidR="00E471BE" w:rsidRDefault="006D5E1D" w:rsidP="004352D2">
      <w:pPr>
        <w:spacing w:after="0" w:line="480" w:lineRule="auto"/>
      </w:pPr>
      <w:r w:rsidRPr="00E43FC6">
        <w:rPr>
          <w:i/>
        </w:rPr>
        <w:t>UAE</w:t>
      </w:r>
      <w:r w:rsidR="000D300F" w:rsidRPr="00E95CA9">
        <w:t xml:space="preserve"> </w:t>
      </w:r>
      <w:r w:rsidRPr="00E95CA9">
        <w:t>United Arab Emirates</w:t>
      </w:r>
    </w:p>
    <w:p w:rsidR="00B41B8B" w:rsidRDefault="00E471BE">
      <w:pPr>
        <w:spacing w:after="200" w:line="276" w:lineRule="auto"/>
      </w:pPr>
      <w:r>
        <w:br w:type="page"/>
      </w:r>
    </w:p>
    <w:p w:rsidR="00E471BE" w:rsidRDefault="00E471BE">
      <w:pPr>
        <w:spacing w:after="200" w:line="276" w:lineRule="auto"/>
      </w:pPr>
    </w:p>
    <w:p w:rsidR="00B41B8B" w:rsidRDefault="00EB257F">
      <w:pPr>
        <w:spacing w:after="200" w:line="276" w:lineRule="auto"/>
      </w:pPr>
      <w:r>
        <w:rPr>
          <w:noProof/>
          <w:lang w:eastAsia="en-US"/>
        </w:rPr>
        <w:drawing>
          <wp:inline distT="0" distB="0" distL="0" distR="0">
            <wp:extent cx="5731510" cy="515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RD191-ZPB403 HS Suppl Fig 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B8B" w:rsidRPr="00E95CA9" w:rsidRDefault="00B41B8B" w:rsidP="00B41B8B">
      <w:pPr>
        <w:spacing w:line="480" w:lineRule="auto"/>
      </w:pPr>
      <w:r>
        <w:rPr>
          <w:b/>
        </w:rPr>
        <w:t>Fig</w:t>
      </w:r>
      <w:r w:rsidR="00013273">
        <w:rPr>
          <w:b/>
        </w:rPr>
        <w:t>ure</w:t>
      </w:r>
      <w:r>
        <w:rPr>
          <w:b/>
        </w:rPr>
        <w:t xml:space="preserve"> </w:t>
      </w:r>
      <w:proofErr w:type="spellStart"/>
      <w:r w:rsidR="00013273">
        <w:rPr>
          <w:b/>
        </w:rPr>
        <w:t>S</w:t>
      </w:r>
      <w:r>
        <w:rPr>
          <w:b/>
        </w:rPr>
        <w:t>1</w:t>
      </w:r>
      <w:proofErr w:type="spellEnd"/>
      <w:r>
        <w:rPr>
          <w:b/>
        </w:rPr>
        <w:t>.</w:t>
      </w:r>
      <w:r w:rsidRPr="00E95CA9">
        <w:rPr>
          <w:rFonts w:ascii="Times New Roman" w:hAnsi="Times New Roman" w:cs="Times New Roman"/>
          <w:b/>
        </w:rPr>
        <w:t xml:space="preserve"> </w:t>
      </w:r>
      <w:r>
        <w:t>Sensitivity</w:t>
      </w:r>
      <w:r w:rsidRPr="00E95CA9">
        <w:t xml:space="preserve"> analysis </w:t>
      </w:r>
      <w:r>
        <w:t>including only patients with complete data to assess</w:t>
      </w:r>
      <w:r w:rsidRPr="00E95CA9">
        <w:t xml:space="preserve"> factors associated with (A) microvascular and (B) macrovascular complications. </w:t>
      </w:r>
      <w:proofErr w:type="spellStart"/>
      <w:r w:rsidRPr="00233711">
        <w:rPr>
          <w:vertAlign w:val="superscript"/>
        </w:rPr>
        <w:t>a</w:t>
      </w:r>
      <w:r>
        <w:t>R</w:t>
      </w:r>
      <w:r w:rsidRPr="00E95CA9">
        <w:t>Rs</w:t>
      </w:r>
      <w:proofErr w:type="spellEnd"/>
      <w:r w:rsidRPr="00E95CA9">
        <w:t xml:space="preserve"> adjusted for all variables in the figure</w:t>
      </w:r>
      <w:r w:rsidRPr="00E471BE">
        <w:t xml:space="preserve"> </w:t>
      </w:r>
      <w:r w:rsidRPr="00E95CA9">
        <w:t>with the addition of SBP, total, cholesterol levels and comedication use</w:t>
      </w:r>
      <w:r w:rsidR="00CE5530">
        <w:t>,</w:t>
      </w:r>
      <w:r w:rsidRPr="00E95CA9">
        <w:t xml:space="preserve"> using a </w:t>
      </w:r>
      <w:r>
        <w:t xml:space="preserve">modified Poisson model with cluster-based sandwich variance estimator </w:t>
      </w:r>
      <w:r w:rsidRPr="00E95CA9">
        <w:t>as described in the Methods.</w:t>
      </w:r>
      <w:r>
        <w:t xml:space="preserve"> R</w:t>
      </w:r>
      <w:r w:rsidRPr="00E95CA9">
        <w:t>Rs for the associations between complication prevalence and SBP, total cholesterol levels, and comedication use are not reported due to reverse-causality.</w:t>
      </w:r>
      <w:r w:rsidRPr="00E95CA9">
        <w:rPr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b</w:t>
      </w:r>
      <w:r w:rsidRPr="00E95CA9">
        <w:t>Minor</w:t>
      </w:r>
      <w:proofErr w:type="spellEnd"/>
      <w:r w:rsidRPr="00E95CA9">
        <w:t xml:space="preserve"> hypoglycemic event in the previous month or major hypoglycemic event in the previous year. </w:t>
      </w:r>
      <w:r w:rsidRPr="00233711">
        <w:rPr>
          <w:rFonts w:cstheme="minorHAnsi"/>
          <w:i/>
        </w:rPr>
        <w:t>BMI</w:t>
      </w:r>
      <w:r w:rsidRPr="00E95CA9">
        <w:rPr>
          <w:rFonts w:cstheme="minorHAnsi"/>
        </w:rPr>
        <w:t xml:space="preserve"> body mass index, </w:t>
      </w:r>
      <w:r w:rsidRPr="00233711">
        <w:rPr>
          <w:rFonts w:cstheme="minorHAnsi"/>
          <w:i/>
        </w:rPr>
        <w:t>CI</w:t>
      </w:r>
      <w:r w:rsidRPr="00E95CA9">
        <w:rPr>
          <w:rFonts w:cstheme="minorHAnsi"/>
        </w:rPr>
        <w:t xml:space="preserve"> confidence interval, </w:t>
      </w:r>
      <w:r w:rsidRPr="00233711">
        <w:rPr>
          <w:rFonts w:cstheme="minorHAnsi"/>
          <w:i/>
        </w:rPr>
        <w:t>HbA</w:t>
      </w:r>
      <w:r w:rsidRPr="00233711">
        <w:rPr>
          <w:rFonts w:cstheme="minorHAnsi"/>
          <w:i/>
          <w:vertAlign w:val="subscript"/>
        </w:rPr>
        <w:t>1c</w:t>
      </w:r>
      <w:r w:rsidRPr="00E95CA9">
        <w:rPr>
          <w:rFonts w:cstheme="minorHAnsi"/>
        </w:rPr>
        <w:t xml:space="preserve"> glycated hemoglobin, </w:t>
      </w:r>
      <w:r w:rsidRPr="00233711">
        <w:rPr>
          <w:rFonts w:cstheme="minorHAnsi"/>
          <w:i/>
        </w:rPr>
        <w:t>OR</w:t>
      </w:r>
      <w:r w:rsidRPr="00E95CA9">
        <w:rPr>
          <w:rFonts w:cstheme="minorHAnsi"/>
        </w:rPr>
        <w:t xml:space="preserve"> odds ratio</w:t>
      </w:r>
    </w:p>
    <w:p w:rsidR="00B41B8B" w:rsidRDefault="00B41B8B">
      <w:pPr>
        <w:spacing w:after="200" w:line="276" w:lineRule="auto"/>
      </w:pPr>
    </w:p>
    <w:p w:rsidR="00E471BE" w:rsidRDefault="00EB257F" w:rsidP="00E471BE">
      <w:pPr>
        <w:spacing w:line="480" w:lineRule="auto"/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5731510" cy="798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ZRD191-ZPB403 HS Suppl Fig 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BE" w:rsidRPr="00E95CA9" w:rsidRDefault="00E471BE" w:rsidP="00E471BE">
      <w:pPr>
        <w:spacing w:line="480" w:lineRule="auto"/>
      </w:pPr>
      <w:r>
        <w:rPr>
          <w:b/>
        </w:rPr>
        <w:lastRenderedPageBreak/>
        <w:t>Fig</w:t>
      </w:r>
      <w:r w:rsidR="00013273">
        <w:rPr>
          <w:b/>
        </w:rPr>
        <w:t>ure</w:t>
      </w:r>
      <w:r>
        <w:rPr>
          <w:b/>
        </w:rPr>
        <w:t xml:space="preserve"> </w:t>
      </w:r>
      <w:proofErr w:type="spellStart"/>
      <w:r w:rsidR="00013273">
        <w:rPr>
          <w:b/>
        </w:rPr>
        <w:t>S</w:t>
      </w:r>
      <w:r w:rsidR="00B41B8B">
        <w:rPr>
          <w:b/>
        </w:rPr>
        <w:t>2</w:t>
      </w:r>
      <w:proofErr w:type="spellEnd"/>
      <w:r>
        <w:rPr>
          <w:b/>
        </w:rPr>
        <w:t>.</w:t>
      </w:r>
      <w:r w:rsidRPr="00E95CA9">
        <w:rPr>
          <w:rFonts w:ascii="Times New Roman" w:hAnsi="Times New Roman" w:cs="Times New Roman"/>
          <w:b/>
        </w:rPr>
        <w:t xml:space="preserve"> </w:t>
      </w:r>
      <w:r>
        <w:t>Sensitivity</w:t>
      </w:r>
      <w:r w:rsidRPr="00E95CA9">
        <w:t xml:space="preserve"> analysis </w:t>
      </w:r>
      <w:r w:rsidR="00B133A1">
        <w:t xml:space="preserve">with additional variables for site specialty and </w:t>
      </w:r>
      <w:bookmarkStart w:id="1" w:name="_GoBack"/>
      <w:bookmarkEnd w:id="1"/>
      <w:r w:rsidR="00B133A1">
        <w:t xml:space="preserve">patient-reported ethnicity </w:t>
      </w:r>
      <w:r>
        <w:t>to assess</w:t>
      </w:r>
      <w:r w:rsidRPr="00E95CA9">
        <w:t xml:space="preserve"> factors associated with (A) microvascular and (B) macrovascular complications. </w:t>
      </w:r>
      <w:proofErr w:type="spellStart"/>
      <w:r w:rsidRPr="00233711">
        <w:rPr>
          <w:vertAlign w:val="superscript"/>
        </w:rPr>
        <w:t>a</w:t>
      </w:r>
      <w:r>
        <w:t>R</w:t>
      </w:r>
      <w:r w:rsidRPr="00E95CA9">
        <w:t>Rs</w:t>
      </w:r>
      <w:proofErr w:type="spellEnd"/>
      <w:r w:rsidRPr="00E95CA9">
        <w:t xml:space="preserve"> adjusted for all variables in the figure</w:t>
      </w:r>
      <w:r w:rsidRPr="00E471BE">
        <w:t xml:space="preserve"> </w:t>
      </w:r>
      <w:r w:rsidRPr="00E95CA9">
        <w:t xml:space="preserve">with the addition of SBP, total, cholesterol levels and comedication use, using a </w:t>
      </w:r>
      <w:r>
        <w:t xml:space="preserve">modified Poisson model with cluster-based sandwich variance estimator </w:t>
      </w:r>
      <w:r w:rsidRPr="00E95CA9">
        <w:t>as described in the Methods.</w:t>
      </w:r>
      <w:r w:rsidR="00B133A1">
        <w:t xml:space="preserve"> R</w:t>
      </w:r>
      <w:r w:rsidR="00B133A1" w:rsidRPr="00E95CA9">
        <w:t>Rs for the associations between complication prevalence and SBP, total cholesterol levels, and comedication use are not reported due to reverse-causality.</w:t>
      </w:r>
      <w:r w:rsidR="00B133A1" w:rsidRPr="00E95CA9">
        <w:rPr>
          <w:vertAlign w:val="superscript"/>
        </w:rPr>
        <w:t xml:space="preserve"> </w:t>
      </w:r>
      <w:proofErr w:type="spellStart"/>
      <w:r w:rsidR="00B133A1">
        <w:rPr>
          <w:rFonts w:ascii="Times New Roman" w:hAnsi="Times New Roman" w:cs="Times New Roman"/>
          <w:vertAlign w:val="superscript"/>
        </w:rPr>
        <w:t>b</w:t>
      </w:r>
      <w:r w:rsidR="00B133A1" w:rsidRPr="00E95CA9">
        <w:t>Minor</w:t>
      </w:r>
      <w:proofErr w:type="spellEnd"/>
      <w:r w:rsidR="00B133A1" w:rsidRPr="00E95CA9">
        <w:t xml:space="preserve"> hypoglycemic event in the previous month or major hypoglycemic event in the previous year. </w:t>
      </w:r>
      <w:r w:rsidR="00B133A1" w:rsidRPr="00233711">
        <w:rPr>
          <w:rFonts w:cstheme="minorHAnsi"/>
          <w:i/>
        </w:rPr>
        <w:t>BMI</w:t>
      </w:r>
      <w:r w:rsidR="00B133A1" w:rsidRPr="00E95CA9">
        <w:rPr>
          <w:rFonts w:cstheme="minorHAnsi"/>
        </w:rPr>
        <w:t xml:space="preserve"> body mass index, </w:t>
      </w:r>
      <w:r w:rsidR="00B133A1" w:rsidRPr="00233711">
        <w:rPr>
          <w:rFonts w:cstheme="minorHAnsi"/>
          <w:i/>
        </w:rPr>
        <w:t>CI</w:t>
      </w:r>
      <w:r w:rsidR="00B133A1" w:rsidRPr="00E95CA9">
        <w:rPr>
          <w:rFonts w:cstheme="minorHAnsi"/>
        </w:rPr>
        <w:t xml:space="preserve"> confidence interval, </w:t>
      </w:r>
      <w:r w:rsidR="00B133A1" w:rsidRPr="00233711">
        <w:rPr>
          <w:rFonts w:cstheme="minorHAnsi"/>
          <w:i/>
        </w:rPr>
        <w:t>HbA</w:t>
      </w:r>
      <w:r w:rsidR="00B133A1" w:rsidRPr="00233711">
        <w:rPr>
          <w:rFonts w:cstheme="minorHAnsi"/>
          <w:i/>
          <w:vertAlign w:val="subscript"/>
        </w:rPr>
        <w:t>1c</w:t>
      </w:r>
      <w:r w:rsidR="00B133A1" w:rsidRPr="00E95CA9">
        <w:rPr>
          <w:rFonts w:cstheme="minorHAnsi"/>
        </w:rPr>
        <w:t xml:space="preserve"> glycated hemoglobin, </w:t>
      </w:r>
      <w:r w:rsidR="00B133A1" w:rsidRPr="00233711">
        <w:rPr>
          <w:rFonts w:cstheme="minorHAnsi"/>
          <w:i/>
        </w:rPr>
        <w:t>OR</w:t>
      </w:r>
      <w:r w:rsidR="00B133A1" w:rsidRPr="00E95CA9">
        <w:rPr>
          <w:rFonts w:cstheme="minorHAnsi"/>
        </w:rPr>
        <w:t xml:space="preserve"> odds ratio</w:t>
      </w:r>
    </w:p>
    <w:sectPr w:rsidR="00E471BE" w:rsidRPr="00E95CA9" w:rsidSect="00F10D87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00" w:rsidRDefault="00A75000" w:rsidP="00872BEF">
      <w:r>
        <w:separator/>
      </w:r>
    </w:p>
  </w:endnote>
  <w:endnote w:type="continuationSeparator" w:id="0">
    <w:p w:rsidR="00A75000" w:rsidRDefault="00A75000" w:rsidP="00872BEF">
      <w:r>
        <w:continuationSeparator/>
      </w:r>
    </w:p>
  </w:endnote>
  <w:endnote w:type="continuationNotice" w:id="1">
    <w:p w:rsidR="00A75000" w:rsidRDefault="00A7500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A1" w:rsidRDefault="00B133A1" w:rsidP="00872BEF">
    <w:pPr>
      <w:pStyle w:val="Footer"/>
    </w:pPr>
    <w:r>
      <w:rPr>
        <w:noProof/>
      </w:rPr>
      <w:tab/>
    </w:r>
    <w:r>
      <w:rPr>
        <w:noProof/>
      </w:rPr>
      <w:tab/>
    </w:r>
    <w:sdt>
      <w:sdtPr>
        <w:id w:val="-1901197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5263">
          <w:rPr>
            <w:noProof/>
          </w:rPr>
          <w:fldChar w:fldCharType="begin"/>
        </w:r>
        <w:r w:rsidR="00A92A64">
          <w:rPr>
            <w:noProof/>
          </w:rPr>
          <w:instrText xml:space="preserve"> PAGE   \* MERGEFORMAT </w:instrText>
        </w:r>
        <w:r w:rsidR="00065263">
          <w:rPr>
            <w:noProof/>
          </w:rPr>
          <w:fldChar w:fldCharType="separate"/>
        </w:r>
        <w:r w:rsidR="00013273">
          <w:rPr>
            <w:noProof/>
          </w:rPr>
          <w:t>1</w:t>
        </w:r>
        <w:r w:rsidR="00065263"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A1" w:rsidRDefault="00B133A1" w:rsidP="00223F43">
    <w:pPr>
      <w:pStyle w:val="Footer"/>
      <w:tabs>
        <w:tab w:val="left" w:pos="8654"/>
      </w:tabs>
    </w:pPr>
    <w:r>
      <w:rPr>
        <w:noProof/>
      </w:rPr>
      <w:tab/>
    </w:r>
    <w:r>
      <w:rPr>
        <w:noProof/>
      </w:rPr>
      <w:tab/>
    </w:r>
    <w:sdt>
      <w:sdtPr>
        <w:id w:val="-1976830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5263">
          <w:rPr>
            <w:noProof/>
          </w:rPr>
          <w:fldChar w:fldCharType="begin"/>
        </w:r>
        <w:r w:rsidR="00A92A64">
          <w:rPr>
            <w:noProof/>
          </w:rPr>
          <w:instrText xml:space="preserve"> PAGE   \* MERGEFORMAT </w:instrText>
        </w:r>
        <w:r w:rsidR="00065263">
          <w:rPr>
            <w:noProof/>
          </w:rPr>
          <w:fldChar w:fldCharType="separate"/>
        </w:r>
        <w:r w:rsidR="00013273">
          <w:rPr>
            <w:noProof/>
          </w:rPr>
          <w:t>8</w:t>
        </w:r>
        <w:r w:rsidR="00065263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00" w:rsidRDefault="00A75000" w:rsidP="00872BEF">
      <w:r>
        <w:separator/>
      </w:r>
    </w:p>
  </w:footnote>
  <w:footnote w:type="continuationSeparator" w:id="0">
    <w:p w:rsidR="00A75000" w:rsidRDefault="00A75000" w:rsidP="00872BEF">
      <w:r>
        <w:continuationSeparator/>
      </w:r>
    </w:p>
  </w:footnote>
  <w:footnote w:type="continuationNotice" w:id="1">
    <w:p w:rsidR="00A75000" w:rsidRDefault="00A7500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8CC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EA6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88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D6B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347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20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C6D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F6D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58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72B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344B8"/>
    <w:multiLevelType w:val="hybridMultilevel"/>
    <w:tmpl w:val="0C8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82047D"/>
    <w:multiLevelType w:val="hybridMultilevel"/>
    <w:tmpl w:val="9D1A63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5500D87"/>
    <w:multiLevelType w:val="hybridMultilevel"/>
    <w:tmpl w:val="707E1D3A"/>
    <w:lvl w:ilvl="0" w:tplc="75B8AE3A">
      <w:start w:val="2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0A5D478F"/>
    <w:multiLevelType w:val="hybridMultilevel"/>
    <w:tmpl w:val="B9769038"/>
    <w:lvl w:ilvl="0" w:tplc="05640978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12E04"/>
    <w:multiLevelType w:val="hybridMultilevel"/>
    <w:tmpl w:val="1A6055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BE55152"/>
    <w:multiLevelType w:val="hybridMultilevel"/>
    <w:tmpl w:val="DCEC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47DC3"/>
    <w:multiLevelType w:val="hybridMultilevel"/>
    <w:tmpl w:val="E79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E5C17"/>
    <w:multiLevelType w:val="multilevel"/>
    <w:tmpl w:val="CBFC3770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2C8D612B"/>
    <w:multiLevelType w:val="hybridMultilevel"/>
    <w:tmpl w:val="D2407774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301C56F8"/>
    <w:multiLevelType w:val="hybridMultilevel"/>
    <w:tmpl w:val="4E6881C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27321C7"/>
    <w:multiLevelType w:val="multilevel"/>
    <w:tmpl w:val="DAFEBE6C"/>
    <w:styleLink w:val="Style1"/>
    <w:lvl w:ilvl="0"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21">
    <w:nsid w:val="369E7982"/>
    <w:multiLevelType w:val="multilevel"/>
    <w:tmpl w:val="7240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C74F6"/>
    <w:multiLevelType w:val="hybridMultilevel"/>
    <w:tmpl w:val="B6209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FF3C79"/>
    <w:multiLevelType w:val="hybridMultilevel"/>
    <w:tmpl w:val="2854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C4E03"/>
    <w:multiLevelType w:val="hybridMultilevel"/>
    <w:tmpl w:val="350C987E"/>
    <w:lvl w:ilvl="0" w:tplc="3488D60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1867D36"/>
    <w:multiLevelType w:val="hybridMultilevel"/>
    <w:tmpl w:val="8C8A18B2"/>
    <w:lvl w:ilvl="0" w:tplc="3488D60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2BC2F65"/>
    <w:multiLevelType w:val="hybridMultilevel"/>
    <w:tmpl w:val="F6E078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C317BA"/>
    <w:multiLevelType w:val="hybridMultilevel"/>
    <w:tmpl w:val="FC28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B71AC"/>
    <w:multiLevelType w:val="hybridMultilevel"/>
    <w:tmpl w:val="489AAA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DF03CF"/>
    <w:multiLevelType w:val="hybridMultilevel"/>
    <w:tmpl w:val="D226BA54"/>
    <w:lvl w:ilvl="0" w:tplc="B5BEDBE0">
      <w:numFmt w:val="bullet"/>
      <w:lvlText w:val="-"/>
      <w:lvlJc w:val="left"/>
      <w:pPr>
        <w:ind w:left="720" w:hanging="360"/>
      </w:pPr>
      <w:rPr>
        <w:rFonts w:ascii="TimesNewRoman" w:eastAsiaTheme="minorEastAsia" w:hAnsi="TimesNewRoman" w:cs="TimesNewRoman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77444"/>
    <w:multiLevelType w:val="hybridMultilevel"/>
    <w:tmpl w:val="4A7C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931EE"/>
    <w:multiLevelType w:val="hybridMultilevel"/>
    <w:tmpl w:val="76DA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B673C"/>
    <w:multiLevelType w:val="hybridMultilevel"/>
    <w:tmpl w:val="C562E508"/>
    <w:lvl w:ilvl="0" w:tplc="EB6AF63C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5499B"/>
    <w:multiLevelType w:val="multilevel"/>
    <w:tmpl w:val="206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30680B"/>
    <w:multiLevelType w:val="multilevel"/>
    <w:tmpl w:val="9C9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831F9"/>
    <w:multiLevelType w:val="hybridMultilevel"/>
    <w:tmpl w:val="9D7C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429BC"/>
    <w:multiLevelType w:val="hybridMultilevel"/>
    <w:tmpl w:val="A4AE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27"/>
  </w:num>
  <w:num w:numId="18">
    <w:abstractNumId w:val="25"/>
  </w:num>
  <w:num w:numId="19">
    <w:abstractNumId w:val="22"/>
  </w:num>
  <w:num w:numId="20">
    <w:abstractNumId w:val="28"/>
  </w:num>
  <w:num w:numId="21">
    <w:abstractNumId w:val="14"/>
  </w:num>
  <w:num w:numId="22">
    <w:abstractNumId w:val="11"/>
  </w:num>
  <w:num w:numId="23">
    <w:abstractNumId w:val="24"/>
  </w:num>
  <w:num w:numId="24">
    <w:abstractNumId w:val="31"/>
  </w:num>
  <w:num w:numId="25">
    <w:abstractNumId w:val="16"/>
  </w:num>
  <w:num w:numId="26">
    <w:abstractNumId w:val="35"/>
  </w:num>
  <w:num w:numId="27">
    <w:abstractNumId w:val="30"/>
  </w:num>
  <w:num w:numId="28">
    <w:abstractNumId w:val="36"/>
  </w:num>
  <w:num w:numId="29">
    <w:abstractNumId w:val="29"/>
  </w:num>
  <w:num w:numId="30">
    <w:abstractNumId w:val="23"/>
  </w:num>
  <w:num w:numId="31">
    <w:abstractNumId w:val="12"/>
  </w:num>
  <w:num w:numId="32">
    <w:abstractNumId w:val="21"/>
  </w:num>
  <w:num w:numId="33">
    <w:abstractNumId w:val="33"/>
  </w:num>
  <w:num w:numId="34">
    <w:abstractNumId w:val="34"/>
  </w:num>
  <w:num w:numId="35">
    <w:abstractNumId w:val="10"/>
  </w:num>
  <w:num w:numId="36">
    <w:abstractNumId w:val="19"/>
  </w:num>
  <w:num w:numId="37">
    <w:abstractNumId w:val="17"/>
  </w:num>
  <w:num w:numId="38">
    <w:abstractNumId w:val="17"/>
  </w:num>
  <w:num w:numId="39">
    <w:abstractNumId w:val="26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1024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P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9d2zpau9dpedex0sopv0dp0ptdv9vwd2e2&quot;&gt;AZRD179 Complication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EA552E"/>
    <w:rsid w:val="00000AE6"/>
    <w:rsid w:val="000051E8"/>
    <w:rsid w:val="00007C24"/>
    <w:rsid w:val="00012372"/>
    <w:rsid w:val="00013273"/>
    <w:rsid w:val="00013775"/>
    <w:rsid w:val="00015E4F"/>
    <w:rsid w:val="00016272"/>
    <w:rsid w:val="00020958"/>
    <w:rsid w:val="00024060"/>
    <w:rsid w:val="000246DD"/>
    <w:rsid w:val="000250C7"/>
    <w:rsid w:val="000251D9"/>
    <w:rsid w:val="00027BCC"/>
    <w:rsid w:val="00032C1C"/>
    <w:rsid w:val="0003453D"/>
    <w:rsid w:val="00040085"/>
    <w:rsid w:val="0004011A"/>
    <w:rsid w:val="000413CF"/>
    <w:rsid w:val="0004282E"/>
    <w:rsid w:val="00043D5B"/>
    <w:rsid w:val="00045F9B"/>
    <w:rsid w:val="00046DAD"/>
    <w:rsid w:val="00046DB6"/>
    <w:rsid w:val="00047BD1"/>
    <w:rsid w:val="00047FEA"/>
    <w:rsid w:val="00061725"/>
    <w:rsid w:val="00061E03"/>
    <w:rsid w:val="00065263"/>
    <w:rsid w:val="00066B08"/>
    <w:rsid w:val="000708F6"/>
    <w:rsid w:val="00074269"/>
    <w:rsid w:val="00080D3B"/>
    <w:rsid w:val="000839E6"/>
    <w:rsid w:val="000843DC"/>
    <w:rsid w:val="00085144"/>
    <w:rsid w:val="0008586C"/>
    <w:rsid w:val="000866C2"/>
    <w:rsid w:val="000911DC"/>
    <w:rsid w:val="0009609F"/>
    <w:rsid w:val="0009682C"/>
    <w:rsid w:val="0009692F"/>
    <w:rsid w:val="000971FC"/>
    <w:rsid w:val="000A48DA"/>
    <w:rsid w:val="000A7785"/>
    <w:rsid w:val="000B46BA"/>
    <w:rsid w:val="000C0CEF"/>
    <w:rsid w:val="000C32BC"/>
    <w:rsid w:val="000C3F2B"/>
    <w:rsid w:val="000C5AD8"/>
    <w:rsid w:val="000C5FA3"/>
    <w:rsid w:val="000C679D"/>
    <w:rsid w:val="000D1F44"/>
    <w:rsid w:val="000D300F"/>
    <w:rsid w:val="000D7651"/>
    <w:rsid w:val="000E3A47"/>
    <w:rsid w:val="000E7469"/>
    <w:rsid w:val="000E7670"/>
    <w:rsid w:val="000F12BE"/>
    <w:rsid w:val="000F38B5"/>
    <w:rsid w:val="000F7EAF"/>
    <w:rsid w:val="001018C1"/>
    <w:rsid w:val="00102E74"/>
    <w:rsid w:val="0010399B"/>
    <w:rsid w:val="00103C00"/>
    <w:rsid w:val="00104DEF"/>
    <w:rsid w:val="00107EEB"/>
    <w:rsid w:val="00113720"/>
    <w:rsid w:val="00113A89"/>
    <w:rsid w:val="0012531D"/>
    <w:rsid w:val="001259D2"/>
    <w:rsid w:val="0012613B"/>
    <w:rsid w:val="00126BFC"/>
    <w:rsid w:val="00130F64"/>
    <w:rsid w:val="00131EC1"/>
    <w:rsid w:val="00133C55"/>
    <w:rsid w:val="0013456E"/>
    <w:rsid w:val="00134E83"/>
    <w:rsid w:val="00135DFB"/>
    <w:rsid w:val="00143065"/>
    <w:rsid w:val="00143490"/>
    <w:rsid w:val="00144D4B"/>
    <w:rsid w:val="00150477"/>
    <w:rsid w:val="00154088"/>
    <w:rsid w:val="001558F3"/>
    <w:rsid w:val="00156BED"/>
    <w:rsid w:val="0015740B"/>
    <w:rsid w:val="00161093"/>
    <w:rsid w:val="00161FED"/>
    <w:rsid w:val="00162561"/>
    <w:rsid w:val="0016458D"/>
    <w:rsid w:val="00170EE7"/>
    <w:rsid w:val="00171660"/>
    <w:rsid w:val="00176FE7"/>
    <w:rsid w:val="00177F86"/>
    <w:rsid w:val="00181138"/>
    <w:rsid w:val="00181729"/>
    <w:rsid w:val="0018196A"/>
    <w:rsid w:val="001825BA"/>
    <w:rsid w:val="00184892"/>
    <w:rsid w:val="00184B1C"/>
    <w:rsid w:val="00191083"/>
    <w:rsid w:val="001912C5"/>
    <w:rsid w:val="00191D75"/>
    <w:rsid w:val="00192FF2"/>
    <w:rsid w:val="00193A43"/>
    <w:rsid w:val="0019602C"/>
    <w:rsid w:val="00196D39"/>
    <w:rsid w:val="001A290F"/>
    <w:rsid w:val="001A3B9F"/>
    <w:rsid w:val="001A3FD0"/>
    <w:rsid w:val="001A4ABE"/>
    <w:rsid w:val="001A4BCD"/>
    <w:rsid w:val="001A656B"/>
    <w:rsid w:val="001B071A"/>
    <w:rsid w:val="001B4C7B"/>
    <w:rsid w:val="001B4F7F"/>
    <w:rsid w:val="001B67B9"/>
    <w:rsid w:val="001B7D6B"/>
    <w:rsid w:val="001C0C4B"/>
    <w:rsid w:val="001C0D0D"/>
    <w:rsid w:val="001C0E9B"/>
    <w:rsid w:val="001C3FEC"/>
    <w:rsid w:val="001C7C7A"/>
    <w:rsid w:val="001D1154"/>
    <w:rsid w:val="001D1899"/>
    <w:rsid w:val="001D2FE9"/>
    <w:rsid w:val="001D6115"/>
    <w:rsid w:val="001D6DBD"/>
    <w:rsid w:val="001D7AEB"/>
    <w:rsid w:val="001E0918"/>
    <w:rsid w:val="001E0958"/>
    <w:rsid w:val="001E3B16"/>
    <w:rsid w:val="001E4880"/>
    <w:rsid w:val="001E4C95"/>
    <w:rsid w:val="001E758F"/>
    <w:rsid w:val="001F1F91"/>
    <w:rsid w:val="001F2452"/>
    <w:rsid w:val="001F361F"/>
    <w:rsid w:val="001F55C9"/>
    <w:rsid w:val="001F5A73"/>
    <w:rsid w:val="001F5D90"/>
    <w:rsid w:val="001F6BC4"/>
    <w:rsid w:val="001F6DF3"/>
    <w:rsid w:val="001F7980"/>
    <w:rsid w:val="00205033"/>
    <w:rsid w:val="0020648F"/>
    <w:rsid w:val="00207E42"/>
    <w:rsid w:val="002104B3"/>
    <w:rsid w:val="00210F81"/>
    <w:rsid w:val="002114BB"/>
    <w:rsid w:val="002127DC"/>
    <w:rsid w:val="00213399"/>
    <w:rsid w:val="0021520E"/>
    <w:rsid w:val="00216FF0"/>
    <w:rsid w:val="00221B0A"/>
    <w:rsid w:val="00222E60"/>
    <w:rsid w:val="00223E0A"/>
    <w:rsid w:val="00223F43"/>
    <w:rsid w:val="002246C1"/>
    <w:rsid w:val="002255CC"/>
    <w:rsid w:val="00226722"/>
    <w:rsid w:val="00230296"/>
    <w:rsid w:val="00233711"/>
    <w:rsid w:val="00236046"/>
    <w:rsid w:val="002409BF"/>
    <w:rsid w:val="00241392"/>
    <w:rsid w:val="00242151"/>
    <w:rsid w:val="00246086"/>
    <w:rsid w:val="002468BB"/>
    <w:rsid w:val="002474C5"/>
    <w:rsid w:val="0024773E"/>
    <w:rsid w:val="0025081B"/>
    <w:rsid w:val="00254B50"/>
    <w:rsid w:val="00255260"/>
    <w:rsid w:val="00256214"/>
    <w:rsid w:val="00260E55"/>
    <w:rsid w:val="00260FB8"/>
    <w:rsid w:val="00264112"/>
    <w:rsid w:val="002652C2"/>
    <w:rsid w:val="00265F5A"/>
    <w:rsid w:val="00266437"/>
    <w:rsid w:val="00267853"/>
    <w:rsid w:val="002700A6"/>
    <w:rsid w:val="00271726"/>
    <w:rsid w:val="00276356"/>
    <w:rsid w:val="00280F46"/>
    <w:rsid w:val="002819F8"/>
    <w:rsid w:val="00290F40"/>
    <w:rsid w:val="002923A5"/>
    <w:rsid w:val="002956B1"/>
    <w:rsid w:val="002976A2"/>
    <w:rsid w:val="002A1780"/>
    <w:rsid w:val="002A1D44"/>
    <w:rsid w:val="002A2753"/>
    <w:rsid w:val="002B005A"/>
    <w:rsid w:val="002B2CB5"/>
    <w:rsid w:val="002B4281"/>
    <w:rsid w:val="002B6130"/>
    <w:rsid w:val="002C483E"/>
    <w:rsid w:val="002C72A1"/>
    <w:rsid w:val="002C7D6D"/>
    <w:rsid w:val="002D15F4"/>
    <w:rsid w:val="002D64C1"/>
    <w:rsid w:val="002D7950"/>
    <w:rsid w:val="002E0D9B"/>
    <w:rsid w:val="002E1B3A"/>
    <w:rsid w:val="002E2FFE"/>
    <w:rsid w:val="002E318F"/>
    <w:rsid w:val="002E32B6"/>
    <w:rsid w:val="002E3B21"/>
    <w:rsid w:val="002E46D9"/>
    <w:rsid w:val="002E4E1B"/>
    <w:rsid w:val="002E5ED6"/>
    <w:rsid w:val="002E7A20"/>
    <w:rsid w:val="002F3FDC"/>
    <w:rsid w:val="002F55E8"/>
    <w:rsid w:val="002F6F3D"/>
    <w:rsid w:val="003029FC"/>
    <w:rsid w:val="00306DBD"/>
    <w:rsid w:val="00310A30"/>
    <w:rsid w:val="00310C53"/>
    <w:rsid w:val="00311706"/>
    <w:rsid w:val="0031226D"/>
    <w:rsid w:val="003150BA"/>
    <w:rsid w:val="00317036"/>
    <w:rsid w:val="003206D3"/>
    <w:rsid w:val="00321303"/>
    <w:rsid w:val="00322F26"/>
    <w:rsid w:val="00322F8E"/>
    <w:rsid w:val="0032371D"/>
    <w:rsid w:val="00324BBC"/>
    <w:rsid w:val="0032567B"/>
    <w:rsid w:val="003260BE"/>
    <w:rsid w:val="00333263"/>
    <w:rsid w:val="003365F2"/>
    <w:rsid w:val="00336E41"/>
    <w:rsid w:val="00341470"/>
    <w:rsid w:val="00343ECF"/>
    <w:rsid w:val="003445F3"/>
    <w:rsid w:val="00345ACD"/>
    <w:rsid w:val="00346218"/>
    <w:rsid w:val="00346A5E"/>
    <w:rsid w:val="00346FBF"/>
    <w:rsid w:val="003505CD"/>
    <w:rsid w:val="00353AD4"/>
    <w:rsid w:val="00353E2B"/>
    <w:rsid w:val="00356E23"/>
    <w:rsid w:val="00356F3B"/>
    <w:rsid w:val="00363713"/>
    <w:rsid w:val="00364076"/>
    <w:rsid w:val="0036434C"/>
    <w:rsid w:val="00367AD4"/>
    <w:rsid w:val="00370F43"/>
    <w:rsid w:val="003734E8"/>
    <w:rsid w:val="003742C6"/>
    <w:rsid w:val="00375733"/>
    <w:rsid w:val="00376472"/>
    <w:rsid w:val="003858C5"/>
    <w:rsid w:val="00392413"/>
    <w:rsid w:val="00392C94"/>
    <w:rsid w:val="003934F7"/>
    <w:rsid w:val="00393F39"/>
    <w:rsid w:val="003A0680"/>
    <w:rsid w:val="003A33DA"/>
    <w:rsid w:val="003A423E"/>
    <w:rsid w:val="003A65BF"/>
    <w:rsid w:val="003B0F84"/>
    <w:rsid w:val="003B2DC3"/>
    <w:rsid w:val="003B3E24"/>
    <w:rsid w:val="003B5F5C"/>
    <w:rsid w:val="003B7910"/>
    <w:rsid w:val="003B7DC6"/>
    <w:rsid w:val="003C0972"/>
    <w:rsid w:val="003C207C"/>
    <w:rsid w:val="003C70ED"/>
    <w:rsid w:val="003D549A"/>
    <w:rsid w:val="003D6676"/>
    <w:rsid w:val="003D68CA"/>
    <w:rsid w:val="003D6A62"/>
    <w:rsid w:val="003E1060"/>
    <w:rsid w:val="003E16B5"/>
    <w:rsid w:val="003E1E17"/>
    <w:rsid w:val="003E2DE4"/>
    <w:rsid w:val="003E47D0"/>
    <w:rsid w:val="003E4B90"/>
    <w:rsid w:val="003E6D91"/>
    <w:rsid w:val="003E7903"/>
    <w:rsid w:val="003F197A"/>
    <w:rsid w:val="003F450F"/>
    <w:rsid w:val="003F63AB"/>
    <w:rsid w:val="003F71B8"/>
    <w:rsid w:val="00401ED8"/>
    <w:rsid w:val="004027EF"/>
    <w:rsid w:val="004037CC"/>
    <w:rsid w:val="00404C77"/>
    <w:rsid w:val="00406E65"/>
    <w:rsid w:val="00407468"/>
    <w:rsid w:val="0041134C"/>
    <w:rsid w:val="00412E48"/>
    <w:rsid w:val="00413126"/>
    <w:rsid w:val="00414BD0"/>
    <w:rsid w:val="00415509"/>
    <w:rsid w:val="00415785"/>
    <w:rsid w:val="00416D38"/>
    <w:rsid w:val="004175EB"/>
    <w:rsid w:val="004227AE"/>
    <w:rsid w:val="00422A05"/>
    <w:rsid w:val="00422E7E"/>
    <w:rsid w:val="00424601"/>
    <w:rsid w:val="00427E93"/>
    <w:rsid w:val="00431340"/>
    <w:rsid w:val="00433DF7"/>
    <w:rsid w:val="004352D2"/>
    <w:rsid w:val="004405B5"/>
    <w:rsid w:val="004415AB"/>
    <w:rsid w:val="00442835"/>
    <w:rsid w:val="00442B26"/>
    <w:rsid w:val="00443796"/>
    <w:rsid w:val="00443D63"/>
    <w:rsid w:val="00445326"/>
    <w:rsid w:val="004520FC"/>
    <w:rsid w:val="00452AD2"/>
    <w:rsid w:val="00453EF0"/>
    <w:rsid w:val="004544B7"/>
    <w:rsid w:val="004546F4"/>
    <w:rsid w:val="0045711D"/>
    <w:rsid w:val="00457400"/>
    <w:rsid w:val="0046104A"/>
    <w:rsid w:val="004629EC"/>
    <w:rsid w:val="00463293"/>
    <w:rsid w:val="00464A92"/>
    <w:rsid w:val="00465940"/>
    <w:rsid w:val="004675EC"/>
    <w:rsid w:val="00467A45"/>
    <w:rsid w:val="004744D4"/>
    <w:rsid w:val="004747B1"/>
    <w:rsid w:val="0047562C"/>
    <w:rsid w:val="00475F61"/>
    <w:rsid w:val="004775F9"/>
    <w:rsid w:val="00482ED9"/>
    <w:rsid w:val="004842F2"/>
    <w:rsid w:val="00484575"/>
    <w:rsid w:val="00486562"/>
    <w:rsid w:val="0048712F"/>
    <w:rsid w:val="00492045"/>
    <w:rsid w:val="004973F5"/>
    <w:rsid w:val="004974DF"/>
    <w:rsid w:val="004A0929"/>
    <w:rsid w:val="004A194F"/>
    <w:rsid w:val="004A3E37"/>
    <w:rsid w:val="004A44FC"/>
    <w:rsid w:val="004A50E6"/>
    <w:rsid w:val="004A5186"/>
    <w:rsid w:val="004A599E"/>
    <w:rsid w:val="004A6530"/>
    <w:rsid w:val="004A67C4"/>
    <w:rsid w:val="004A7F16"/>
    <w:rsid w:val="004B043A"/>
    <w:rsid w:val="004B145E"/>
    <w:rsid w:val="004B261C"/>
    <w:rsid w:val="004B4D91"/>
    <w:rsid w:val="004B59BC"/>
    <w:rsid w:val="004B5E89"/>
    <w:rsid w:val="004B666F"/>
    <w:rsid w:val="004B75F4"/>
    <w:rsid w:val="004C2643"/>
    <w:rsid w:val="004C3066"/>
    <w:rsid w:val="004C4435"/>
    <w:rsid w:val="004C5CBA"/>
    <w:rsid w:val="004C5D97"/>
    <w:rsid w:val="004C6632"/>
    <w:rsid w:val="004C74C2"/>
    <w:rsid w:val="004C76D9"/>
    <w:rsid w:val="004D04B5"/>
    <w:rsid w:val="004D0CE0"/>
    <w:rsid w:val="004D1652"/>
    <w:rsid w:val="004D3EA8"/>
    <w:rsid w:val="004E10A7"/>
    <w:rsid w:val="004E1718"/>
    <w:rsid w:val="004E1779"/>
    <w:rsid w:val="004E2546"/>
    <w:rsid w:val="004E37B5"/>
    <w:rsid w:val="004E498F"/>
    <w:rsid w:val="004E5808"/>
    <w:rsid w:val="004E5CF4"/>
    <w:rsid w:val="004E68E4"/>
    <w:rsid w:val="004E6A57"/>
    <w:rsid w:val="004F168C"/>
    <w:rsid w:val="004F79F5"/>
    <w:rsid w:val="004F7C40"/>
    <w:rsid w:val="00501856"/>
    <w:rsid w:val="0050278A"/>
    <w:rsid w:val="00511E9D"/>
    <w:rsid w:val="00513C21"/>
    <w:rsid w:val="005150F3"/>
    <w:rsid w:val="0052114A"/>
    <w:rsid w:val="00521400"/>
    <w:rsid w:val="0052419F"/>
    <w:rsid w:val="00524E1D"/>
    <w:rsid w:val="00525469"/>
    <w:rsid w:val="0052602B"/>
    <w:rsid w:val="00530517"/>
    <w:rsid w:val="00530F10"/>
    <w:rsid w:val="00532CF5"/>
    <w:rsid w:val="005333F9"/>
    <w:rsid w:val="00541D32"/>
    <w:rsid w:val="00542BC5"/>
    <w:rsid w:val="0054308A"/>
    <w:rsid w:val="00544CD5"/>
    <w:rsid w:val="00550D27"/>
    <w:rsid w:val="00552901"/>
    <w:rsid w:val="00552A35"/>
    <w:rsid w:val="00554281"/>
    <w:rsid w:val="0055756D"/>
    <w:rsid w:val="00557EBA"/>
    <w:rsid w:val="00563369"/>
    <w:rsid w:val="005638E8"/>
    <w:rsid w:val="00565BCA"/>
    <w:rsid w:val="00572141"/>
    <w:rsid w:val="00574C3E"/>
    <w:rsid w:val="00574D6D"/>
    <w:rsid w:val="00575E4B"/>
    <w:rsid w:val="0057721C"/>
    <w:rsid w:val="005810C6"/>
    <w:rsid w:val="00581A74"/>
    <w:rsid w:val="005852BD"/>
    <w:rsid w:val="005879A3"/>
    <w:rsid w:val="005A3015"/>
    <w:rsid w:val="005A463E"/>
    <w:rsid w:val="005A50FB"/>
    <w:rsid w:val="005A59C6"/>
    <w:rsid w:val="005A691C"/>
    <w:rsid w:val="005A75D1"/>
    <w:rsid w:val="005B10DC"/>
    <w:rsid w:val="005B1A09"/>
    <w:rsid w:val="005B2812"/>
    <w:rsid w:val="005C0D92"/>
    <w:rsid w:val="005C2E30"/>
    <w:rsid w:val="005C33C1"/>
    <w:rsid w:val="005C4053"/>
    <w:rsid w:val="005D1651"/>
    <w:rsid w:val="005D1B01"/>
    <w:rsid w:val="005D540B"/>
    <w:rsid w:val="005D577E"/>
    <w:rsid w:val="005D5E51"/>
    <w:rsid w:val="005D7F56"/>
    <w:rsid w:val="005E35C4"/>
    <w:rsid w:val="005E4181"/>
    <w:rsid w:val="005E4883"/>
    <w:rsid w:val="005F0415"/>
    <w:rsid w:val="005F1E4F"/>
    <w:rsid w:val="005F4D55"/>
    <w:rsid w:val="005F7529"/>
    <w:rsid w:val="00601B73"/>
    <w:rsid w:val="006068CA"/>
    <w:rsid w:val="00607CE7"/>
    <w:rsid w:val="00610DB7"/>
    <w:rsid w:val="00611AC1"/>
    <w:rsid w:val="0061267D"/>
    <w:rsid w:val="00615EAA"/>
    <w:rsid w:val="0061656F"/>
    <w:rsid w:val="00617FEE"/>
    <w:rsid w:val="00621D88"/>
    <w:rsid w:val="00624191"/>
    <w:rsid w:val="00626D7E"/>
    <w:rsid w:val="0062729D"/>
    <w:rsid w:val="0063075E"/>
    <w:rsid w:val="006313B7"/>
    <w:rsid w:val="00633EC8"/>
    <w:rsid w:val="00635096"/>
    <w:rsid w:val="006416F4"/>
    <w:rsid w:val="00643349"/>
    <w:rsid w:val="006515B2"/>
    <w:rsid w:val="00660FAB"/>
    <w:rsid w:val="006616D2"/>
    <w:rsid w:val="00663AEC"/>
    <w:rsid w:val="00663AF4"/>
    <w:rsid w:val="00666849"/>
    <w:rsid w:val="00670DA6"/>
    <w:rsid w:val="006722F2"/>
    <w:rsid w:val="00672C23"/>
    <w:rsid w:val="00674905"/>
    <w:rsid w:val="00675A5E"/>
    <w:rsid w:val="00675D43"/>
    <w:rsid w:val="006761C2"/>
    <w:rsid w:val="006765F5"/>
    <w:rsid w:val="0067728C"/>
    <w:rsid w:val="006822F0"/>
    <w:rsid w:val="006861C6"/>
    <w:rsid w:val="00692CED"/>
    <w:rsid w:val="006934C6"/>
    <w:rsid w:val="00693701"/>
    <w:rsid w:val="006940C5"/>
    <w:rsid w:val="006A136E"/>
    <w:rsid w:val="006A2AE0"/>
    <w:rsid w:val="006A39A5"/>
    <w:rsid w:val="006A5559"/>
    <w:rsid w:val="006A6354"/>
    <w:rsid w:val="006A722B"/>
    <w:rsid w:val="006A75BC"/>
    <w:rsid w:val="006B0D98"/>
    <w:rsid w:val="006B4873"/>
    <w:rsid w:val="006C0601"/>
    <w:rsid w:val="006C5ADE"/>
    <w:rsid w:val="006D5E1D"/>
    <w:rsid w:val="006E0D01"/>
    <w:rsid w:val="006E3AD3"/>
    <w:rsid w:val="006E43F5"/>
    <w:rsid w:val="006E503E"/>
    <w:rsid w:val="006E6E6D"/>
    <w:rsid w:val="006F1BE7"/>
    <w:rsid w:val="006F233E"/>
    <w:rsid w:val="006F302A"/>
    <w:rsid w:val="006F3B5F"/>
    <w:rsid w:val="006F4C3B"/>
    <w:rsid w:val="006F7E0E"/>
    <w:rsid w:val="00701DDA"/>
    <w:rsid w:val="00702A22"/>
    <w:rsid w:val="00705590"/>
    <w:rsid w:val="007061E9"/>
    <w:rsid w:val="00710AD4"/>
    <w:rsid w:val="00710AFE"/>
    <w:rsid w:val="00711125"/>
    <w:rsid w:val="00712D08"/>
    <w:rsid w:val="00720B1D"/>
    <w:rsid w:val="00722D77"/>
    <w:rsid w:val="00726E9C"/>
    <w:rsid w:val="0073287F"/>
    <w:rsid w:val="007335A5"/>
    <w:rsid w:val="00734187"/>
    <w:rsid w:val="00734A3A"/>
    <w:rsid w:val="007360A6"/>
    <w:rsid w:val="00737CF7"/>
    <w:rsid w:val="0074176E"/>
    <w:rsid w:val="0074242A"/>
    <w:rsid w:val="00742FF8"/>
    <w:rsid w:val="00744E5D"/>
    <w:rsid w:val="00750CCF"/>
    <w:rsid w:val="007524BD"/>
    <w:rsid w:val="00755BA0"/>
    <w:rsid w:val="007567A2"/>
    <w:rsid w:val="00757629"/>
    <w:rsid w:val="00757FB8"/>
    <w:rsid w:val="00761D37"/>
    <w:rsid w:val="00764F18"/>
    <w:rsid w:val="00773A93"/>
    <w:rsid w:val="007742ED"/>
    <w:rsid w:val="0078023D"/>
    <w:rsid w:val="00780920"/>
    <w:rsid w:val="00780B2C"/>
    <w:rsid w:val="00782ECF"/>
    <w:rsid w:val="00783106"/>
    <w:rsid w:val="00783269"/>
    <w:rsid w:val="00785147"/>
    <w:rsid w:val="0079114C"/>
    <w:rsid w:val="007935D0"/>
    <w:rsid w:val="007940D3"/>
    <w:rsid w:val="007944E0"/>
    <w:rsid w:val="007976DE"/>
    <w:rsid w:val="007A02F2"/>
    <w:rsid w:val="007A1F8A"/>
    <w:rsid w:val="007A3408"/>
    <w:rsid w:val="007A560E"/>
    <w:rsid w:val="007A5A21"/>
    <w:rsid w:val="007A6D05"/>
    <w:rsid w:val="007A7EB1"/>
    <w:rsid w:val="007B1108"/>
    <w:rsid w:val="007B662C"/>
    <w:rsid w:val="007B69F4"/>
    <w:rsid w:val="007B76B0"/>
    <w:rsid w:val="007C0217"/>
    <w:rsid w:val="007C46F4"/>
    <w:rsid w:val="007C5574"/>
    <w:rsid w:val="007C6B21"/>
    <w:rsid w:val="007C7C19"/>
    <w:rsid w:val="007D00E7"/>
    <w:rsid w:val="007D1BA2"/>
    <w:rsid w:val="007D214E"/>
    <w:rsid w:val="007D27CB"/>
    <w:rsid w:val="007D2A84"/>
    <w:rsid w:val="007D2AFA"/>
    <w:rsid w:val="007D39A3"/>
    <w:rsid w:val="007D42F3"/>
    <w:rsid w:val="007D54C5"/>
    <w:rsid w:val="007D58AE"/>
    <w:rsid w:val="007D5B45"/>
    <w:rsid w:val="007D6526"/>
    <w:rsid w:val="007E48D5"/>
    <w:rsid w:val="007E5D4F"/>
    <w:rsid w:val="007E72C8"/>
    <w:rsid w:val="007E73D3"/>
    <w:rsid w:val="007F1B40"/>
    <w:rsid w:val="007F27F1"/>
    <w:rsid w:val="007F2D0A"/>
    <w:rsid w:val="00802C1E"/>
    <w:rsid w:val="008039F0"/>
    <w:rsid w:val="008055AB"/>
    <w:rsid w:val="008073FA"/>
    <w:rsid w:val="00810477"/>
    <w:rsid w:val="008128F2"/>
    <w:rsid w:val="008130DC"/>
    <w:rsid w:val="00813D6B"/>
    <w:rsid w:val="008154D1"/>
    <w:rsid w:val="00815A81"/>
    <w:rsid w:val="00821DDD"/>
    <w:rsid w:val="0082401C"/>
    <w:rsid w:val="00825DA0"/>
    <w:rsid w:val="00827F9C"/>
    <w:rsid w:val="0083238A"/>
    <w:rsid w:val="00836814"/>
    <w:rsid w:val="00837A9E"/>
    <w:rsid w:val="0084262F"/>
    <w:rsid w:val="00843B16"/>
    <w:rsid w:val="00844440"/>
    <w:rsid w:val="0084778F"/>
    <w:rsid w:val="008505AC"/>
    <w:rsid w:val="0086176E"/>
    <w:rsid w:val="00866D6C"/>
    <w:rsid w:val="0086793B"/>
    <w:rsid w:val="0087176C"/>
    <w:rsid w:val="00872BEF"/>
    <w:rsid w:val="008749B4"/>
    <w:rsid w:val="00875E0E"/>
    <w:rsid w:val="00880323"/>
    <w:rsid w:val="008804A5"/>
    <w:rsid w:val="00881A61"/>
    <w:rsid w:val="00882008"/>
    <w:rsid w:val="0088276A"/>
    <w:rsid w:val="00883800"/>
    <w:rsid w:val="00884E62"/>
    <w:rsid w:val="0088560F"/>
    <w:rsid w:val="00887649"/>
    <w:rsid w:val="00894B6F"/>
    <w:rsid w:val="008956A6"/>
    <w:rsid w:val="008A2E7B"/>
    <w:rsid w:val="008B18F6"/>
    <w:rsid w:val="008B3D08"/>
    <w:rsid w:val="008B7C1F"/>
    <w:rsid w:val="008B7DB9"/>
    <w:rsid w:val="008B7F7A"/>
    <w:rsid w:val="008C1992"/>
    <w:rsid w:val="008C22E5"/>
    <w:rsid w:val="008C265F"/>
    <w:rsid w:val="008C3023"/>
    <w:rsid w:val="008C45F9"/>
    <w:rsid w:val="008C579E"/>
    <w:rsid w:val="008D15F1"/>
    <w:rsid w:val="008D63B3"/>
    <w:rsid w:val="008E1AC0"/>
    <w:rsid w:val="008E201F"/>
    <w:rsid w:val="008E2E54"/>
    <w:rsid w:val="008E479B"/>
    <w:rsid w:val="008E6E82"/>
    <w:rsid w:val="008E6FD7"/>
    <w:rsid w:val="008F16C9"/>
    <w:rsid w:val="008F2FED"/>
    <w:rsid w:val="008F3FBF"/>
    <w:rsid w:val="008F685F"/>
    <w:rsid w:val="008F6AD8"/>
    <w:rsid w:val="00902DED"/>
    <w:rsid w:val="00910313"/>
    <w:rsid w:val="00912968"/>
    <w:rsid w:val="00913E2E"/>
    <w:rsid w:val="00914BEA"/>
    <w:rsid w:val="009164F7"/>
    <w:rsid w:val="009174F3"/>
    <w:rsid w:val="00921021"/>
    <w:rsid w:val="00921FD4"/>
    <w:rsid w:val="0092662E"/>
    <w:rsid w:val="00926C9E"/>
    <w:rsid w:val="00931E98"/>
    <w:rsid w:val="009331CC"/>
    <w:rsid w:val="00934D53"/>
    <w:rsid w:val="009356D6"/>
    <w:rsid w:val="00937159"/>
    <w:rsid w:val="009401DF"/>
    <w:rsid w:val="0094181F"/>
    <w:rsid w:val="009422C7"/>
    <w:rsid w:val="00944DCA"/>
    <w:rsid w:val="00944EEE"/>
    <w:rsid w:val="00945911"/>
    <w:rsid w:val="00951850"/>
    <w:rsid w:val="0095580A"/>
    <w:rsid w:val="009569ED"/>
    <w:rsid w:val="00956A74"/>
    <w:rsid w:val="00960B20"/>
    <w:rsid w:val="00961578"/>
    <w:rsid w:val="00963C55"/>
    <w:rsid w:val="00964016"/>
    <w:rsid w:val="00965877"/>
    <w:rsid w:val="0096608E"/>
    <w:rsid w:val="009670D7"/>
    <w:rsid w:val="00967806"/>
    <w:rsid w:val="009758D5"/>
    <w:rsid w:val="00980CD3"/>
    <w:rsid w:val="00980D56"/>
    <w:rsid w:val="00982B6C"/>
    <w:rsid w:val="0098582E"/>
    <w:rsid w:val="00991A94"/>
    <w:rsid w:val="00993F84"/>
    <w:rsid w:val="00994860"/>
    <w:rsid w:val="00994EF1"/>
    <w:rsid w:val="00996D2D"/>
    <w:rsid w:val="009A326B"/>
    <w:rsid w:val="009A3F96"/>
    <w:rsid w:val="009A5851"/>
    <w:rsid w:val="009C021A"/>
    <w:rsid w:val="009C27E1"/>
    <w:rsid w:val="009C3E79"/>
    <w:rsid w:val="009C4B12"/>
    <w:rsid w:val="009C4EF1"/>
    <w:rsid w:val="009C527D"/>
    <w:rsid w:val="009C6A4D"/>
    <w:rsid w:val="009C7C7A"/>
    <w:rsid w:val="009D1072"/>
    <w:rsid w:val="009D22A0"/>
    <w:rsid w:val="009D24D4"/>
    <w:rsid w:val="009D3352"/>
    <w:rsid w:val="009D46F2"/>
    <w:rsid w:val="009E0790"/>
    <w:rsid w:val="009E0FB5"/>
    <w:rsid w:val="009E15C3"/>
    <w:rsid w:val="009E188D"/>
    <w:rsid w:val="009E23C1"/>
    <w:rsid w:val="009E36FB"/>
    <w:rsid w:val="009E4479"/>
    <w:rsid w:val="009E48E4"/>
    <w:rsid w:val="009E519A"/>
    <w:rsid w:val="009E6F39"/>
    <w:rsid w:val="009E6F7C"/>
    <w:rsid w:val="009E7907"/>
    <w:rsid w:val="009F1238"/>
    <w:rsid w:val="009F444C"/>
    <w:rsid w:val="009F4753"/>
    <w:rsid w:val="009F4E0E"/>
    <w:rsid w:val="009F640D"/>
    <w:rsid w:val="00A003B5"/>
    <w:rsid w:val="00A00FE7"/>
    <w:rsid w:val="00A03A8A"/>
    <w:rsid w:val="00A049B4"/>
    <w:rsid w:val="00A04D65"/>
    <w:rsid w:val="00A06E52"/>
    <w:rsid w:val="00A10E6D"/>
    <w:rsid w:val="00A134B7"/>
    <w:rsid w:val="00A16ECA"/>
    <w:rsid w:val="00A17D00"/>
    <w:rsid w:val="00A21AC9"/>
    <w:rsid w:val="00A22F83"/>
    <w:rsid w:val="00A26730"/>
    <w:rsid w:val="00A27C3B"/>
    <w:rsid w:val="00A33B95"/>
    <w:rsid w:val="00A33D0B"/>
    <w:rsid w:val="00A348ED"/>
    <w:rsid w:val="00A3549D"/>
    <w:rsid w:val="00A354C2"/>
    <w:rsid w:val="00A358A8"/>
    <w:rsid w:val="00A40C59"/>
    <w:rsid w:val="00A42042"/>
    <w:rsid w:val="00A4300E"/>
    <w:rsid w:val="00A432CD"/>
    <w:rsid w:val="00A457DC"/>
    <w:rsid w:val="00A473CE"/>
    <w:rsid w:val="00A540AB"/>
    <w:rsid w:val="00A5581F"/>
    <w:rsid w:val="00A55F01"/>
    <w:rsid w:val="00A56497"/>
    <w:rsid w:val="00A56EB5"/>
    <w:rsid w:val="00A60C47"/>
    <w:rsid w:val="00A63567"/>
    <w:rsid w:val="00A654A4"/>
    <w:rsid w:val="00A66765"/>
    <w:rsid w:val="00A70B44"/>
    <w:rsid w:val="00A7153E"/>
    <w:rsid w:val="00A71958"/>
    <w:rsid w:val="00A72579"/>
    <w:rsid w:val="00A75000"/>
    <w:rsid w:val="00A76A92"/>
    <w:rsid w:val="00A77BCB"/>
    <w:rsid w:val="00A77E60"/>
    <w:rsid w:val="00A8054D"/>
    <w:rsid w:val="00A80905"/>
    <w:rsid w:val="00A82B9E"/>
    <w:rsid w:val="00A86D32"/>
    <w:rsid w:val="00A91625"/>
    <w:rsid w:val="00A91895"/>
    <w:rsid w:val="00A92A64"/>
    <w:rsid w:val="00A97D3D"/>
    <w:rsid w:val="00AA0508"/>
    <w:rsid w:val="00AA25F9"/>
    <w:rsid w:val="00AA2E73"/>
    <w:rsid w:val="00AA30FF"/>
    <w:rsid w:val="00AA40B3"/>
    <w:rsid w:val="00AB103E"/>
    <w:rsid w:val="00AB1E73"/>
    <w:rsid w:val="00AB2ABE"/>
    <w:rsid w:val="00AB2E78"/>
    <w:rsid w:val="00AB4E4D"/>
    <w:rsid w:val="00AC0054"/>
    <w:rsid w:val="00AC4BFA"/>
    <w:rsid w:val="00AD1371"/>
    <w:rsid w:val="00AD162A"/>
    <w:rsid w:val="00AD2135"/>
    <w:rsid w:val="00AD2468"/>
    <w:rsid w:val="00AD2B4C"/>
    <w:rsid w:val="00AD45EB"/>
    <w:rsid w:val="00AD5D02"/>
    <w:rsid w:val="00AE1BE1"/>
    <w:rsid w:val="00AE1C72"/>
    <w:rsid w:val="00AE2168"/>
    <w:rsid w:val="00AE6D39"/>
    <w:rsid w:val="00AE732B"/>
    <w:rsid w:val="00AF4227"/>
    <w:rsid w:val="00AF7411"/>
    <w:rsid w:val="00B03E3C"/>
    <w:rsid w:val="00B047AB"/>
    <w:rsid w:val="00B07443"/>
    <w:rsid w:val="00B1120E"/>
    <w:rsid w:val="00B133A1"/>
    <w:rsid w:val="00B14C3D"/>
    <w:rsid w:val="00B15CF7"/>
    <w:rsid w:val="00B2064A"/>
    <w:rsid w:val="00B21EA2"/>
    <w:rsid w:val="00B24505"/>
    <w:rsid w:val="00B247A7"/>
    <w:rsid w:val="00B24EDD"/>
    <w:rsid w:val="00B307E9"/>
    <w:rsid w:val="00B32B06"/>
    <w:rsid w:val="00B3374E"/>
    <w:rsid w:val="00B373A5"/>
    <w:rsid w:val="00B40144"/>
    <w:rsid w:val="00B4031C"/>
    <w:rsid w:val="00B41B02"/>
    <w:rsid w:val="00B41B8B"/>
    <w:rsid w:val="00B41DF9"/>
    <w:rsid w:val="00B4245B"/>
    <w:rsid w:val="00B455E4"/>
    <w:rsid w:val="00B45807"/>
    <w:rsid w:val="00B461AC"/>
    <w:rsid w:val="00B50378"/>
    <w:rsid w:val="00B51F13"/>
    <w:rsid w:val="00B5283C"/>
    <w:rsid w:val="00B54D81"/>
    <w:rsid w:val="00B55D67"/>
    <w:rsid w:val="00B567BB"/>
    <w:rsid w:val="00B5686A"/>
    <w:rsid w:val="00B56A5E"/>
    <w:rsid w:val="00B574C4"/>
    <w:rsid w:val="00B645ED"/>
    <w:rsid w:val="00B66B12"/>
    <w:rsid w:val="00B73CA2"/>
    <w:rsid w:val="00B73FC6"/>
    <w:rsid w:val="00B7560B"/>
    <w:rsid w:val="00B80A50"/>
    <w:rsid w:val="00B814B2"/>
    <w:rsid w:val="00B8151F"/>
    <w:rsid w:val="00B81A1C"/>
    <w:rsid w:val="00B81A78"/>
    <w:rsid w:val="00B824D8"/>
    <w:rsid w:val="00B845A2"/>
    <w:rsid w:val="00B8784A"/>
    <w:rsid w:val="00B904F1"/>
    <w:rsid w:val="00B9095C"/>
    <w:rsid w:val="00B90F7C"/>
    <w:rsid w:val="00B91765"/>
    <w:rsid w:val="00B92A8D"/>
    <w:rsid w:val="00B94AE3"/>
    <w:rsid w:val="00B950AE"/>
    <w:rsid w:val="00B953A3"/>
    <w:rsid w:val="00B9552A"/>
    <w:rsid w:val="00B96396"/>
    <w:rsid w:val="00B96510"/>
    <w:rsid w:val="00B970F8"/>
    <w:rsid w:val="00B976BB"/>
    <w:rsid w:val="00B97CCD"/>
    <w:rsid w:val="00BA00B8"/>
    <w:rsid w:val="00BA1BD4"/>
    <w:rsid w:val="00BA4052"/>
    <w:rsid w:val="00BA482D"/>
    <w:rsid w:val="00BA4D56"/>
    <w:rsid w:val="00BA4E27"/>
    <w:rsid w:val="00BA52A0"/>
    <w:rsid w:val="00BA5D1A"/>
    <w:rsid w:val="00BA5F09"/>
    <w:rsid w:val="00BA71B0"/>
    <w:rsid w:val="00BA72A6"/>
    <w:rsid w:val="00BA74C9"/>
    <w:rsid w:val="00BB04C2"/>
    <w:rsid w:val="00BB3D60"/>
    <w:rsid w:val="00BB5CAA"/>
    <w:rsid w:val="00BB5DF3"/>
    <w:rsid w:val="00BB621C"/>
    <w:rsid w:val="00BB74B4"/>
    <w:rsid w:val="00BC0E71"/>
    <w:rsid w:val="00BC1701"/>
    <w:rsid w:val="00BC38CA"/>
    <w:rsid w:val="00BC3C75"/>
    <w:rsid w:val="00BC49EF"/>
    <w:rsid w:val="00BC76DA"/>
    <w:rsid w:val="00BD376A"/>
    <w:rsid w:val="00BD53F8"/>
    <w:rsid w:val="00BD61D3"/>
    <w:rsid w:val="00BE1A81"/>
    <w:rsid w:val="00BE27AA"/>
    <w:rsid w:val="00BE3FE0"/>
    <w:rsid w:val="00BE4CD7"/>
    <w:rsid w:val="00BE5E38"/>
    <w:rsid w:val="00BE6834"/>
    <w:rsid w:val="00BE7E18"/>
    <w:rsid w:val="00BF3008"/>
    <w:rsid w:val="00BF44BE"/>
    <w:rsid w:val="00BF66D1"/>
    <w:rsid w:val="00BF6B4D"/>
    <w:rsid w:val="00C00CF3"/>
    <w:rsid w:val="00C01607"/>
    <w:rsid w:val="00C01871"/>
    <w:rsid w:val="00C01DFE"/>
    <w:rsid w:val="00C020C1"/>
    <w:rsid w:val="00C03D50"/>
    <w:rsid w:val="00C04227"/>
    <w:rsid w:val="00C05035"/>
    <w:rsid w:val="00C068E9"/>
    <w:rsid w:val="00C06CDF"/>
    <w:rsid w:val="00C06DD5"/>
    <w:rsid w:val="00C07095"/>
    <w:rsid w:val="00C073F2"/>
    <w:rsid w:val="00C11A8A"/>
    <w:rsid w:val="00C12389"/>
    <w:rsid w:val="00C12682"/>
    <w:rsid w:val="00C128B5"/>
    <w:rsid w:val="00C12BBA"/>
    <w:rsid w:val="00C1488B"/>
    <w:rsid w:val="00C20526"/>
    <w:rsid w:val="00C225CE"/>
    <w:rsid w:val="00C22A08"/>
    <w:rsid w:val="00C22B46"/>
    <w:rsid w:val="00C23D3B"/>
    <w:rsid w:val="00C25199"/>
    <w:rsid w:val="00C2631B"/>
    <w:rsid w:val="00C26BDB"/>
    <w:rsid w:val="00C2731D"/>
    <w:rsid w:val="00C3043A"/>
    <w:rsid w:val="00C31B53"/>
    <w:rsid w:val="00C33658"/>
    <w:rsid w:val="00C34342"/>
    <w:rsid w:val="00C37028"/>
    <w:rsid w:val="00C40867"/>
    <w:rsid w:val="00C4132D"/>
    <w:rsid w:val="00C45FD1"/>
    <w:rsid w:val="00C4618C"/>
    <w:rsid w:val="00C46A86"/>
    <w:rsid w:val="00C47C18"/>
    <w:rsid w:val="00C515A7"/>
    <w:rsid w:val="00C55D88"/>
    <w:rsid w:val="00C673AF"/>
    <w:rsid w:val="00C7267A"/>
    <w:rsid w:val="00C74224"/>
    <w:rsid w:val="00C74DA8"/>
    <w:rsid w:val="00C7699F"/>
    <w:rsid w:val="00C86272"/>
    <w:rsid w:val="00C86F02"/>
    <w:rsid w:val="00C8744A"/>
    <w:rsid w:val="00C90801"/>
    <w:rsid w:val="00C91349"/>
    <w:rsid w:val="00C93FF3"/>
    <w:rsid w:val="00C95B7D"/>
    <w:rsid w:val="00C97A56"/>
    <w:rsid w:val="00CA3111"/>
    <w:rsid w:val="00CA6081"/>
    <w:rsid w:val="00CA67E6"/>
    <w:rsid w:val="00CA70E5"/>
    <w:rsid w:val="00CA7826"/>
    <w:rsid w:val="00CA7B4B"/>
    <w:rsid w:val="00CB04CD"/>
    <w:rsid w:val="00CB3714"/>
    <w:rsid w:val="00CB415B"/>
    <w:rsid w:val="00CB78EF"/>
    <w:rsid w:val="00CC301F"/>
    <w:rsid w:val="00CC36D0"/>
    <w:rsid w:val="00CC36DB"/>
    <w:rsid w:val="00CC404A"/>
    <w:rsid w:val="00CC59AD"/>
    <w:rsid w:val="00CC5E23"/>
    <w:rsid w:val="00CC62AD"/>
    <w:rsid w:val="00CD00D6"/>
    <w:rsid w:val="00CD1B0B"/>
    <w:rsid w:val="00CD1F34"/>
    <w:rsid w:val="00CD4AAB"/>
    <w:rsid w:val="00CD4CA9"/>
    <w:rsid w:val="00CD4DEA"/>
    <w:rsid w:val="00CE1355"/>
    <w:rsid w:val="00CE3D76"/>
    <w:rsid w:val="00CE520A"/>
    <w:rsid w:val="00CE5530"/>
    <w:rsid w:val="00CF20B5"/>
    <w:rsid w:val="00CF4EEC"/>
    <w:rsid w:val="00D000ED"/>
    <w:rsid w:val="00D00D1D"/>
    <w:rsid w:val="00D011A5"/>
    <w:rsid w:val="00D021A6"/>
    <w:rsid w:val="00D031E4"/>
    <w:rsid w:val="00D048EE"/>
    <w:rsid w:val="00D049F8"/>
    <w:rsid w:val="00D07F9D"/>
    <w:rsid w:val="00D11EF6"/>
    <w:rsid w:val="00D1508A"/>
    <w:rsid w:val="00D159BC"/>
    <w:rsid w:val="00D17B48"/>
    <w:rsid w:val="00D234E6"/>
    <w:rsid w:val="00D238BA"/>
    <w:rsid w:val="00D246FB"/>
    <w:rsid w:val="00D25B90"/>
    <w:rsid w:val="00D260FD"/>
    <w:rsid w:val="00D30F5D"/>
    <w:rsid w:val="00D32595"/>
    <w:rsid w:val="00D34E6B"/>
    <w:rsid w:val="00D37035"/>
    <w:rsid w:val="00D415F4"/>
    <w:rsid w:val="00D41EC6"/>
    <w:rsid w:val="00D4203E"/>
    <w:rsid w:val="00D44219"/>
    <w:rsid w:val="00D533ED"/>
    <w:rsid w:val="00D567BD"/>
    <w:rsid w:val="00D57C61"/>
    <w:rsid w:val="00D57DEE"/>
    <w:rsid w:val="00D6236B"/>
    <w:rsid w:val="00D62ABC"/>
    <w:rsid w:val="00D64563"/>
    <w:rsid w:val="00D64D6A"/>
    <w:rsid w:val="00D651AA"/>
    <w:rsid w:val="00D71E6A"/>
    <w:rsid w:val="00D7289A"/>
    <w:rsid w:val="00D73316"/>
    <w:rsid w:val="00D73FAA"/>
    <w:rsid w:val="00D756B9"/>
    <w:rsid w:val="00D819FF"/>
    <w:rsid w:val="00D82D97"/>
    <w:rsid w:val="00D8350B"/>
    <w:rsid w:val="00D8393A"/>
    <w:rsid w:val="00D87847"/>
    <w:rsid w:val="00D90192"/>
    <w:rsid w:val="00D907FA"/>
    <w:rsid w:val="00D92AC2"/>
    <w:rsid w:val="00D93488"/>
    <w:rsid w:val="00D94265"/>
    <w:rsid w:val="00DA0F31"/>
    <w:rsid w:val="00DA1D39"/>
    <w:rsid w:val="00DA29FB"/>
    <w:rsid w:val="00DA2FF8"/>
    <w:rsid w:val="00DA47A9"/>
    <w:rsid w:val="00DA5301"/>
    <w:rsid w:val="00DA59A4"/>
    <w:rsid w:val="00DA6731"/>
    <w:rsid w:val="00DA6AC9"/>
    <w:rsid w:val="00DA7928"/>
    <w:rsid w:val="00DB0B98"/>
    <w:rsid w:val="00DB1C7A"/>
    <w:rsid w:val="00DB22F4"/>
    <w:rsid w:val="00DB3757"/>
    <w:rsid w:val="00DB3B5A"/>
    <w:rsid w:val="00DB493F"/>
    <w:rsid w:val="00DC0A0C"/>
    <w:rsid w:val="00DC2932"/>
    <w:rsid w:val="00DC366D"/>
    <w:rsid w:val="00DC493F"/>
    <w:rsid w:val="00DC5D6C"/>
    <w:rsid w:val="00DC6546"/>
    <w:rsid w:val="00DC6B91"/>
    <w:rsid w:val="00DC70EE"/>
    <w:rsid w:val="00DC7461"/>
    <w:rsid w:val="00DD0550"/>
    <w:rsid w:val="00DD0BBF"/>
    <w:rsid w:val="00DD3A19"/>
    <w:rsid w:val="00DD51EC"/>
    <w:rsid w:val="00DD7FCF"/>
    <w:rsid w:val="00DE28D6"/>
    <w:rsid w:val="00DF2D0A"/>
    <w:rsid w:val="00E04A6B"/>
    <w:rsid w:val="00E04B92"/>
    <w:rsid w:val="00E062B1"/>
    <w:rsid w:val="00E07A25"/>
    <w:rsid w:val="00E07AAD"/>
    <w:rsid w:val="00E1112F"/>
    <w:rsid w:val="00E124FB"/>
    <w:rsid w:val="00E145D2"/>
    <w:rsid w:val="00E156D0"/>
    <w:rsid w:val="00E15C82"/>
    <w:rsid w:val="00E17997"/>
    <w:rsid w:val="00E17B98"/>
    <w:rsid w:val="00E219BD"/>
    <w:rsid w:val="00E22B37"/>
    <w:rsid w:val="00E22C5F"/>
    <w:rsid w:val="00E26379"/>
    <w:rsid w:val="00E27E36"/>
    <w:rsid w:val="00E343D3"/>
    <w:rsid w:val="00E349C4"/>
    <w:rsid w:val="00E34EDB"/>
    <w:rsid w:val="00E40C2D"/>
    <w:rsid w:val="00E41B75"/>
    <w:rsid w:val="00E42A7E"/>
    <w:rsid w:val="00E43A57"/>
    <w:rsid w:val="00E43FC6"/>
    <w:rsid w:val="00E455DF"/>
    <w:rsid w:val="00E46A87"/>
    <w:rsid w:val="00E46D6F"/>
    <w:rsid w:val="00E471BE"/>
    <w:rsid w:val="00E50C96"/>
    <w:rsid w:val="00E52353"/>
    <w:rsid w:val="00E53711"/>
    <w:rsid w:val="00E5563C"/>
    <w:rsid w:val="00E55857"/>
    <w:rsid w:val="00E568BD"/>
    <w:rsid w:val="00E57A1E"/>
    <w:rsid w:val="00E619C2"/>
    <w:rsid w:val="00E64B59"/>
    <w:rsid w:val="00E65C2D"/>
    <w:rsid w:val="00E662C1"/>
    <w:rsid w:val="00E66FE3"/>
    <w:rsid w:val="00E7182A"/>
    <w:rsid w:val="00E77E34"/>
    <w:rsid w:val="00E84C08"/>
    <w:rsid w:val="00E85A7D"/>
    <w:rsid w:val="00E91EB3"/>
    <w:rsid w:val="00E94956"/>
    <w:rsid w:val="00E950DB"/>
    <w:rsid w:val="00E9530E"/>
    <w:rsid w:val="00E95CA9"/>
    <w:rsid w:val="00E962CD"/>
    <w:rsid w:val="00EA0788"/>
    <w:rsid w:val="00EA09F4"/>
    <w:rsid w:val="00EA113F"/>
    <w:rsid w:val="00EA44EB"/>
    <w:rsid w:val="00EA4618"/>
    <w:rsid w:val="00EA519F"/>
    <w:rsid w:val="00EA552E"/>
    <w:rsid w:val="00EA7300"/>
    <w:rsid w:val="00EB03E5"/>
    <w:rsid w:val="00EB177B"/>
    <w:rsid w:val="00EB257F"/>
    <w:rsid w:val="00EB2C97"/>
    <w:rsid w:val="00EB62DA"/>
    <w:rsid w:val="00EB79ED"/>
    <w:rsid w:val="00EC02C8"/>
    <w:rsid w:val="00EC09C1"/>
    <w:rsid w:val="00EC13B4"/>
    <w:rsid w:val="00EC1FBF"/>
    <w:rsid w:val="00EC2473"/>
    <w:rsid w:val="00EC7D6A"/>
    <w:rsid w:val="00ED003C"/>
    <w:rsid w:val="00ED2997"/>
    <w:rsid w:val="00ED4ED5"/>
    <w:rsid w:val="00ED5923"/>
    <w:rsid w:val="00EE0776"/>
    <w:rsid w:val="00EE1543"/>
    <w:rsid w:val="00EE196A"/>
    <w:rsid w:val="00EE2250"/>
    <w:rsid w:val="00EE5BBD"/>
    <w:rsid w:val="00EE5EBF"/>
    <w:rsid w:val="00EE60B4"/>
    <w:rsid w:val="00EE65CC"/>
    <w:rsid w:val="00EE6CC7"/>
    <w:rsid w:val="00EE7605"/>
    <w:rsid w:val="00EF1936"/>
    <w:rsid w:val="00EF1DB3"/>
    <w:rsid w:val="00EF245B"/>
    <w:rsid w:val="00EF281F"/>
    <w:rsid w:val="00EF39EB"/>
    <w:rsid w:val="00EF5FC6"/>
    <w:rsid w:val="00EF69AE"/>
    <w:rsid w:val="00EF6B51"/>
    <w:rsid w:val="00EF6EAA"/>
    <w:rsid w:val="00F0163F"/>
    <w:rsid w:val="00F017ED"/>
    <w:rsid w:val="00F035D4"/>
    <w:rsid w:val="00F0765D"/>
    <w:rsid w:val="00F104BD"/>
    <w:rsid w:val="00F10D87"/>
    <w:rsid w:val="00F12D9C"/>
    <w:rsid w:val="00F15598"/>
    <w:rsid w:val="00F15AFF"/>
    <w:rsid w:val="00F172CF"/>
    <w:rsid w:val="00F17A92"/>
    <w:rsid w:val="00F24A75"/>
    <w:rsid w:val="00F24B44"/>
    <w:rsid w:val="00F26AE7"/>
    <w:rsid w:val="00F2722B"/>
    <w:rsid w:val="00F2730A"/>
    <w:rsid w:val="00F3039E"/>
    <w:rsid w:val="00F33885"/>
    <w:rsid w:val="00F354F0"/>
    <w:rsid w:val="00F42CC9"/>
    <w:rsid w:val="00F438FF"/>
    <w:rsid w:val="00F43CFE"/>
    <w:rsid w:val="00F43ED7"/>
    <w:rsid w:val="00F442DD"/>
    <w:rsid w:val="00F4548C"/>
    <w:rsid w:val="00F45E19"/>
    <w:rsid w:val="00F46D51"/>
    <w:rsid w:val="00F506B7"/>
    <w:rsid w:val="00F53592"/>
    <w:rsid w:val="00F53A12"/>
    <w:rsid w:val="00F54B14"/>
    <w:rsid w:val="00F54B4F"/>
    <w:rsid w:val="00F605D8"/>
    <w:rsid w:val="00F60F40"/>
    <w:rsid w:val="00F62D3F"/>
    <w:rsid w:val="00F63E6D"/>
    <w:rsid w:val="00F64AA0"/>
    <w:rsid w:val="00F65FB0"/>
    <w:rsid w:val="00F7259B"/>
    <w:rsid w:val="00F76A39"/>
    <w:rsid w:val="00F80165"/>
    <w:rsid w:val="00F8117D"/>
    <w:rsid w:val="00F84FFA"/>
    <w:rsid w:val="00F85588"/>
    <w:rsid w:val="00F87DD0"/>
    <w:rsid w:val="00F937A2"/>
    <w:rsid w:val="00F941C4"/>
    <w:rsid w:val="00F965AF"/>
    <w:rsid w:val="00FA2DA0"/>
    <w:rsid w:val="00FA6387"/>
    <w:rsid w:val="00FB283F"/>
    <w:rsid w:val="00FB2E5F"/>
    <w:rsid w:val="00FB3187"/>
    <w:rsid w:val="00FB3665"/>
    <w:rsid w:val="00FB4B55"/>
    <w:rsid w:val="00FB7DA7"/>
    <w:rsid w:val="00FC22AD"/>
    <w:rsid w:val="00FC4009"/>
    <w:rsid w:val="00FC5A7F"/>
    <w:rsid w:val="00FD068D"/>
    <w:rsid w:val="00FD2015"/>
    <w:rsid w:val="00FD3DC5"/>
    <w:rsid w:val="00FD6326"/>
    <w:rsid w:val="00FD6610"/>
    <w:rsid w:val="00FE0530"/>
    <w:rsid w:val="00FE6645"/>
    <w:rsid w:val="00FE7238"/>
    <w:rsid w:val="00FE749F"/>
    <w:rsid w:val="00FF15AA"/>
    <w:rsid w:val="00FF26A4"/>
    <w:rsid w:val="00FF45F8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1"/>
    <w:pPr>
      <w:spacing w:after="120" w:line="36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2D0A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B1E73"/>
    <w:pPr>
      <w:keepNext/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9C4"/>
    <w:pPr>
      <w:keepNext/>
      <w:spacing w:before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C7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3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08"/>
  </w:style>
  <w:style w:type="paragraph" w:styleId="Footer">
    <w:name w:val="footer"/>
    <w:basedOn w:val="Normal"/>
    <w:link w:val="FooterChar"/>
    <w:uiPriority w:val="99"/>
    <w:unhideWhenUsed/>
    <w:rsid w:val="008B3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08"/>
  </w:style>
  <w:style w:type="paragraph" w:styleId="BalloonText">
    <w:name w:val="Balloon Text"/>
    <w:basedOn w:val="Normal"/>
    <w:link w:val="BalloonTextChar"/>
    <w:uiPriority w:val="99"/>
    <w:semiHidden/>
    <w:unhideWhenUsed/>
    <w:rsid w:val="008B3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4281"/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281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F2D0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B1E73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349C4"/>
    <w:rPr>
      <w:i/>
      <w:sz w:val="24"/>
      <w:szCs w:val="24"/>
    </w:rPr>
  </w:style>
  <w:style w:type="paragraph" w:customStyle="1" w:styleId="Callout">
    <w:name w:val="Call out"/>
    <w:basedOn w:val="Normal"/>
    <w:link w:val="CalloutChar"/>
    <w:qFormat/>
    <w:rsid w:val="002B4281"/>
    <w:pPr>
      <w:pBdr>
        <w:top w:val="single" w:sz="4" w:space="1" w:color="auto"/>
        <w:bottom w:val="single" w:sz="4" w:space="1" w:color="auto"/>
      </w:pBdr>
      <w:spacing w:before="120" w:line="240" w:lineRule="auto"/>
      <w:jc w:val="center"/>
    </w:pPr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773A93"/>
    <w:pPr>
      <w:numPr>
        <w:numId w:val="12"/>
      </w:numPr>
      <w:contextualSpacing/>
    </w:pPr>
  </w:style>
  <w:style w:type="character" w:customStyle="1" w:styleId="CalloutChar">
    <w:name w:val="Call out Char"/>
    <w:basedOn w:val="DefaultParagraphFont"/>
    <w:link w:val="Callout"/>
    <w:rsid w:val="002B4281"/>
    <w:rPr>
      <w:i/>
      <w:sz w:val="24"/>
      <w:szCs w:val="24"/>
    </w:rPr>
  </w:style>
  <w:style w:type="paragraph" w:customStyle="1" w:styleId="References">
    <w:name w:val="References"/>
    <w:basedOn w:val="ListParagraph"/>
    <w:link w:val="ReferencesChar"/>
    <w:qFormat/>
    <w:rsid w:val="00E349C4"/>
    <w:pPr>
      <w:numPr>
        <w:numId w:val="1"/>
      </w:numPr>
      <w:ind w:left="426" w:hanging="426"/>
    </w:pPr>
  </w:style>
  <w:style w:type="paragraph" w:styleId="Caption">
    <w:name w:val="caption"/>
    <w:basedOn w:val="Normal"/>
    <w:next w:val="Normal"/>
    <w:uiPriority w:val="35"/>
    <w:unhideWhenUsed/>
    <w:qFormat/>
    <w:rsid w:val="004C3066"/>
    <w:pPr>
      <w:keepNext/>
      <w:spacing w:before="12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3A93"/>
    <w:rPr>
      <w:sz w:val="24"/>
      <w:szCs w:val="24"/>
      <w:lang w:val="en-US"/>
    </w:rPr>
  </w:style>
  <w:style w:type="character" w:customStyle="1" w:styleId="ReferencesChar">
    <w:name w:val="References Char"/>
    <w:basedOn w:val="ListParagraphChar"/>
    <w:link w:val="References"/>
    <w:rsid w:val="00E349C4"/>
    <w:rPr>
      <w:sz w:val="24"/>
      <w:szCs w:val="24"/>
      <w:lang w:val="en-US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8F2F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FED"/>
    <w:rPr>
      <w:sz w:val="20"/>
      <w:szCs w:val="20"/>
    </w:rPr>
  </w:style>
  <w:style w:type="table" w:styleId="LightShading">
    <w:name w:val="Light Shading"/>
    <w:basedOn w:val="TableNormal"/>
    <w:uiPriority w:val="60"/>
    <w:rsid w:val="008F2F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uiPriority w:val="99"/>
    <w:rsid w:val="00D567BD"/>
    <w:pPr>
      <w:numPr>
        <w:numId w:val="15"/>
      </w:numPr>
    </w:pPr>
  </w:style>
  <w:style w:type="paragraph" w:styleId="ListBullet">
    <w:name w:val="List Bullet"/>
    <w:basedOn w:val="Normal"/>
    <w:uiPriority w:val="99"/>
    <w:unhideWhenUsed/>
    <w:rsid w:val="007A1F8A"/>
    <w:pPr>
      <w:numPr>
        <w:numId w:val="2"/>
      </w:numPr>
      <w:contextualSpacing/>
    </w:pPr>
  </w:style>
  <w:style w:type="character" w:styleId="Emphasis">
    <w:name w:val="Emphasis"/>
    <w:aliases w:val="Italic"/>
    <w:basedOn w:val="DefaultParagraphFont"/>
    <w:uiPriority w:val="20"/>
    <w:qFormat/>
    <w:rsid w:val="009F1238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9F1238"/>
    <w:rPr>
      <w:b/>
      <w:bCs/>
    </w:rPr>
  </w:style>
  <w:style w:type="character" w:customStyle="1" w:styleId="Superscript">
    <w:name w:val="Super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6761C2"/>
    <w:rPr>
      <w:caps w:val="0"/>
      <w:smallCaps w:val="0"/>
      <w:strike w:val="0"/>
      <w:dstrike w:val="0"/>
      <w:vanish w:val="0"/>
      <w:vertAlign w:val="subscript"/>
    </w:rPr>
  </w:style>
  <w:style w:type="character" w:styleId="IntenseEmphasis">
    <w:name w:val="Intense Emphasis"/>
    <w:aliases w:val="Bold italic"/>
    <w:basedOn w:val="DefaultParagraphFont"/>
    <w:uiPriority w:val="21"/>
    <w:qFormat/>
    <w:rsid w:val="006761C2"/>
    <w:rPr>
      <w:b/>
      <w:bCs/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F6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6D1"/>
    <w:rPr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F66D1"/>
    <w:pPr>
      <w:spacing w:after="0"/>
      <w:jc w:val="center"/>
    </w:pPr>
    <w:rPr>
      <w:rFonts w:ascii="Times New Roman" w:hAnsi="Times New Roman" w:cs="Times New Roman"/>
      <w:noProof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66D1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F66D1"/>
    <w:pPr>
      <w:spacing w:line="240" w:lineRule="auto"/>
    </w:pPr>
    <w:rPr>
      <w:rFonts w:ascii="Times New Roman" w:hAnsi="Times New Roman" w:cs="Times New Roman"/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BF66D1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6D1"/>
    <w:rPr>
      <w:color w:val="405AB0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6D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F66D1"/>
    <w:pPr>
      <w:spacing w:after="0" w:line="240" w:lineRule="auto"/>
    </w:pPr>
    <w:rPr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BF66D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F66D1"/>
    <w:rPr>
      <w:color w:val="C3C3C3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880323"/>
  </w:style>
  <w:style w:type="character" w:customStyle="1" w:styleId="BodyTextChar">
    <w:name w:val="Body Text Char"/>
    <w:basedOn w:val="DefaultParagraphFont"/>
    <w:link w:val="BodyText"/>
    <w:uiPriority w:val="99"/>
    <w:rsid w:val="00880323"/>
    <w:rPr>
      <w:sz w:val="24"/>
      <w:szCs w:val="24"/>
      <w:lang w:val="en-US"/>
    </w:rPr>
  </w:style>
  <w:style w:type="paragraph" w:styleId="BlockText">
    <w:name w:val="Block Text"/>
    <w:basedOn w:val="Normal"/>
    <w:uiPriority w:val="99"/>
    <w:unhideWhenUsed/>
    <w:rsid w:val="00880323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i/>
      <w:iCs/>
      <w:color w:val="002395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D93488"/>
  </w:style>
  <w:style w:type="character" w:customStyle="1" w:styleId="Heading4Char">
    <w:name w:val="Heading 4 Char"/>
    <w:basedOn w:val="DefaultParagraphFont"/>
    <w:link w:val="Heading4"/>
    <w:uiPriority w:val="9"/>
    <w:semiHidden/>
    <w:rsid w:val="001C7C7A"/>
    <w:rPr>
      <w:rFonts w:asciiTheme="majorHAnsi" w:eastAsiaTheme="majorEastAsia" w:hAnsiTheme="majorHAnsi" w:cstheme="majorBidi"/>
      <w:b/>
      <w:bCs/>
      <w:i/>
      <w:iCs/>
      <w:color w:val="002395" w:themeColor="accent1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C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27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3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xford PharmaGenesis">
      <a:dk1>
        <a:sysClr val="windowText" lastClr="000000"/>
      </a:dk1>
      <a:lt1>
        <a:srgbClr val="FFFFFF"/>
      </a:lt1>
      <a:dk2>
        <a:srgbClr val="002395"/>
      </a:dk2>
      <a:lt2>
        <a:srgbClr val="FFFFFF"/>
      </a:lt2>
      <a:accent1>
        <a:srgbClr val="002395"/>
      </a:accent1>
      <a:accent2>
        <a:srgbClr val="E21F26"/>
      </a:accent2>
      <a:accent3>
        <a:srgbClr val="5F5F5F"/>
      </a:accent3>
      <a:accent4>
        <a:srgbClr val="405AB0"/>
      </a:accent4>
      <a:accent5>
        <a:srgbClr val="99CCFF"/>
      </a:accent5>
      <a:accent6>
        <a:srgbClr val="828282"/>
      </a:accent6>
      <a:hlink>
        <a:srgbClr val="405AB0"/>
      </a:hlink>
      <a:folHlink>
        <a:srgbClr val="C3C3C3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E209-8FE3-49FB-84BF-5C99D8B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Pintat</dc:creator>
  <cp:lastModifiedBy>0013434</cp:lastModifiedBy>
  <cp:revision>5</cp:revision>
  <cp:lastPrinted>2018-10-25T14:32:00Z</cp:lastPrinted>
  <dcterms:created xsi:type="dcterms:W3CDTF">2018-10-25T12:21:00Z</dcterms:created>
  <dcterms:modified xsi:type="dcterms:W3CDTF">2018-11-09T01:57:00Z</dcterms:modified>
</cp:coreProperties>
</file>