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DA57D" w14:textId="47F46F08" w:rsidR="00B922BA" w:rsidRDefault="00B922BA" w:rsidP="0048134D">
      <w:pPr>
        <w:pStyle w:val="Heading1"/>
      </w:pPr>
      <w:bookmarkStart w:id="0" w:name="_GoBack"/>
      <w:bookmarkEnd w:id="0"/>
      <w:r>
        <w:t>Additional file 1</w:t>
      </w:r>
    </w:p>
    <w:p w14:paraId="165A66EC" w14:textId="02E28AD3" w:rsidR="0048134D" w:rsidRDefault="0048134D" w:rsidP="0048134D">
      <w:pPr>
        <w:pStyle w:val="Heading1"/>
      </w:pPr>
      <w:r>
        <w:t xml:space="preserve">Table </w:t>
      </w:r>
      <w:r w:rsidR="00B922BA">
        <w:t>S</w:t>
      </w:r>
      <w:r>
        <w:t>1. Matrix of ICC scores of all three readers who contributed to the data; each MRI was evaluated by two readers each.</w:t>
      </w:r>
    </w:p>
    <w:p w14:paraId="252B2714" w14:textId="77777777" w:rsidR="0048134D" w:rsidRDefault="0048134D" w:rsidP="0048134D">
      <w:pPr>
        <w:spacing w:after="0" w:line="480" w:lineRule="auto"/>
        <w:rPr>
          <w:rFonts w:ascii="Times New Roman" w:hAnsi="Times New Roman" w:cs="Times New Roman"/>
        </w:rPr>
      </w:pPr>
    </w:p>
    <w:p w14:paraId="0386FEB7" w14:textId="77777777" w:rsidR="0048134D" w:rsidRPr="00F15812" w:rsidRDefault="0048134D" w:rsidP="0048134D">
      <w:pPr>
        <w:pStyle w:val="Heading2"/>
        <w:rPr>
          <w:kern w:val="0"/>
        </w:rPr>
      </w:pPr>
      <w:proofErr w:type="spellStart"/>
      <w:r w:rsidRPr="00F15812">
        <w:rPr>
          <w:kern w:val="0"/>
        </w:rPr>
        <w:t>Interreader</w:t>
      </w:r>
      <w:proofErr w:type="spellEnd"/>
      <w:r w:rsidRPr="00F15812">
        <w:rPr>
          <w:kern w:val="0"/>
        </w:rPr>
        <w:t xml:space="preserve"> </w:t>
      </w:r>
      <w:proofErr w:type="spellStart"/>
      <w:r w:rsidRPr="00F15812">
        <w:rPr>
          <w:kern w:val="0"/>
        </w:rPr>
        <w:t>intraclass</w:t>
      </w:r>
      <w:proofErr w:type="spellEnd"/>
      <w:r w:rsidRPr="00F15812">
        <w:rPr>
          <w:kern w:val="0"/>
        </w:rPr>
        <w:t xml:space="preserve"> correlation coefficients </w:t>
      </w:r>
    </w:p>
    <w:tbl>
      <w:tblPr>
        <w:tblStyle w:val="TableGrid"/>
        <w:tblW w:w="0" w:type="auto"/>
        <w:tblLook w:val="04A0" w:firstRow="1" w:lastRow="0" w:firstColumn="1" w:lastColumn="0" w:noHBand="0" w:noVBand="1"/>
      </w:tblPr>
      <w:tblGrid>
        <w:gridCol w:w="1585"/>
        <w:gridCol w:w="1578"/>
        <w:gridCol w:w="1558"/>
        <w:gridCol w:w="1563"/>
      </w:tblGrid>
      <w:tr w:rsidR="0048134D" w:rsidRPr="000578B7" w14:paraId="7F3C2EA0" w14:textId="77777777" w:rsidTr="005877CF">
        <w:tc>
          <w:tcPr>
            <w:tcW w:w="1585" w:type="dxa"/>
          </w:tcPr>
          <w:p w14:paraId="6CE65ACA" w14:textId="77777777" w:rsidR="0048134D" w:rsidRPr="00C45353" w:rsidRDefault="0048134D" w:rsidP="005877CF">
            <w:pPr>
              <w:spacing w:after="200" w:line="276" w:lineRule="auto"/>
              <w:rPr>
                <w:rFonts w:ascii="Times New Roman" w:hAnsi="Times New Roman" w:cs="Times New Roman"/>
                <w:b/>
              </w:rPr>
            </w:pPr>
            <w:r w:rsidRPr="00C45353">
              <w:rPr>
                <w:rFonts w:ascii="Times New Roman" w:hAnsi="Times New Roman" w:cs="Times New Roman"/>
                <w:b/>
              </w:rPr>
              <w:t>Reader</w:t>
            </w:r>
          </w:p>
        </w:tc>
        <w:tc>
          <w:tcPr>
            <w:tcW w:w="1578" w:type="dxa"/>
          </w:tcPr>
          <w:p w14:paraId="5C35ECF2" w14:textId="77777777" w:rsidR="0048134D" w:rsidRPr="00C45353" w:rsidRDefault="0048134D" w:rsidP="005877CF">
            <w:pPr>
              <w:spacing w:after="200" w:line="276" w:lineRule="auto"/>
              <w:rPr>
                <w:rFonts w:ascii="Times New Roman" w:hAnsi="Times New Roman" w:cs="Times New Roman"/>
                <w:b/>
              </w:rPr>
            </w:pPr>
            <w:r>
              <w:rPr>
                <w:rFonts w:ascii="Times New Roman" w:hAnsi="Times New Roman" w:cs="Times New Roman"/>
                <w:b/>
              </w:rPr>
              <w:t>1</w:t>
            </w:r>
          </w:p>
        </w:tc>
        <w:tc>
          <w:tcPr>
            <w:tcW w:w="1558" w:type="dxa"/>
          </w:tcPr>
          <w:p w14:paraId="1BCFD99B" w14:textId="77777777" w:rsidR="0048134D" w:rsidRPr="00C45353" w:rsidRDefault="0048134D" w:rsidP="005877CF">
            <w:pPr>
              <w:spacing w:after="200" w:line="276" w:lineRule="auto"/>
              <w:rPr>
                <w:rFonts w:ascii="Times New Roman" w:hAnsi="Times New Roman" w:cs="Times New Roman"/>
                <w:b/>
              </w:rPr>
            </w:pPr>
            <w:r>
              <w:rPr>
                <w:rFonts w:ascii="Times New Roman" w:hAnsi="Times New Roman" w:cs="Times New Roman"/>
                <w:b/>
              </w:rPr>
              <w:t>2</w:t>
            </w:r>
          </w:p>
        </w:tc>
        <w:tc>
          <w:tcPr>
            <w:tcW w:w="1563" w:type="dxa"/>
          </w:tcPr>
          <w:p w14:paraId="0FDBD30C" w14:textId="77777777" w:rsidR="0048134D" w:rsidRPr="00C45353" w:rsidRDefault="0048134D" w:rsidP="005877CF">
            <w:pPr>
              <w:spacing w:after="200" w:line="276" w:lineRule="auto"/>
              <w:rPr>
                <w:rFonts w:ascii="Times New Roman" w:hAnsi="Times New Roman" w:cs="Times New Roman"/>
                <w:b/>
              </w:rPr>
            </w:pPr>
            <w:r>
              <w:rPr>
                <w:rFonts w:ascii="Times New Roman" w:hAnsi="Times New Roman" w:cs="Times New Roman"/>
                <w:b/>
              </w:rPr>
              <w:t>3</w:t>
            </w:r>
          </w:p>
        </w:tc>
      </w:tr>
      <w:tr w:rsidR="0048134D" w:rsidRPr="000578B7" w14:paraId="0028DFCD" w14:textId="77777777" w:rsidTr="005877CF">
        <w:tc>
          <w:tcPr>
            <w:tcW w:w="1585" w:type="dxa"/>
          </w:tcPr>
          <w:p w14:paraId="42D5A3F7" w14:textId="77777777" w:rsidR="0048134D" w:rsidRPr="00C45353" w:rsidRDefault="0048134D" w:rsidP="005877CF">
            <w:pPr>
              <w:spacing w:after="200" w:line="276" w:lineRule="auto"/>
              <w:rPr>
                <w:rFonts w:ascii="Times New Roman" w:hAnsi="Times New Roman" w:cs="Times New Roman"/>
                <w:b/>
              </w:rPr>
            </w:pPr>
            <w:r>
              <w:rPr>
                <w:rFonts w:ascii="Times New Roman" w:hAnsi="Times New Roman" w:cs="Times New Roman"/>
                <w:b/>
              </w:rPr>
              <w:t>1</w:t>
            </w:r>
          </w:p>
        </w:tc>
        <w:tc>
          <w:tcPr>
            <w:tcW w:w="1578" w:type="dxa"/>
          </w:tcPr>
          <w:p w14:paraId="19000DAE" w14:textId="77777777" w:rsidR="0048134D" w:rsidRPr="00C45353" w:rsidRDefault="0048134D" w:rsidP="005877CF">
            <w:pPr>
              <w:spacing w:after="200" w:line="276" w:lineRule="auto"/>
              <w:rPr>
                <w:rFonts w:ascii="Times New Roman" w:hAnsi="Times New Roman" w:cs="Times New Roman"/>
              </w:rPr>
            </w:pPr>
            <w:r w:rsidRPr="00C45353">
              <w:rPr>
                <w:rFonts w:ascii="Times New Roman" w:hAnsi="Times New Roman" w:cs="Times New Roman"/>
              </w:rPr>
              <w:t>X</w:t>
            </w:r>
          </w:p>
        </w:tc>
        <w:tc>
          <w:tcPr>
            <w:tcW w:w="1558" w:type="dxa"/>
          </w:tcPr>
          <w:p w14:paraId="3219829C" w14:textId="77777777" w:rsidR="0048134D" w:rsidRPr="00C45353" w:rsidRDefault="0048134D" w:rsidP="005877CF">
            <w:pPr>
              <w:spacing w:after="200" w:line="276" w:lineRule="auto"/>
              <w:rPr>
                <w:rFonts w:ascii="Times New Roman" w:hAnsi="Times New Roman" w:cs="Times New Roman"/>
              </w:rPr>
            </w:pPr>
            <w:r w:rsidRPr="00C45353">
              <w:rPr>
                <w:rFonts w:ascii="Times New Roman" w:hAnsi="Times New Roman" w:cs="Times New Roman"/>
              </w:rPr>
              <w:t>0.97</w:t>
            </w:r>
          </w:p>
        </w:tc>
        <w:tc>
          <w:tcPr>
            <w:tcW w:w="1563" w:type="dxa"/>
          </w:tcPr>
          <w:p w14:paraId="17B46F92" w14:textId="77777777" w:rsidR="0048134D" w:rsidRPr="00C45353" w:rsidRDefault="0048134D" w:rsidP="005877CF">
            <w:pPr>
              <w:spacing w:after="200" w:line="276" w:lineRule="auto"/>
              <w:rPr>
                <w:rFonts w:ascii="Times New Roman" w:hAnsi="Times New Roman" w:cs="Times New Roman"/>
              </w:rPr>
            </w:pPr>
            <w:r w:rsidRPr="00C45353">
              <w:rPr>
                <w:rFonts w:ascii="Times New Roman" w:hAnsi="Times New Roman" w:cs="Times New Roman"/>
              </w:rPr>
              <w:t>0.97</w:t>
            </w:r>
          </w:p>
        </w:tc>
      </w:tr>
      <w:tr w:rsidR="0048134D" w:rsidRPr="000578B7" w14:paraId="00A1B9DB" w14:textId="77777777" w:rsidTr="005877CF">
        <w:tc>
          <w:tcPr>
            <w:tcW w:w="1585" w:type="dxa"/>
          </w:tcPr>
          <w:p w14:paraId="3B1E71F2" w14:textId="77777777" w:rsidR="0048134D" w:rsidRPr="00C45353" w:rsidRDefault="0048134D" w:rsidP="005877CF">
            <w:pPr>
              <w:spacing w:after="200" w:line="276" w:lineRule="auto"/>
              <w:rPr>
                <w:rFonts w:ascii="Times New Roman" w:hAnsi="Times New Roman" w:cs="Times New Roman"/>
                <w:b/>
              </w:rPr>
            </w:pPr>
            <w:r>
              <w:rPr>
                <w:rFonts w:ascii="Times New Roman" w:hAnsi="Times New Roman" w:cs="Times New Roman"/>
                <w:b/>
              </w:rPr>
              <w:t>2</w:t>
            </w:r>
          </w:p>
        </w:tc>
        <w:tc>
          <w:tcPr>
            <w:tcW w:w="1578" w:type="dxa"/>
          </w:tcPr>
          <w:p w14:paraId="1A062CC8" w14:textId="77777777" w:rsidR="0048134D" w:rsidRPr="00C45353" w:rsidRDefault="0048134D" w:rsidP="005877CF">
            <w:pPr>
              <w:spacing w:after="200" w:line="276" w:lineRule="auto"/>
              <w:rPr>
                <w:rFonts w:ascii="Times New Roman" w:hAnsi="Times New Roman" w:cs="Times New Roman"/>
              </w:rPr>
            </w:pPr>
            <w:r w:rsidRPr="00C45353">
              <w:rPr>
                <w:rFonts w:ascii="Times New Roman" w:hAnsi="Times New Roman" w:cs="Times New Roman"/>
              </w:rPr>
              <w:t>0.97</w:t>
            </w:r>
          </w:p>
        </w:tc>
        <w:tc>
          <w:tcPr>
            <w:tcW w:w="1558" w:type="dxa"/>
          </w:tcPr>
          <w:p w14:paraId="79F0AAAD" w14:textId="77777777" w:rsidR="0048134D" w:rsidRPr="00C45353" w:rsidRDefault="0048134D" w:rsidP="005877CF">
            <w:pPr>
              <w:spacing w:after="200" w:line="276" w:lineRule="auto"/>
              <w:rPr>
                <w:rFonts w:ascii="Times New Roman" w:hAnsi="Times New Roman" w:cs="Times New Roman"/>
              </w:rPr>
            </w:pPr>
            <w:r w:rsidRPr="00C45353">
              <w:rPr>
                <w:rFonts w:ascii="Times New Roman" w:hAnsi="Times New Roman" w:cs="Times New Roman"/>
              </w:rPr>
              <w:t>X</w:t>
            </w:r>
          </w:p>
        </w:tc>
        <w:tc>
          <w:tcPr>
            <w:tcW w:w="1563" w:type="dxa"/>
          </w:tcPr>
          <w:p w14:paraId="20D0ADA1" w14:textId="77777777" w:rsidR="0048134D" w:rsidRPr="00C45353" w:rsidRDefault="0048134D" w:rsidP="005877CF">
            <w:pPr>
              <w:spacing w:after="200" w:line="276" w:lineRule="auto"/>
              <w:rPr>
                <w:rFonts w:ascii="Times New Roman" w:hAnsi="Times New Roman" w:cs="Times New Roman"/>
              </w:rPr>
            </w:pPr>
            <w:r w:rsidRPr="00C45353">
              <w:rPr>
                <w:rFonts w:ascii="Times New Roman" w:hAnsi="Times New Roman" w:cs="Times New Roman"/>
              </w:rPr>
              <w:t>0.99</w:t>
            </w:r>
          </w:p>
        </w:tc>
      </w:tr>
      <w:tr w:rsidR="0048134D" w:rsidRPr="000578B7" w14:paraId="01BAB6DC" w14:textId="77777777" w:rsidTr="005877CF">
        <w:tc>
          <w:tcPr>
            <w:tcW w:w="1585" w:type="dxa"/>
          </w:tcPr>
          <w:p w14:paraId="5763BB28" w14:textId="77777777" w:rsidR="0048134D" w:rsidRPr="00C45353" w:rsidRDefault="0048134D" w:rsidP="005877CF">
            <w:pPr>
              <w:spacing w:after="200" w:line="276" w:lineRule="auto"/>
              <w:rPr>
                <w:rFonts w:ascii="Times New Roman" w:hAnsi="Times New Roman" w:cs="Times New Roman"/>
                <w:b/>
              </w:rPr>
            </w:pPr>
            <w:r>
              <w:rPr>
                <w:rFonts w:ascii="Times New Roman" w:hAnsi="Times New Roman" w:cs="Times New Roman"/>
                <w:b/>
              </w:rPr>
              <w:t>3</w:t>
            </w:r>
          </w:p>
        </w:tc>
        <w:tc>
          <w:tcPr>
            <w:tcW w:w="1578" w:type="dxa"/>
          </w:tcPr>
          <w:p w14:paraId="280FDB01" w14:textId="77777777" w:rsidR="0048134D" w:rsidRPr="00C45353" w:rsidRDefault="0048134D" w:rsidP="005877CF">
            <w:pPr>
              <w:spacing w:after="200" w:line="276" w:lineRule="auto"/>
              <w:rPr>
                <w:rFonts w:ascii="Times New Roman" w:hAnsi="Times New Roman" w:cs="Times New Roman"/>
              </w:rPr>
            </w:pPr>
            <w:r w:rsidRPr="00C45353">
              <w:rPr>
                <w:rFonts w:ascii="Times New Roman" w:hAnsi="Times New Roman" w:cs="Times New Roman"/>
              </w:rPr>
              <w:t>0.97</w:t>
            </w:r>
          </w:p>
        </w:tc>
        <w:tc>
          <w:tcPr>
            <w:tcW w:w="1558" w:type="dxa"/>
          </w:tcPr>
          <w:p w14:paraId="035182C5" w14:textId="77777777" w:rsidR="0048134D" w:rsidRPr="00FA7ED9" w:rsidRDefault="0048134D" w:rsidP="005877CF">
            <w:pPr>
              <w:spacing w:after="200" w:line="276" w:lineRule="auto"/>
              <w:rPr>
                <w:rFonts w:ascii="Times New Roman" w:hAnsi="Times New Roman" w:cs="Times New Roman"/>
                <w:lang w:val="nl-NL"/>
              </w:rPr>
            </w:pPr>
            <w:r w:rsidRPr="00FA7ED9">
              <w:rPr>
                <w:rFonts w:ascii="Times New Roman" w:hAnsi="Times New Roman" w:cs="Times New Roman"/>
                <w:lang w:val="nl-NL"/>
              </w:rPr>
              <w:t>0.99</w:t>
            </w:r>
          </w:p>
        </w:tc>
        <w:tc>
          <w:tcPr>
            <w:tcW w:w="1563" w:type="dxa"/>
          </w:tcPr>
          <w:p w14:paraId="69126507" w14:textId="77777777" w:rsidR="0048134D" w:rsidRPr="00FA7ED9" w:rsidRDefault="0048134D" w:rsidP="005877CF">
            <w:pPr>
              <w:spacing w:after="200" w:line="276" w:lineRule="auto"/>
              <w:rPr>
                <w:rFonts w:ascii="Times New Roman" w:hAnsi="Times New Roman" w:cs="Times New Roman"/>
                <w:lang w:val="nl-NL"/>
              </w:rPr>
            </w:pPr>
            <w:r w:rsidRPr="00FA7ED9">
              <w:rPr>
                <w:rFonts w:ascii="Times New Roman" w:hAnsi="Times New Roman" w:cs="Times New Roman"/>
                <w:lang w:val="nl-NL"/>
              </w:rPr>
              <w:t>X</w:t>
            </w:r>
          </w:p>
        </w:tc>
      </w:tr>
    </w:tbl>
    <w:p w14:paraId="7305BCF5" w14:textId="77777777" w:rsidR="0048134D" w:rsidRDefault="0048134D" w:rsidP="0048134D">
      <w:pPr>
        <w:rPr>
          <w:rFonts w:ascii="Times New Roman" w:hAnsi="Times New Roman" w:cs="Times New Roman"/>
          <w:b/>
        </w:rPr>
      </w:pPr>
    </w:p>
    <w:p w14:paraId="3E2EF533" w14:textId="77777777" w:rsidR="0048134D" w:rsidRPr="00F15812" w:rsidRDefault="0048134D" w:rsidP="0048134D">
      <w:pPr>
        <w:pStyle w:val="Heading2"/>
        <w:rPr>
          <w:kern w:val="0"/>
        </w:rPr>
      </w:pPr>
      <w:proofErr w:type="spellStart"/>
      <w:r w:rsidRPr="00F15812">
        <w:rPr>
          <w:kern w:val="0"/>
        </w:rPr>
        <w:t>Intarreader</w:t>
      </w:r>
      <w:proofErr w:type="spellEnd"/>
      <w:r w:rsidRPr="00F15812">
        <w:rPr>
          <w:kern w:val="0"/>
        </w:rPr>
        <w:t xml:space="preserve"> </w:t>
      </w:r>
      <w:proofErr w:type="spellStart"/>
      <w:r w:rsidRPr="00F15812">
        <w:rPr>
          <w:kern w:val="0"/>
        </w:rPr>
        <w:t>intraclass</w:t>
      </w:r>
      <w:proofErr w:type="spellEnd"/>
      <w:r w:rsidRPr="00F15812">
        <w:rPr>
          <w:kern w:val="0"/>
        </w:rPr>
        <w:t xml:space="preserve"> correlation coefficients </w:t>
      </w:r>
    </w:p>
    <w:tbl>
      <w:tblPr>
        <w:tblStyle w:val="TableGrid"/>
        <w:tblW w:w="0" w:type="auto"/>
        <w:tblLook w:val="04A0" w:firstRow="1" w:lastRow="0" w:firstColumn="1" w:lastColumn="0" w:noHBand="0" w:noVBand="1"/>
      </w:tblPr>
      <w:tblGrid>
        <w:gridCol w:w="1578"/>
        <w:gridCol w:w="1558"/>
        <w:gridCol w:w="1563"/>
      </w:tblGrid>
      <w:tr w:rsidR="0048134D" w:rsidRPr="000578B7" w14:paraId="68736C6A" w14:textId="77777777" w:rsidTr="005877CF">
        <w:tc>
          <w:tcPr>
            <w:tcW w:w="1578" w:type="dxa"/>
          </w:tcPr>
          <w:p w14:paraId="2A816930" w14:textId="77777777" w:rsidR="0048134D" w:rsidRPr="000578B7" w:rsidRDefault="0048134D" w:rsidP="005877CF">
            <w:pPr>
              <w:spacing w:after="200" w:line="276" w:lineRule="auto"/>
              <w:rPr>
                <w:rFonts w:ascii="Times New Roman" w:hAnsi="Times New Roman" w:cs="Times New Roman"/>
                <w:b/>
                <w:lang w:val="nl-NL"/>
              </w:rPr>
            </w:pPr>
            <w:r>
              <w:rPr>
                <w:rFonts w:ascii="Times New Roman" w:hAnsi="Times New Roman" w:cs="Times New Roman"/>
                <w:b/>
                <w:lang w:val="nl-NL"/>
              </w:rPr>
              <w:t>Reader 1</w:t>
            </w:r>
          </w:p>
        </w:tc>
        <w:tc>
          <w:tcPr>
            <w:tcW w:w="1558" w:type="dxa"/>
          </w:tcPr>
          <w:p w14:paraId="41AD311A" w14:textId="77777777" w:rsidR="0048134D" w:rsidRPr="000578B7" w:rsidRDefault="0048134D" w:rsidP="005877CF">
            <w:pPr>
              <w:spacing w:after="200" w:line="276" w:lineRule="auto"/>
              <w:rPr>
                <w:rFonts w:ascii="Times New Roman" w:hAnsi="Times New Roman" w:cs="Times New Roman"/>
                <w:b/>
                <w:lang w:val="nl-NL"/>
              </w:rPr>
            </w:pPr>
            <w:r>
              <w:rPr>
                <w:rFonts w:ascii="Times New Roman" w:hAnsi="Times New Roman" w:cs="Times New Roman"/>
                <w:b/>
                <w:lang w:val="nl-NL"/>
              </w:rPr>
              <w:t>Reader 2</w:t>
            </w:r>
          </w:p>
        </w:tc>
        <w:tc>
          <w:tcPr>
            <w:tcW w:w="1563" w:type="dxa"/>
          </w:tcPr>
          <w:p w14:paraId="2C41840B" w14:textId="77777777" w:rsidR="0048134D" w:rsidRPr="000578B7" w:rsidRDefault="0048134D" w:rsidP="005877CF">
            <w:pPr>
              <w:spacing w:after="200" w:line="276" w:lineRule="auto"/>
              <w:rPr>
                <w:rFonts w:ascii="Times New Roman" w:hAnsi="Times New Roman" w:cs="Times New Roman"/>
                <w:b/>
                <w:lang w:val="nl-NL"/>
              </w:rPr>
            </w:pPr>
            <w:r>
              <w:rPr>
                <w:rFonts w:ascii="Times New Roman" w:hAnsi="Times New Roman" w:cs="Times New Roman"/>
                <w:b/>
                <w:lang w:val="nl-NL"/>
              </w:rPr>
              <w:t>Reader 3</w:t>
            </w:r>
          </w:p>
        </w:tc>
      </w:tr>
      <w:tr w:rsidR="0048134D" w:rsidRPr="000578B7" w14:paraId="3FBDB0E1" w14:textId="77777777" w:rsidTr="005877CF">
        <w:tc>
          <w:tcPr>
            <w:tcW w:w="1578" w:type="dxa"/>
          </w:tcPr>
          <w:p w14:paraId="2F131738" w14:textId="77777777" w:rsidR="0048134D" w:rsidRPr="00FA7ED9" w:rsidRDefault="0048134D" w:rsidP="005877CF">
            <w:pPr>
              <w:spacing w:after="200" w:line="276" w:lineRule="auto"/>
              <w:rPr>
                <w:rFonts w:ascii="Times New Roman" w:hAnsi="Times New Roman" w:cs="Times New Roman"/>
                <w:lang w:val="nl-NL"/>
              </w:rPr>
            </w:pPr>
            <w:r w:rsidRPr="00FA7ED9">
              <w:rPr>
                <w:rFonts w:ascii="Times New Roman" w:hAnsi="Times New Roman" w:cs="Times New Roman"/>
                <w:lang w:val="nl-NL"/>
              </w:rPr>
              <w:t>0.99</w:t>
            </w:r>
          </w:p>
        </w:tc>
        <w:tc>
          <w:tcPr>
            <w:tcW w:w="1558" w:type="dxa"/>
          </w:tcPr>
          <w:p w14:paraId="0A6E8ABA" w14:textId="77777777" w:rsidR="0048134D" w:rsidRPr="00FA7ED9" w:rsidRDefault="0048134D" w:rsidP="005877CF">
            <w:pPr>
              <w:spacing w:after="200" w:line="276" w:lineRule="auto"/>
              <w:rPr>
                <w:rFonts w:ascii="Times New Roman" w:hAnsi="Times New Roman" w:cs="Times New Roman"/>
                <w:lang w:val="nl-NL"/>
              </w:rPr>
            </w:pPr>
            <w:r w:rsidRPr="00FA7ED9">
              <w:rPr>
                <w:rFonts w:ascii="Times New Roman" w:hAnsi="Times New Roman" w:cs="Times New Roman"/>
                <w:lang w:val="nl-NL"/>
              </w:rPr>
              <w:t>0.99</w:t>
            </w:r>
          </w:p>
        </w:tc>
        <w:tc>
          <w:tcPr>
            <w:tcW w:w="1563" w:type="dxa"/>
          </w:tcPr>
          <w:p w14:paraId="4DCCAAB5" w14:textId="77777777" w:rsidR="0048134D" w:rsidRPr="00A559E0" w:rsidRDefault="0048134D" w:rsidP="005877CF">
            <w:pPr>
              <w:spacing w:after="200" w:line="276" w:lineRule="auto"/>
              <w:rPr>
                <w:rFonts w:ascii="Times New Roman" w:hAnsi="Times New Roman" w:cs="Times New Roman"/>
                <w:lang w:val="nl-NL"/>
              </w:rPr>
            </w:pPr>
            <w:r w:rsidRPr="00A559E0">
              <w:rPr>
                <w:rFonts w:ascii="Times New Roman" w:hAnsi="Times New Roman" w:cs="Times New Roman"/>
                <w:lang w:val="nl-NL"/>
              </w:rPr>
              <w:t>0.98</w:t>
            </w:r>
          </w:p>
        </w:tc>
      </w:tr>
    </w:tbl>
    <w:p w14:paraId="6B377A62" w14:textId="77777777" w:rsidR="0048134D" w:rsidRDefault="0048134D" w:rsidP="0048134D"/>
    <w:p w14:paraId="116EEE02" w14:textId="77777777" w:rsidR="0048134D" w:rsidRDefault="0048134D">
      <w:pPr>
        <w:rPr>
          <w:rFonts w:ascii="Times New Roman" w:hAnsi="Times New Roman" w:cs="Times New Roman"/>
          <w:b/>
          <w:kern w:val="22"/>
        </w:rPr>
      </w:pPr>
      <w:r>
        <w:br w:type="page"/>
      </w:r>
    </w:p>
    <w:p w14:paraId="3C0F147A" w14:textId="77777777" w:rsidR="0048134D" w:rsidRDefault="0048134D" w:rsidP="00A22650">
      <w:pPr>
        <w:pStyle w:val="Heading1"/>
        <w:sectPr w:rsidR="0048134D" w:rsidSect="0048134D">
          <w:pgSz w:w="11906" w:h="16838"/>
          <w:pgMar w:top="1440" w:right="1440" w:bottom="1440" w:left="1440" w:header="709" w:footer="709" w:gutter="0"/>
          <w:cols w:space="708"/>
          <w:docGrid w:linePitch="360"/>
        </w:sectPr>
      </w:pPr>
    </w:p>
    <w:p w14:paraId="3B925192" w14:textId="4D6B0E39" w:rsidR="00A22650" w:rsidRDefault="0048134D" w:rsidP="00A22650">
      <w:pPr>
        <w:pStyle w:val="Heading1"/>
      </w:pPr>
      <w:r>
        <w:lastRenderedPageBreak/>
        <w:t>Table</w:t>
      </w:r>
      <w:r w:rsidR="00A22650">
        <w:t xml:space="preserve"> </w:t>
      </w:r>
      <w:r w:rsidR="00B922BA">
        <w:t>S</w:t>
      </w:r>
      <w:r>
        <w:t>2</w:t>
      </w:r>
      <w:r w:rsidR="00A22650">
        <w:t xml:space="preserve">. </w:t>
      </w:r>
      <w:r w:rsidR="00B203D5">
        <w:t>Comparison</w:t>
      </w:r>
      <w:r w:rsidR="00744014">
        <w:t xml:space="preserve"> </w:t>
      </w:r>
      <w:bookmarkStart w:id="1" w:name="_Hlk517084405"/>
      <w:r w:rsidR="00B203D5">
        <w:t xml:space="preserve">of </w:t>
      </w:r>
      <w:proofErr w:type="gramStart"/>
      <w:r w:rsidR="00B203D5">
        <w:t>patients</w:t>
      </w:r>
      <w:proofErr w:type="gramEnd"/>
      <w:r w:rsidR="00B203D5">
        <w:t xml:space="preserve"> characteristics between all patients converting</w:t>
      </w:r>
      <w:r w:rsidR="00B02EF9">
        <w:t xml:space="preserve"> to clinically apparent arthritis, those </w:t>
      </w:r>
      <w:r>
        <w:t>with</w:t>
      </w:r>
      <w:r w:rsidR="00B02EF9">
        <w:t xml:space="preserve"> serial MRIs and the final selection of RA patients studied. </w:t>
      </w:r>
      <w:bookmarkEnd w:id="1"/>
    </w:p>
    <w:p w14:paraId="4AD00F89" w14:textId="77777777" w:rsidR="00A22650" w:rsidRPr="00A22650" w:rsidRDefault="00A22650" w:rsidP="00A22650"/>
    <w:tbl>
      <w:tblPr>
        <w:tblW w:w="1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5019"/>
        <w:gridCol w:w="708"/>
        <w:gridCol w:w="1985"/>
        <w:gridCol w:w="283"/>
        <w:gridCol w:w="595"/>
        <w:gridCol w:w="1673"/>
        <w:gridCol w:w="284"/>
        <w:gridCol w:w="878"/>
        <w:gridCol w:w="1843"/>
      </w:tblGrid>
      <w:tr w:rsidR="00A22650" w:rsidRPr="00A22650" w14:paraId="6518E9E6" w14:textId="77777777" w:rsidTr="007E65D5">
        <w:trPr>
          <w:trHeight w:val="570"/>
        </w:trPr>
        <w:tc>
          <w:tcPr>
            <w:tcW w:w="5019" w:type="dxa"/>
            <w:tcBorders>
              <w:top w:val="single" w:sz="24" w:space="0" w:color="auto"/>
              <w:left w:val="nil"/>
              <w:bottom w:val="single" w:sz="4" w:space="0" w:color="auto"/>
              <w:right w:val="nil"/>
            </w:tcBorders>
            <w:shd w:val="clear" w:color="auto" w:fill="auto"/>
            <w:vAlign w:val="center"/>
          </w:tcPr>
          <w:p w14:paraId="76C6BA33" w14:textId="77777777" w:rsidR="00A22650" w:rsidRPr="00A22650" w:rsidRDefault="00A22650" w:rsidP="00A22650">
            <w:pPr>
              <w:spacing w:after="0"/>
              <w:rPr>
                <w:rFonts w:ascii="Times New Roman" w:hAnsi="Times New Roman" w:cs="Times New Roman"/>
                <w:sz w:val="24"/>
              </w:rPr>
            </w:pPr>
          </w:p>
        </w:tc>
        <w:tc>
          <w:tcPr>
            <w:tcW w:w="2693" w:type="dxa"/>
            <w:gridSpan w:val="2"/>
            <w:tcBorders>
              <w:top w:val="single" w:sz="24" w:space="0" w:color="auto"/>
              <w:left w:val="nil"/>
              <w:bottom w:val="single" w:sz="4" w:space="0" w:color="auto"/>
              <w:right w:val="nil"/>
            </w:tcBorders>
            <w:shd w:val="clear" w:color="auto" w:fill="auto"/>
            <w:vAlign w:val="center"/>
          </w:tcPr>
          <w:p w14:paraId="40E226D8" w14:textId="77777777" w:rsidR="00A22650" w:rsidRPr="00A22650" w:rsidRDefault="00A22650" w:rsidP="00A22650">
            <w:pPr>
              <w:spacing w:after="0"/>
              <w:rPr>
                <w:rFonts w:ascii="Times New Roman" w:hAnsi="Times New Roman" w:cs="Times New Roman"/>
                <w:sz w:val="24"/>
              </w:rPr>
            </w:pPr>
            <w:r w:rsidRPr="00A22650">
              <w:rPr>
                <w:rFonts w:ascii="Times New Roman" w:hAnsi="Times New Roman" w:cs="Times New Roman"/>
                <w:sz w:val="24"/>
              </w:rPr>
              <w:t>All converters</w:t>
            </w:r>
          </w:p>
          <w:p w14:paraId="3EF91119" w14:textId="77777777" w:rsidR="00A22650" w:rsidRPr="00A22650" w:rsidRDefault="00A22650" w:rsidP="00A22650">
            <w:pPr>
              <w:spacing w:after="0"/>
              <w:rPr>
                <w:rFonts w:ascii="Times New Roman" w:hAnsi="Times New Roman" w:cs="Times New Roman"/>
                <w:sz w:val="24"/>
              </w:rPr>
            </w:pPr>
          </w:p>
          <w:p w14:paraId="7411C3BF" w14:textId="4904C3C3" w:rsidR="00A22650" w:rsidRPr="00A22650" w:rsidRDefault="00DF0C12" w:rsidP="00A22650">
            <w:pPr>
              <w:spacing w:after="0"/>
              <w:rPr>
                <w:rFonts w:ascii="Times New Roman" w:hAnsi="Times New Roman" w:cs="Times New Roman"/>
                <w:sz w:val="24"/>
              </w:rPr>
            </w:pPr>
            <w:r>
              <w:rPr>
                <w:rFonts w:ascii="Times New Roman" w:hAnsi="Times New Roman" w:cs="Times New Roman"/>
                <w:sz w:val="24"/>
              </w:rPr>
              <w:t>N=</w:t>
            </w:r>
            <w:r w:rsidR="00A22650" w:rsidRPr="00A22650">
              <w:rPr>
                <w:rFonts w:ascii="Times New Roman" w:hAnsi="Times New Roman" w:cs="Times New Roman"/>
                <w:sz w:val="24"/>
              </w:rPr>
              <w:t>76</w:t>
            </w:r>
          </w:p>
        </w:tc>
        <w:tc>
          <w:tcPr>
            <w:tcW w:w="283" w:type="dxa"/>
            <w:tcBorders>
              <w:top w:val="single" w:sz="24" w:space="0" w:color="auto"/>
              <w:left w:val="nil"/>
              <w:bottom w:val="single" w:sz="4" w:space="0" w:color="auto"/>
              <w:right w:val="nil"/>
            </w:tcBorders>
          </w:tcPr>
          <w:p w14:paraId="688F6428" w14:textId="77777777" w:rsidR="00A22650" w:rsidRPr="00A22650" w:rsidRDefault="00A22650" w:rsidP="00A22650">
            <w:pPr>
              <w:spacing w:after="0"/>
              <w:rPr>
                <w:rFonts w:ascii="Times New Roman" w:hAnsi="Times New Roman" w:cs="Times New Roman"/>
                <w:sz w:val="24"/>
              </w:rPr>
            </w:pPr>
          </w:p>
        </w:tc>
        <w:tc>
          <w:tcPr>
            <w:tcW w:w="2268" w:type="dxa"/>
            <w:gridSpan w:val="2"/>
            <w:tcBorders>
              <w:top w:val="single" w:sz="24" w:space="0" w:color="auto"/>
              <w:left w:val="nil"/>
              <w:bottom w:val="single" w:sz="4" w:space="0" w:color="auto"/>
              <w:right w:val="nil"/>
            </w:tcBorders>
          </w:tcPr>
          <w:p w14:paraId="6002306A" w14:textId="2B9DD3E5" w:rsidR="00A22650" w:rsidRPr="00A22650" w:rsidRDefault="00A22650" w:rsidP="00A22650">
            <w:pPr>
              <w:spacing w:after="0"/>
              <w:rPr>
                <w:rFonts w:ascii="Times New Roman" w:hAnsi="Times New Roman" w:cs="Times New Roman"/>
                <w:sz w:val="24"/>
              </w:rPr>
            </w:pPr>
            <w:r w:rsidRPr="00A22650">
              <w:rPr>
                <w:rFonts w:ascii="Times New Roman" w:hAnsi="Times New Roman" w:cs="Times New Roman"/>
                <w:sz w:val="24"/>
                <w:lang w:val="en-US"/>
              </w:rPr>
              <w:t xml:space="preserve">Converters with serial </w:t>
            </w:r>
            <w:r w:rsidR="00B02EF9">
              <w:rPr>
                <w:rFonts w:ascii="Times New Roman" w:hAnsi="Times New Roman" w:cs="Times New Roman"/>
                <w:sz w:val="24"/>
                <w:lang w:val="en-US"/>
              </w:rPr>
              <w:t xml:space="preserve">MR </w:t>
            </w:r>
            <w:r w:rsidRPr="00A22650">
              <w:rPr>
                <w:rFonts w:ascii="Times New Roman" w:hAnsi="Times New Roman" w:cs="Times New Roman"/>
                <w:sz w:val="24"/>
                <w:lang w:val="en-US"/>
              </w:rPr>
              <w:t>imaging</w:t>
            </w:r>
          </w:p>
          <w:p w14:paraId="4F084333" w14:textId="0E976F63" w:rsidR="00A22650" w:rsidRPr="00A22650" w:rsidRDefault="00DF0C12" w:rsidP="00A22650">
            <w:pPr>
              <w:spacing w:after="0"/>
              <w:rPr>
                <w:rFonts w:ascii="Times New Roman" w:hAnsi="Times New Roman" w:cs="Times New Roman"/>
                <w:sz w:val="24"/>
              </w:rPr>
            </w:pPr>
            <w:r>
              <w:rPr>
                <w:rFonts w:ascii="Times New Roman" w:hAnsi="Times New Roman" w:cs="Times New Roman"/>
                <w:sz w:val="24"/>
              </w:rPr>
              <w:t>N=</w:t>
            </w:r>
            <w:r w:rsidR="00A22650" w:rsidRPr="00A22650">
              <w:rPr>
                <w:rFonts w:ascii="Times New Roman" w:hAnsi="Times New Roman" w:cs="Times New Roman"/>
                <w:sz w:val="24"/>
              </w:rPr>
              <w:t>35</w:t>
            </w:r>
          </w:p>
        </w:tc>
        <w:tc>
          <w:tcPr>
            <w:tcW w:w="284" w:type="dxa"/>
            <w:tcBorders>
              <w:top w:val="single" w:sz="24" w:space="0" w:color="auto"/>
              <w:left w:val="nil"/>
              <w:bottom w:val="single" w:sz="4" w:space="0" w:color="auto"/>
              <w:right w:val="nil"/>
            </w:tcBorders>
          </w:tcPr>
          <w:p w14:paraId="0B06DC90" w14:textId="77777777" w:rsidR="00A22650" w:rsidRPr="00A22650" w:rsidRDefault="00A22650" w:rsidP="00A22650">
            <w:pPr>
              <w:spacing w:after="0"/>
              <w:rPr>
                <w:rFonts w:ascii="Times New Roman" w:hAnsi="Times New Roman" w:cs="Times New Roman"/>
                <w:sz w:val="24"/>
              </w:rPr>
            </w:pPr>
          </w:p>
        </w:tc>
        <w:tc>
          <w:tcPr>
            <w:tcW w:w="2721" w:type="dxa"/>
            <w:gridSpan w:val="2"/>
            <w:tcBorders>
              <w:top w:val="single" w:sz="24" w:space="0" w:color="auto"/>
              <w:left w:val="nil"/>
              <w:bottom w:val="single" w:sz="4" w:space="0" w:color="auto"/>
              <w:right w:val="nil"/>
            </w:tcBorders>
          </w:tcPr>
          <w:p w14:paraId="21483C68" w14:textId="7C03C56A" w:rsidR="00A22650" w:rsidRPr="00A22650" w:rsidRDefault="00B02EF9" w:rsidP="00A22650">
            <w:pPr>
              <w:spacing w:after="0"/>
              <w:rPr>
                <w:rFonts w:ascii="Times New Roman" w:hAnsi="Times New Roman" w:cs="Times New Roman"/>
                <w:sz w:val="24"/>
              </w:rPr>
            </w:pPr>
            <w:r>
              <w:rPr>
                <w:rFonts w:ascii="Times New Roman" w:hAnsi="Times New Roman" w:cs="Times New Roman"/>
                <w:sz w:val="24"/>
              </w:rPr>
              <w:t xml:space="preserve">Patients diagnosed with RA </w:t>
            </w:r>
            <w:r w:rsidR="00A22650" w:rsidRPr="00A22650">
              <w:rPr>
                <w:rFonts w:ascii="Times New Roman" w:hAnsi="Times New Roman" w:cs="Times New Roman"/>
                <w:sz w:val="24"/>
              </w:rPr>
              <w:t>&amp; serial</w:t>
            </w:r>
            <w:r>
              <w:rPr>
                <w:rFonts w:ascii="Times New Roman" w:hAnsi="Times New Roman" w:cs="Times New Roman"/>
                <w:sz w:val="24"/>
              </w:rPr>
              <w:t xml:space="preserve"> MR </w:t>
            </w:r>
            <w:r w:rsidR="00A22650" w:rsidRPr="00A22650">
              <w:rPr>
                <w:rFonts w:ascii="Times New Roman" w:hAnsi="Times New Roman" w:cs="Times New Roman"/>
                <w:sz w:val="24"/>
              </w:rPr>
              <w:t>imaging</w:t>
            </w:r>
          </w:p>
          <w:p w14:paraId="6B422F2E" w14:textId="72FBF98E" w:rsidR="00A22650" w:rsidRPr="00A22650" w:rsidRDefault="00DF0C12" w:rsidP="00A22650">
            <w:pPr>
              <w:spacing w:after="0"/>
              <w:rPr>
                <w:rFonts w:ascii="Times New Roman" w:hAnsi="Times New Roman" w:cs="Times New Roman"/>
                <w:sz w:val="24"/>
              </w:rPr>
            </w:pPr>
            <w:r>
              <w:rPr>
                <w:rFonts w:ascii="Times New Roman" w:hAnsi="Times New Roman" w:cs="Times New Roman"/>
                <w:sz w:val="24"/>
              </w:rPr>
              <w:t>N=</w:t>
            </w:r>
            <w:r w:rsidR="00A22650" w:rsidRPr="00A22650">
              <w:rPr>
                <w:rFonts w:ascii="Times New Roman" w:hAnsi="Times New Roman" w:cs="Times New Roman"/>
                <w:sz w:val="24"/>
              </w:rPr>
              <w:t>31</w:t>
            </w:r>
          </w:p>
        </w:tc>
      </w:tr>
      <w:tr w:rsidR="00A22650" w:rsidRPr="00A22650" w14:paraId="5DA213AA" w14:textId="77777777" w:rsidTr="007E65D5">
        <w:trPr>
          <w:trHeight w:val="510"/>
        </w:trPr>
        <w:tc>
          <w:tcPr>
            <w:tcW w:w="5019" w:type="dxa"/>
            <w:tcBorders>
              <w:top w:val="nil"/>
              <w:left w:val="nil"/>
              <w:bottom w:val="nil"/>
              <w:right w:val="nil"/>
            </w:tcBorders>
            <w:vAlign w:val="center"/>
          </w:tcPr>
          <w:p w14:paraId="07D215DE" w14:textId="77777777" w:rsidR="00A22650" w:rsidRPr="00A22650" w:rsidRDefault="00A22650" w:rsidP="00A22650">
            <w:pPr>
              <w:spacing w:before="120" w:after="0" w:line="360" w:lineRule="auto"/>
              <w:rPr>
                <w:rFonts w:ascii="Times New Roman" w:hAnsi="Times New Roman" w:cs="Times New Roman"/>
                <w:sz w:val="24"/>
              </w:rPr>
            </w:pPr>
            <w:r w:rsidRPr="00A22650">
              <w:rPr>
                <w:rFonts w:ascii="Times New Roman" w:hAnsi="Times New Roman" w:cs="Times New Roman"/>
                <w:sz w:val="24"/>
              </w:rPr>
              <w:t xml:space="preserve">Age in years, mean (SD) </w:t>
            </w:r>
          </w:p>
        </w:tc>
        <w:tc>
          <w:tcPr>
            <w:tcW w:w="708" w:type="dxa"/>
            <w:tcBorders>
              <w:top w:val="nil"/>
              <w:left w:val="nil"/>
              <w:bottom w:val="nil"/>
              <w:right w:val="nil"/>
            </w:tcBorders>
            <w:vAlign w:val="center"/>
          </w:tcPr>
          <w:p w14:paraId="219D9C0C" w14:textId="77777777" w:rsidR="00A22650" w:rsidRPr="00A22650" w:rsidRDefault="00A22650" w:rsidP="00A22650">
            <w:pPr>
              <w:spacing w:before="120" w:after="0" w:line="360" w:lineRule="auto"/>
              <w:jc w:val="right"/>
              <w:rPr>
                <w:rFonts w:ascii="Times New Roman" w:hAnsi="Times New Roman" w:cs="Times New Roman"/>
                <w:sz w:val="24"/>
              </w:rPr>
            </w:pPr>
            <w:r w:rsidRPr="00A22650">
              <w:rPr>
                <w:rFonts w:ascii="Times New Roman" w:hAnsi="Times New Roman" w:cs="Times New Roman"/>
                <w:sz w:val="24"/>
              </w:rPr>
              <w:t>46</w:t>
            </w:r>
          </w:p>
        </w:tc>
        <w:tc>
          <w:tcPr>
            <w:tcW w:w="1985" w:type="dxa"/>
            <w:tcBorders>
              <w:top w:val="nil"/>
              <w:left w:val="nil"/>
              <w:bottom w:val="nil"/>
              <w:right w:val="nil"/>
            </w:tcBorders>
            <w:vAlign w:val="center"/>
          </w:tcPr>
          <w:p w14:paraId="36784D41" w14:textId="77777777" w:rsidR="00A22650" w:rsidRPr="00A22650" w:rsidRDefault="00A22650" w:rsidP="00A22650">
            <w:pPr>
              <w:spacing w:before="120" w:after="0" w:line="360" w:lineRule="auto"/>
              <w:rPr>
                <w:rFonts w:ascii="Times New Roman" w:hAnsi="Times New Roman" w:cs="Times New Roman"/>
                <w:sz w:val="24"/>
              </w:rPr>
            </w:pPr>
            <w:r w:rsidRPr="00A22650">
              <w:rPr>
                <w:rFonts w:ascii="Times New Roman" w:hAnsi="Times New Roman" w:cs="Times New Roman"/>
                <w:sz w:val="24"/>
              </w:rPr>
              <w:t>(13)</w:t>
            </w:r>
          </w:p>
        </w:tc>
        <w:tc>
          <w:tcPr>
            <w:tcW w:w="283" w:type="dxa"/>
            <w:tcBorders>
              <w:top w:val="nil"/>
              <w:left w:val="nil"/>
              <w:bottom w:val="nil"/>
              <w:right w:val="nil"/>
            </w:tcBorders>
          </w:tcPr>
          <w:p w14:paraId="403888BC" w14:textId="77777777" w:rsidR="00A22650" w:rsidRPr="00A22650" w:rsidRDefault="00A22650" w:rsidP="00A22650">
            <w:pPr>
              <w:spacing w:before="120" w:after="0" w:line="360" w:lineRule="auto"/>
              <w:rPr>
                <w:rFonts w:ascii="Times New Roman" w:hAnsi="Times New Roman" w:cs="Times New Roman"/>
                <w:sz w:val="24"/>
              </w:rPr>
            </w:pPr>
          </w:p>
        </w:tc>
        <w:tc>
          <w:tcPr>
            <w:tcW w:w="595" w:type="dxa"/>
            <w:tcBorders>
              <w:top w:val="nil"/>
              <w:left w:val="nil"/>
              <w:bottom w:val="nil"/>
              <w:right w:val="nil"/>
            </w:tcBorders>
            <w:vAlign w:val="center"/>
          </w:tcPr>
          <w:p w14:paraId="53E27122" w14:textId="77777777" w:rsidR="00A22650" w:rsidRPr="00A22650" w:rsidRDefault="00A22650" w:rsidP="00A22650">
            <w:pPr>
              <w:spacing w:before="120" w:after="0" w:line="360" w:lineRule="auto"/>
              <w:jc w:val="right"/>
              <w:rPr>
                <w:rFonts w:ascii="Times New Roman" w:hAnsi="Times New Roman" w:cs="Times New Roman"/>
                <w:sz w:val="24"/>
              </w:rPr>
            </w:pPr>
            <w:r w:rsidRPr="00A22650">
              <w:rPr>
                <w:rFonts w:ascii="Times New Roman" w:hAnsi="Times New Roman" w:cs="Times New Roman"/>
                <w:sz w:val="24"/>
              </w:rPr>
              <w:t>44</w:t>
            </w:r>
          </w:p>
        </w:tc>
        <w:tc>
          <w:tcPr>
            <w:tcW w:w="1673" w:type="dxa"/>
            <w:tcBorders>
              <w:top w:val="nil"/>
              <w:left w:val="nil"/>
              <w:bottom w:val="nil"/>
              <w:right w:val="nil"/>
            </w:tcBorders>
            <w:vAlign w:val="center"/>
          </w:tcPr>
          <w:p w14:paraId="311B0137" w14:textId="77777777" w:rsidR="00A22650" w:rsidRPr="00A22650" w:rsidRDefault="00A22650" w:rsidP="00A22650">
            <w:pPr>
              <w:spacing w:before="120" w:after="0" w:line="360" w:lineRule="auto"/>
              <w:rPr>
                <w:rFonts w:ascii="Times New Roman" w:hAnsi="Times New Roman" w:cs="Times New Roman"/>
                <w:sz w:val="24"/>
              </w:rPr>
            </w:pPr>
            <w:r w:rsidRPr="00A22650">
              <w:rPr>
                <w:rFonts w:ascii="Times New Roman" w:hAnsi="Times New Roman" w:cs="Times New Roman"/>
                <w:sz w:val="24"/>
              </w:rPr>
              <w:t>(14)</w:t>
            </w:r>
          </w:p>
        </w:tc>
        <w:tc>
          <w:tcPr>
            <w:tcW w:w="284" w:type="dxa"/>
            <w:tcBorders>
              <w:top w:val="nil"/>
              <w:left w:val="nil"/>
              <w:bottom w:val="nil"/>
              <w:right w:val="nil"/>
            </w:tcBorders>
          </w:tcPr>
          <w:p w14:paraId="740A68FA" w14:textId="77777777" w:rsidR="00A22650" w:rsidRPr="00A22650" w:rsidRDefault="00A22650" w:rsidP="00A22650">
            <w:pPr>
              <w:spacing w:before="120" w:after="0" w:line="360" w:lineRule="auto"/>
              <w:rPr>
                <w:rFonts w:ascii="Times New Roman" w:hAnsi="Times New Roman" w:cs="Times New Roman"/>
                <w:sz w:val="24"/>
              </w:rPr>
            </w:pPr>
          </w:p>
        </w:tc>
        <w:tc>
          <w:tcPr>
            <w:tcW w:w="878" w:type="dxa"/>
            <w:tcBorders>
              <w:top w:val="nil"/>
              <w:left w:val="nil"/>
              <w:bottom w:val="nil"/>
              <w:right w:val="nil"/>
            </w:tcBorders>
            <w:vAlign w:val="center"/>
          </w:tcPr>
          <w:p w14:paraId="4E6A4265" w14:textId="77777777" w:rsidR="00A22650" w:rsidRPr="00A22650" w:rsidRDefault="00A22650" w:rsidP="00A22650">
            <w:pPr>
              <w:spacing w:before="120" w:after="0" w:line="360" w:lineRule="auto"/>
              <w:jc w:val="right"/>
              <w:rPr>
                <w:rFonts w:ascii="Times New Roman" w:hAnsi="Times New Roman" w:cs="Times New Roman"/>
                <w:sz w:val="24"/>
              </w:rPr>
            </w:pPr>
            <w:r w:rsidRPr="00A22650">
              <w:rPr>
                <w:rFonts w:ascii="Times New Roman" w:hAnsi="Times New Roman" w:cs="Times New Roman"/>
                <w:sz w:val="24"/>
              </w:rPr>
              <w:t>45</w:t>
            </w:r>
          </w:p>
        </w:tc>
        <w:tc>
          <w:tcPr>
            <w:tcW w:w="1843" w:type="dxa"/>
            <w:tcBorders>
              <w:top w:val="nil"/>
              <w:left w:val="nil"/>
              <w:bottom w:val="nil"/>
              <w:right w:val="nil"/>
            </w:tcBorders>
            <w:vAlign w:val="center"/>
          </w:tcPr>
          <w:p w14:paraId="5D81F508" w14:textId="77777777" w:rsidR="00A22650" w:rsidRPr="00A22650" w:rsidRDefault="00A22650" w:rsidP="00A22650">
            <w:pPr>
              <w:spacing w:before="120" w:after="0" w:line="360" w:lineRule="auto"/>
              <w:rPr>
                <w:rFonts w:ascii="Times New Roman" w:hAnsi="Times New Roman" w:cs="Times New Roman"/>
                <w:sz w:val="24"/>
              </w:rPr>
            </w:pPr>
            <w:r w:rsidRPr="00A22650">
              <w:rPr>
                <w:rFonts w:ascii="Times New Roman" w:hAnsi="Times New Roman" w:cs="Times New Roman"/>
                <w:sz w:val="24"/>
              </w:rPr>
              <w:t>(14)</w:t>
            </w:r>
          </w:p>
        </w:tc>
      </w:tr>
      <w:tr w:rsidR="00A22650" w:rsidRPr="00A22650" w14:paraId="3509EEF1" w14:textId="77777777" w:rsidTr="007E65D5">
        <w:trPr>
          <w:trHeight w:val="510"/>
        </w:trPr>
        <w:tc>
          <w:tcPr>
            <w:tcW w:w="5019" w:type="dxa"/>
            <w:tcBorders>
              <w:top w:val="nil"/>
              <w:left w:val="nil"/>
              <w:bottom w:val="nil"/>
              <w:right w:val="nil"/>
            </w:tcBorders>
            <w:vAlign w:val="center"/>
          </w:tcPr>
          <w:p w14:paraId="2DD93FD8"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Female sex, n (%)</w:t>
            </w:r>
          </w:p>
        </w:tc>
        <w:tc>
          <w:tcPr>
            <w:tcW w:w="708" w:type="dxa"/>
            <w:tcBorders>
              <w:top w:val="nil"/>
              <w:left w:val="nil"/>
              <w:bottom w:val="nil"/>
              <w:right w:val="nil"/>
            </w:tcBorders>
            <w:vAlign w:val="center"/>
          </w:tcPr>
          <w:p w14:paraId="02730835"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54</w:t>
            </w:r>
          </w:p>
        </w:tc>
        <w:tc>
          <w:tcPr>
            <w:tcW w:w="1985" w:type="dxa"/>
            <w:tcBorders>
              <w:top w:val="nil"/>
              <w:left w:val="nil"/>
              <w:bottom w:val="nil"/>
              <w:right w:val="nil"/>
            </w:tcBorders>
            <w:vAlign w:val="center"/>
          </w:tcPr>
          <w:p w14:paraId="120E785A"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(75)</w:t>
            </w:r>
          </w:p>
        </w:tc>
        <w:tc>
          <w:tcPr>
            <w:tcW w:w="283" w:type="dxa"/>
            <w:tcBorders>
              <w:top w:val="nil"/>
              <w:left w:val="nil"/>
              <w:bottom w:val="nil"/>
              <w:right w:val="nil"/>
            </w:tcBorders>
          </w:tcPr>
          <w:p w14:paraId="502BD6C9" w14:textId="77777777" w:rsidR="00A22650" w:rsidRPr="00A22650" w:rsidRDefault="00A22650" w:rsidP="00A22650">
            <w:pPr>
              <w:spacing w:after="0" w:line="360" w:lineRule="auto"/>
              <w:rPr>
                <w:rFonts w:ascii="Times New Roman" w:hAnsi="Times New Roman" w:cs="Times New Roman"/>
                <w:sz w:val="24"/>
              </w:rPr>
            </w:pPr>
          </w:p>
        </w:tc>
        <w:tc>
          <w:tcPr>
            <w:tcW w:w="595" w:type="dxa"/>
            <w:tcBorders>
              <w:top w:val="nil"/>
              <w:left w:val="nil"/>
              <w:bottom w:val="nil"/>
              <w:right w:val="nil"/>
            </w:tcBorders>
            <w:vAlign w:val="center"/>
          </w:tcPr>
          <w:p w14:paraId="3CDBAF71"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25</w:t>
            </w:r>
          </w:p>
        </w:tc>
        <w:tc>
          <w:tcPr>
            <w:tcW w:w="1673" w:type="dxa"/>
            <w:tcBorders>
              <w:top w:val="nil"/>
              <w:left w:val="nil"/>
              <w:bottom w:val="nil"/>
              <w:right w:val="nil"/>
            </w:tcBorders>
            <w:vAlign w:val="center"/>
          </w:tcPr>
          <w:p w14:paraId="52E65465"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(71)</w:t>
            </w:r>
          </w:p>
        </w:tc>
        <w:tc>
          <w:tcPr>
            <w:tcW w:w="284" w:type="dxa"/>
            <w:tcBorders>
              <w:top w:val="nil"/>
              <w:left w:val="nil"/>
              <w:bottom w:val="nil"/>
              <w:right w:val="nil"/>
            </w:tcBorders>
          </w:tcPr>
          <w:p w14:paraId="6940986E" w14:textId="77777777" w:rsidR="00A22650" w:rsidRPr="00A22650" w:rsidRDefault="00A22650" w:rsidP="00A22650">
            <w:pPr>
              <w:spacing w:after="0" w:line="360" w:lineRule="auto"/>
              <w:rPr>
                <w:rFonts w:ascii="Times New Roman" w:hAnsi="Times New Roman" w:cs="Times New Roman"/>
                <w:sz w:val="24"/>
              </w:rPr>
            </w:pPr>
          </w:p>
        </w:tc>
        <w:tc>
          <w:tcPr>
            <w:tcW w:w="878" w:type="dxa"/>
            <w:tcBorders>
              <w:top w:val="nil"/>
              <w:left w:val="nil"/>
              <w:bottom w:val="nil"/>
              <w:right w:val="nil"/>
            </w:tcBorders>
            <w:vAlign w:val="center"/>
          </w:tcPr>
          <w:p w14:paraId="6E24A9D2"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22</w:t>
            </w:r>
          </w:p>
        </w:tc>
        <w:tc>
          <w:tcPr>
            <w:tcW w:w="1843" w:type="dxa"/>
            <w:tcBorders>
              <w:top w:val="nil"/>
              <w:left w:val="nil"/>
              <w:bottom w:val="nil"/>
              <w:right w:val="nil"/>
            </w:tcBorders>
            <w:vAlign w:val="center"/>
          </w:tcPr>
          <w:p w14:paraId="0F93D2C8"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(71)</w:t>
            </w:r>
          </w:p>
        </w:tc>
      </w:tr>
      <w:tr w:rsidR="00A22650" w:rsidRPr="00A22650" w14:paraId="5E8BD2EE" w14:textId="77777777" w:rsidTr="007E65D5">
        <w:trPr>
          <w:trHeight w:val="510"/>
        </w:trPr>
        <w:tc>
          <w:tcPr>
            <w:tcW w:w="5019" w:type="dxa"/>
            <w:tcBorders>
              <w:top w:val="nil"/>
              <w:left w:val="nil"/>
              <w:bottom w:val="nil"/>
              <w:right w:val="nil"/>
            </w:tcBorders>
            <w:vAlign w:val="center"/>
          </w:tcPr>
          <w:p w14:paraId="59205470"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Symptom duration in weeks, median (IQR)</w:t>
            </w:r>
          </w:p>
        </w:tc>
        <w:tc>
          <w:tcPr>
            <w:tcW w:w="708" w:type="dxa"/>
            <w:tcBorders>
              <w:top w:val="nil"/>
              <w:left w:val="nil"/>
              <w:bottom w:val="nil"/>
              <w:right w:val="nil"/>
            </w:tcBorders>
            <w:vAlign w:val="center"/>
          </w:tcPr>
          <w:p w14:paraId="48543211"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17</w:t>
            </w:r>
          </w:p>
        </w:tc>
        <w:tc>
          <w:tcPr>
            <w:tcW w:w="1985" w:type="dxa"/>
            <w:tcBorders>
              <w:top w:val="nil"/>
              <w:left w:val="nil"/>
              <w:bottom w:val="nil"/>
              <w:right w:val="nil"/>
            </w:tcBorders>
            <w:vAlign w:val="center"/>
          </w:tcPr>
          <w:p w14:paraId="611186CC"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(8–29)</w:t>
            </w:r>
          </w:p>
        </w:tc>
        <w:tc>
          <w:tcPr>
            <w:tcW w:w="283" w:type="dxa"/>
            <w:tcBorders>
              <w:top w:val="nil"/>
              <w:left w:val="nil"/>
              <w:bottom w:val="nil"/>
              <w:right w:val="nil"/>
            </w:tcBorders>
          </w:tcPr>
          <w:p w14:paraId="786D2B07" w14:textId="77777777" w:rsidR="00A22650" w:rsidRPr="00A22650" w:rsidRDefault="00A22650" w:rsidP="00A22650">
            <w:pPr>
              <w:spacing w:after="0" w:line="360" w:lineRule="auto"/>
              <w:rPr>
                <w:rFonts w:ascii="Times New Roman" w:hAnsi="Times New Roman" w:cs="Times New Roman"/>
                <w:sz w:val="24"/>
              </w:rPr>
            </w:pPr>
          </w:p>
        </w:tc>
        <w:tc>
          <w:tcPr>
            <w:tcW w:w="595" w:type="dxa"/>
            <w:tcBorders>
              <w:top w:val="nil"/>
              <w:left w:val="nil"/>
              <w:bottom w:val="nil"/>
              <w:right w:val="nil"/>
            </w:tcBorders>
            <w:vAlign w:val="center"/>
          </w:tcPr>
          <w:p w14:paraId="0F18B377"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18</w:t>
            </w:r>
          </w:p>
        </w:tc>
        <w:tc>
          <w:tcPr>
            <w:tcW w:w="1673" w:type="dxa"/>
            <w:tcBorders>
              <w:top w:val="nil"/>
              <w:left w:val="nil"/>
              <w:bottom w:val="nil"/>
              <w:right w:val="nil"/>
            </w:tcBorders>
            <w:vAlign w:val="center"/>
          </w:tcPr>
          <w:p w14:paraId="41A9A2E3"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(7–45)</w:t>
            </w:r>
          </w:p>
        </w:tc>
        <w:tc>
          <w:tcPr>
            <w:tcW w:w="284" w:type="dxa"/>
            <w:tcBorders>
              <w:top w:val="nil"/>
              <w:left w:val="nil"/>
              <w:bottom w:val="nil"/>
              <w:right w:val="nil"/>
            </w:tcBorders>
          </w:tcPr>
          <w:p w14:paraId="23DAC352" w14:textId="77777777" w:rsidR="00A22650" w:rsidRPr="00A22650" w:rsidRDefault="00A22650" w:rsidP="00A22650">
            <w:pPr>
              <w:spacing w:after="0" w:line="360" w:lineRule="auto"/>
              <w:rPr>
                <w:rFonts w:ascii="Times New Roman" w:hAnsi="Times New Roman" w:cs="Times New Roman"/>
                <w:sz w:val="24"/>
              </w:rPr>
            </w:pPr>
          </w:p>
        </w:tc>
        <w:tc>
          <w:tcPr>
            <w:tcW w:w="878" w:type="dxa"/>
            <w:tcBorders>
              <w:top w:val="nil"/>
              <w:left w:val="nil"/>
              <w:bottom w:val="nil"/>
              <w:right w:val="nil"/>
            </w:tcBorders>
            <w:vAlign w:val="center"/>
          </w:tcPr>
          <w:p w14:paraId="1A83E700"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17</w:t>
            </w:r>
          </w:p>
        </w:tc>
        <w:tc>
          <w:tcPr>
            <w:tcW w:w="1843" w:type="dxa"/>
            <w:tcBorders>
              <w:top w:val="nil"/>
              <w:left w:val="nil"/>
              <w:bottom w:val="nil"/>
              <w:right w:val="nil"/>
            </w:tcBorders>
            <w:vAlign w:val="center"/>
          </w:tcPr>
          <w:p w14:paraId="5141A60B"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(9-32)</w:t>
            </w:r>
          </w:p>
        </w:tc>
      </w:tr>
      <w:tr w:rsidR="00A22650" w:rsidRPr="00A22650" w14:paraId="3B76C0EF" w14:textId="77777777" w:rsidTr="007E65D5">
        <w:trPr>
          <w:trHeight w:val="510"/>
        </w:trPr>
        <w:tc>
          <w:tcPr>
            <w:tcW w:w="5019" w:type="dxa"/>
            <w:tcBorders>
              <w:top w:val="nil"/>
              <w:left w:val="nil"/>
              <w:bottom w:val="nil"/>
              <w:right w:val="nil"/>
            </w:tcBorders>
            <w:vAlign w:val="center"/>
          </w:tcPr>
          <w:p w14:paraId="3527D39F"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 xml:space="preserve">Presence of morning stiffness ≥60 minutes, n (%) </w:t>
            </w:r>
          </w:p>
        </w:tc>
        <w:tc>
          <w:tcPr>
            <w:tcW w:w="708" w:type="dxa"/>
            <w:tcBorders>
              <w:top w:val="nil"/>
              <w:left w:val="nil"/>
              <w:bottom w:val="nil"/>
              <w:right w:val="nil"/>
            </w:tcBorders>
            <w:vAlign w:val="center"/>
          </w:tcPr>
          <w:p w14:paraId="53EE4876"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33</w:t>
            </w:r>
          </w:p>
        </w:tc>
        <w:tc>
          <w:tcPr>
            <w:tcW w:w="1985" w:type="dxa"/>
            <w:tcBorders>
              <w:top w:val="nil"/>
              <w:left w:val="nil"/>
              <w:bottom w:val="nil"/>
              <w:right w:val="nil"/>
            </w:tcBorders>
            <w:vAlign w:val="center"/>
          </w:tcPr>
          <w:p w14:paraId="775EBE91"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(45)</w:t>
            </w:r>
          </w:p>
        </w:tc>
        <w:tc>
          <w:tcPr>
            <w:tcW w:w="283" w:type="dxa"/>
            <w:tcBorders>
              <w:top w:val="nil"/>
              <w:left w:val="nil"/>
              <w:bottom w:val="nil"/>
              <w:right w:val="nil"/>
            </w:tcBorders>
          </w:tcPr>
          <w:p w14:paraId="08C1A981" w14:textId="77777777" w:rsidR="00A22650" w:rsidRPr="00A22650" w:rsidRDefault="00A22650" w:rsidP="00A22650">
            <w:pPr>
              <w:spacing w:after="0" w:line="360" w:lineRule="auto"/>
              <w:rPr>
                <w:rFonts w:ascii="Times New Roman" w:hAnsi="Times New Roman" w:cs="Times New Roman"/>
                <w:sz w:val="24"/>
              </w:rPr>
            </w:pPr>
          </w:p>
        </w:tc>
        <w:tc>
          <w:tcPr>
            <w:tcW w:w="595" w:type="dxa"/>
            <w:tcBorders>
              <w:top w:val="nil"/>
              <w:left w:val="nil"/>
              <w:bottom w:val="nil"/>
              <w:right w:val="nil"/>
            </w:tcBorders>
            <w:vAlign w:val="center"/>
          </w:tcPr>
          <w:p w14:paraId="089071D7"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11</w:t>
            </w:r>
          </w:p>
        </w:tc>
        <w:tc>
          <w:tcPr>
            <w:tcW w:w="1673" w:type="dxa"/>
            <w:tcBorders>
              <w:top w:val="nil"/>
              <w:left w:val="nil"/>
              <w:bottom w:val="nil"/>
              <w:right w:val="nil"/>
            </w:tcBorders>
            <w:vAlign w:val="center"/>
          </w:tcPr>
          <w:p w14:paraId="286BEC85"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(36)</w:t>
            </w:r>
          </w:p>
        </w:tc>
        <w:tc>
          <w:tcPr>
            <w:tcW w:w="284" w:type="dxa"/>
            <w:tcBorders>
              <w:top w:val="nil"/>
              <w:left w:val="nil"/>
              <w:bottom w:val="nil"/>
              <w:right w:val="nil"/>
            </w:tcBorders>
          </w:tcPr>
          <w:p w14:paraId="4F5D729F" w14:textId="77777777" w:rsidR="00A22650" w:rsidRPr="00A22650" w:rsidRDefault="00A22650" w:rsidP="00A22650">
            <w:pPr>
              <w:spacing w:after="0" w:line="360" w:lineRule="auto"/>
              <w:rPr>
                <w:rFonts w:ascii="Times New Roman" w:hAnsi="Times New Roman" w:cs="Times New Roman"/>
                <w:sz w:val="24"/>
              </w:rPr>
            </w:pPr>
          </w:p>
        </w:tc>
        <w:tc>
          <w:tcPr>
            <w:tcW w:w="878" w:type="dxa"/>
            <w:tcBorders>
              <w:top w:val="nil"/>
              <w:left w:val="nil"/>
              <w:bottom w:val="nil"/>
              <w:right w:val="nil"/>
            </w:tcBorders>
            <w:vAlign w:val="center"/>
          </w:tcPr>
          <w:p w14:paraId="4F032277"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11</w:t>
            </w:r>
          </w:p>
        </w:tc>
        <w:tc>
          <w:tcPr>
            <w:tcW w:w="1843" w:type="dxa"/>
            <w:tcBorders>
              <w:top w:val="nil"/>
              <w:left w:val="nil"/>
              <w:bottom w:val="nil"/>
              <w:right w:val="nil"/>
            </w:tcBorders>
            <w:vAlign w:val="center"/>
          </w:tcPr>
          <w:p w14:paraId="464E0DDD"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(35)</w:t>
            </w:r>
          </w:p>
        </w:tc>
      </w:tr>
      <w:tr w:rsidR="00A22650" w:rsidRPr="00A22650" w14:paraId="55923312" w14:textId="77777777" w:rsidTr="007E65D5">
        <w:trPr>
          <w:trHeight w:val="510"/>
        </w:trPr>
        <w:tc>
          <w:tcPr>
            <w:tcW w:w="5019" w:type="dxa"/>
            <w:tcBorders>
              <w:top w:val="nil"/>
              <w:left w:val="nil"/>
              <w:bottom w:val="nil"/>
              <w:right w:val="nil"/>
            </w:tcBorders>
            <w:vAlign w:val="center"/>
          </w:tcPr>
          <w:p w14:paraId="55D46F02"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 xml:space="preserve">68-TJC, median (IQR) </w:t>
            </w:r>
          </w:p>
        </w:tc>
        <w:tc>
          <w:tcPr>
            <w:tcW w:w="708" w:type="dxa"/>
            <w:tcBorders>
              <w:top w:val="nil"/>
              <w:left w:val="nil"/>
              <w:bottom w:val="nil"/>
              <w:right w:val="nil"/>
            </w:tcBorders>
            <w:vAlign w:val="center"/>
          </w:tcPr>
          <w:p w14:paraId="51B385EE"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5</w:t>
            </w:r>
          </w:p>
        </w:tc>
        <w:tc>
          <w:tcPr>
            <w:tcW w:w="1985" w:type="dxa"/>
            <w:tcBorders>
              <w:top w:val="nil"/>
              <w:left w:val="nil"/>
              <w:bottom w:val="nil"/>
              <w:right w:val="nil"/>
            </w:tcBorders>
            <w:vAlign w:val="center"/>
          </w:tcPr>
          <w:p w14:paraId="6F25CC02"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(4–9)</w:t>
            </w:r>
          </w:p>
        </w:tc>
        <w:tc>
          <w:tcPr>
            <w:tcW w:w="283" w:type="dxa"/>
            <w:tcBorders>
              <w:top w:val="nil"/>
              <w:left w:val="nil"/>
              <w:bottom w:val="nil"/>
              <w:right w:val="nil"/>
            </w:tcBorders>
          </w:tcPr>
          <w:p w14:paraId="18104CAF" w14:textId="77777777" w:rsidR="00A22650" w:rsidRPr="00A22650" w:rsidRDefault="00A22650" w:rsidP="00A22650">
            <w:pPr>
              <w:spacing w:after="0" w:line="360" w:lineRule="auto"/>
              <w:rPr>
                <w:rFonts w:ascii="Times New Roman" w:hAnsi="Times New Roman" w:cs="Times New Roman"/>
                <w:sz w:val="24"/>
              </w:rPr>
            </w:pPr>
          </w:p>
        </w:tc>
        <w:tc>
          <w:tcPr>
            <w:tcW w:w="595" w:type="dxa"/>
            <w:tcBorders>
              <w:top w:val="nil"/>
              <w:left w:val="nil"/>
              <w:bottom w:val="nil"/>
              <w:right w:val="nil"/>
            </w:tcBorders>
            <w:vAlign w:val="center"/>
          </w:tcPr>
          <w:p w14:paraId="445A950A"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5</w:t>
            </w:r>
          </w:p>
        </w:tc>
        <w:tc>
          <w:tcPr>
            <w:tcW w:w="1673" w:type="dxa"/>
            <w:tcBorders>
              <w:top w:val="nil"/>
              <w:left w:val="nil"/>
              <w:bottom w:val="nil"/>
              <w:right w:val="nil"/>
            </w:tcBorders>
            <w:vAlign w:val="center"/>
          </w:tcPr>
          <w:p w14:paraId="621474B3"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(4–10)</w:t>
            </w:r>
          </w:p>
        </w:tc>
        <w:tc>
          <w:tcPr>
            <w:tcW w:w="284" w:type="dxa"/>
            <w:tcBorders>
              <w:top w:val="nil"/>
              <w:left w:val="nil"/>
              <w:bottom w:val="nil"/>
              <w:right w:val="nil"/>
            </w:tcBorders>
          </w:tcPr>
          <w:p w14:paraId="45CDEF96" w14:textId="77777777" w:rsidR="00A22650" w:rsidRPr="00A22650" w:rsidRDefault="00A22650" w:rsidP="00A22650">
            <w:pPr>
              <w:spacing w:after="0" w:line="360" w:lineRule="auto"/>
              <w:rPr>
                <w:rFonts w:ascii="Times New Roman" w:hAnsi="Times New Roman" w:cs="Times New Roman"/>
                <w:sz w:val="24"/>
              </w:rPr>
            </w:pPr>
          </w:p>
        </w:tc>
        <w:tc>
          <w:tcPr>
            <w:tcW w:w="878" w:type="dxa"/>
            <w:tcBorders>
              <w:top w:val="nil"/>
              <w:left w:val="nil"/>
              <w:bottom w:val="nil"/>
              <w:right w:val="nil"/>
            </w:tcBorders>
            <w:vAlign w:val="center"/>
          </w:tcPr>
          <w:p w14:paraId="086D314D"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5</w:t>
            </w:r>
          </w:p>
        </w:tc>
        <w:tc>
          <w:tcPr>
            <w:tcW w:w="1843" w:type="dxa"/>
            <w:tcBorders>
              <w:top w:val="nil"/>
              <w:left w:val="nil"/>
              <w:bottom w:val="nil"/>
              <w:right w:val="nil"/>
            </w:tcBorders>
            <w:vAlign w:val="center"/>
          </w:tcPr>
          <w:p w14:paraId="60090859"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(4–9)</w:t>
            </w:r>
          </w:p>
        </w:tc>
      </w:tr>
      <w:tr w:rsidR="00A22650" w:rsidRPr="00A22650" w14:paraId="4CCCD397" w14:textId="77777777" w:rsidTr="007E65D5">
        <w:trPr>
          <w:trHeight w:val="510"/>
        </w:trPr>
        <w:tc>
          <w:tcPr>
            <w:tcW w:w="5019" w:type="dxa"/>
            <w:tcBorders>
              <w:top w:val="nil"/>
              <w:left w:val="nil"/>
              <w:bottom w:val="nil"/>
              <w:right w:val="nil"/>
            </w:tcBorders>
            <w:vAlign w:val="center"/>
          </w:tcPr>
          <w:p w14:paraId="64BE133A"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Increased CRP (≥5 mg/L), n (%)</w:t>
            </w:r>
          </w:p>
        </w:tc>
        <w:tc>
          <w:tcPr>
            <w:tcW w:w="708" w:type="dxa"/>
            <w:tcBorders>
              <w:top w:val="nil"/>
              <w:left w:val="nil"/>
              <w:bottom w:val="nil"/>
              <w:right w:val="nil"/>
            </w:tcBorders>
            <w:vAlign w:val="center"/>
          </w:tcPr>
          <w:p w14:paraId="6AF4822B"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20</w:t>
            </w:r>
          </w:p>
        </w:tc>
        <w:tc>
          <w:tcPr>
            <w:tcW w:w="1985" w:type="dxa"/>
            <w:tcBorders>
              <w:top w:val="nil"/>
              <w:left w:val="nil"/>
              <w:bottom w:val="nil"/>
              <w:right w:val="nil"/>
            </w:tcBorders>
            <w:vAlign w:val="center"/>
          </w:tcPr>
          <w:p w14:paraId="41328D41"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(30)</w:t>
            </w:r>
          </w:p>
        </w:tc>
        <w:tc>
          <w:tcPr>
            <w:tcW w:w="283" w:type="dxa"/>
            <w:tcBorders>
              <w:top w:val="nil"/>
              <w:left w:val="nil"/>
              <w:bottom w:val="nil"/>
              <w:right w:val="nil"/>
            </w:tcBorders>
          </w:tcPr>
          <w:p w14:paraId="4B61C42A" w14:textId="77777777" w:rsidR="00A22650" w:rsidRPr="00A22650" w:rsidRDefault="00A22650" w:rsidP="00A22650">
            <w:pPr>
              <w:spacing w:after="0" w:line="360" w:lineRule="auto"/>
              <w:rPr>
                <w:rFonts w:ascii="Times New Roman" w:hAnsi="Times New Roman" w:cs="Times New Roman"/>
                <w:sz w:val="24"/>
              </w:rPr>
            </w:pPr>
          </w:p>
        </w:tc>
        <w:tc>
          <w:tcPr>
            <w:tcW w:w="595" w:type="dxa"/>
            <w:tcBorders>
              <w:top w:val="nil"/>
              <w:left w:val="nil"/>
              <w:bottom w:val="nil"/>
              <w:right w:val="nil"/>
            </w:tcBorders>
            <w:vAlign w:val="center"/>
          </w:tcPr>
          <w:p w14:paraId="00AF5907"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6</w:t>
            </w:r>
          </w:p>
        </w:tc>
        <w:tc>
          <w:tcPr>
            <w:tcW w:w="1673" w:type="dxa"/>
            <w:tcBorders>
              <w:top w:val="nil"/>
              <w:left w:val="nil"/>
              <w:bottom w:val="nil"/>
              <w:right w:val="nil"/>
            </w:tcBorders>
            <w:vAlign w:val="center"/>
          </w:tcPr>
          <w:p w14:paraId="61F705E2"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(17)</w:t>
            </w:r>
          </w:p>
        </w:tc>
        <w:tc>
          <w:tcPr>
            <w:tcW w:w="284" w:type="dxa"/>
            <w:tcBorders>
              <w:top w:val="nil"/>
              <w:left w:val="nil"/>
              <w:bottom w:val="nil"/>
              <w:right w:val="nil"/>
            </w:tcBorders>
          </w:tcPr>
          <w:p w14:paraId="5CA98C9D" w14:textId="77777777" w:rsidR="00A22650" w:rsidRPr="00A22650" w:rsidRDefault="00A22650" w:rsidP="00A22650">
            <w:pPr>
              <w:spacing w:after="0" w:line="360" w:lineRule="auto"/>
              <w:rPr>
                <w:rFonts w:ascii="Times New Roman" w:hAnsi="Times New Roman" w:cs="Times New Roman"/>
                <w:sz w:val="24"/>
              </w:rPr>
            </w:pPr>
          </w:p>
        </w:tc>
        <w:tc>
          <w:tcPr>
            <w:tcW w:w="878" w:type="dxa"/>
            <w:tcBorders>
              <w:top w:val="nil"/>
              <w:left w:val="nil"/>
              <w:bottom w:val="nil"/>
              <w:right w:val="nil"/>
            </w:tcBorders>
            <w:vAlign w:val="center"/>
          </w:tcPr>
          <w:p w14:paraId="6F843C59"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6</w:t>
            </w:r>
          </w:p>
        </w:tc>
        <w:tc>
          <w:tcPr>
            <w:tcW w:w="1843" w:type="dxa"/>
            <w:tcBorders>
              <w:top w:val="nil"/>
              <w:left w:val="nil"/>
              <w:bottom w:val="nil"/>
              <w:right w:val="nil"/>
            </w:tcBorders>
            <w:vAlign w:val="center"/>
          </w:tcPr>
          <w:p w14:paraId="3F0C0FF4"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(19)</w:t>
            </w:r>
          </w:p>
        </w:tc>
      </w:tr>
      <w:tr w:rsidR="00A22650" w:rsidRPr="00A22650" w14:paraId="03158554" w14:textId="77777777" w:rsidTr="007E65D5">
        <w:trPr>
          <w:trHeight w:val="510"/>
        </w:trPr>
        <w:tc>
          <w:tcPr>
            <w:tcW w:w="5019" w:type="dxa"/>
            <w:tcBorders>
              <w:top w:val="nil"/>
              <w:left w:val="nil"/>
              <w:bottom w:val="nil"/>
              <w:right w:val="nil"/>
            </w:tcBorders>
            <w:vAlign w:val="center"/>
          </w:tcPr>
          <w:p w14:paraId="68DE1A6D"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 xml:space="preserve">Autoantibody status </w:t>
            </w:r>
          </w:p>
        </w:tc>
        <w:tc>
          <w:tcPr>
            <w:tcW w:w="708" w:type="dxa"/>
            <w:tcBorders>
              <w:top w:val="nil"/>
              <w:left w:val="nil"/>
              <w:bottom w:val="nil"/>
              <w:right w:val="nil"/>
            </w:tcBorders>
            <w:vAlign w:val="center"/>
          </w:tcPr>
          <w:p w14:paraId="2BA8A7E2" w14:textId="77777777" w:rsidR="00A22650" w:rsidRPr="00A22650" w:rsidRDefault="00A22650" w:rsidP="00A22650">
            <w:pPr>
              <w:spacing w:after="0" w:line="360" w:lineRule="auto"/>
              <w:jc w:val="right"/>
              <w:rPr>
                <w:rFonts w:ascii="Times New Roman" w:hAnsi="Times New Roman" w:cs="Times New Roman"/>
                <w:b/>
                <w:sz w:val="24"/>
              </w:rPr>
            </w:pPr>
          </w:p>
        </w:tc>
        <w:tc>
          <w:tcPr>
            <w:tcW w:w="1985" w:type="dxa"/>
            <w:tcBorders>
              <w:top w:val="nil"/>
              <w:left w:val="nil"/>
              <w:bottom w:val="nil"/>
              <w:right w:val="nil"/>
            </w:tcBorders>
            <w:vAlign w:val="center"/>
          </w:tcPr>
          <w:p w14:paraId="003D4C3E" w14:textId="77777777" w:rsidR="00A22650" w:rsidRPr="00A22650" w:rsidRDefault="00A22650" w:rsidP="00A22650">
            <w:pPr>
              <w:spacing w:after="0" w:line="360" w:lineRule="auto"/>
              <w:rPr>
                <w:rFonts w:ascii="Times New Roman" w:hAnsi="Times New Roman" w:cs="Times New Roman"/>
                <w:sz w:val="24"/>
              </w:rPr>
            </w:pPr>
          </w:p>
        </w:tc>
        <w:tc>
          <w:tcPr>
            <w:tcW w:w="283" w:type="dxa"/>
            <w:tcBorders>
              <w:top w:val="nil"/>
              <w:left w:val="nil"/>
              <w:bottom w:val="nil"/>
              <w:right w:val="nil"/>
            </w:tcBorders>
          </w:tcPr>
          <w:p w14:paraId="4AA29068" w14:textId="77777777" w:rsidR="00A22650" w:rsidRPr="00A22650" w:rsidRDefault="00A22650" w:rsidP="00A22650">
            <w:pPr>
              <w:spacing w:after="0" w:line="360" w:lineRule="auto"/>
              <w:rPr>
                <w:rFonts w:ascii="Times New Roman" w:hAnsi="Times New Roman" w:cs="Times New Roman"/>
                <w:sz w:val="24"/>
              </w:rPr>
            </w:pPr>
          </w:p>
        </w:tc>
        <w:tc>
          <w:tcPr>
            <w:tcW w:w="595" w:type="dxa"/>
            <w:tcBorders>
              <w:top w:val="nil"/>
              <w:left w:val="nil"/>
              <w:bottom w:val="nil"/>
              <w:right w:val="nil"/>
            </w:tcBorders>
            <w:vAlign w:val="center"/>
          </w:tcPr>
          <w:p w14:paraId="598AD43A" w14:textId="77777777" w:rsidR="00A22650" w:rsidRPr="00A22650" w:rsidRDefault="00A22650" w:rsidP="00A22650">
            <w:pPr>
              <w:spacing w:after="0" w:line="360" w:lineRule="auto"/>
              <w:jc w:val="right"/>
              <w:rPr>
                <w:rFonts w:ascii="Times New Roman" w:hAnsi="Times New Roman" w:cs="Times New Roman"/>
                <w:sz w:val="24"/>
              </w:rPr>
            </w:pPr>
          </w:p>
        </w:tc>
        <w:tc>
          <w:tcPr>
            <w:tcW w:w="1673" w:type="dxa"/>
            <w:tcBorders>
              <w:top w:val="nil"/>
              <w:left w:val="nil"/>
              <w:bottom w:val="nil"/>
              <w:right w:val="nil"/>
            </w:tcBorders>
            <w:vAlign w:val="center"/>
          </w:tcPr>
          <w:p w14:paraId="3DFC9341" w14:textId="77777777" w:rsidR="00A22650" w:rsidRPr="00A22650" w:rsidRDefault="00A22650" w:rsidP="00A22650">
            <w:pPr>
              <w:spacing w:after="0" w:line="360" w:lineRule="auto"/>
              <w:rPr>
                <w:rFonts w:ascii="Times New Roman" w:hAnsi="Times New Roman" w:cs="Times New Roman"/>
                <w:sz w:val="24"/>
              </w:rPr>
            </w:pPr>
          </w:p>
        </w:tc>
        <w:tc>
          <w:tcPr>
            <w:tcW w:w="284" w:type="dxa"/>
            <w:tcBorders>
              <w:top w:val="nil"/>
              <w:left w:val="nil"/>
              <w:bottom w:val="nil"/>
              <w:right w:val="nil"/>
            </w:tcBorders>
          </w:tcPr>
          <w:p w14:paraId="1DAA0AD1" w14:textId="77777777" w:rsidR="00A22650" w:rsidRPr="00A22650" w:rsidRDefault="00A22650" w:rsidP="00A22650">
            <w:pPr>
              <w:spacing w:after="0" w:line="360" w:lineRule="auto"/>
              <w:rPr>
                <w:rFonts w:ascii="Times New Roman" w:hAnsi="Times New Roman" w:cs="Times New Roman"/>
                <w:sz w:val="24"/>
              </w:rPr>
            </w:pPr>
          </w:p>
        </w:tc>
        <w:tc>
          <w:tcPr>
            <w:tcW w:w="878" w:type="dxa"/>
            <w:tcBorders>
              <w:top w:val="nil"/>
              <w:left w:val="nil"/>
              <w:bottom w:val="nil"/>
              <w:right w:val="nil"/>
            </w:tcBorders>
            <w:vAlign w:val="center"/>
          </w:tcPr>
          <w:p w14:paraId="1F6DC47A" w14:textId="77777777" w:rsidR="00A22650" w:rsidRPr="00A22650" w:rsidRDefault="00A22650" w:rsidP="00A22650">
            <w:pPr>
              <w:spacing w:after="0" w:line="360" w:lineRule="auto"/>
              <w:jc w:val="right"/>
              <w:rPr>
                <w:rFonts w:ascii="Times New Roman" w:hAnsi="Times New Roman" w:cs="Times New Roman"/>
                <w:sz w:val="24"/>
              </w:rPr>
            </w:pPr>
          </w:p>
        </w:tc>
        <w:tc>
          <w:tcPr>
            <w:tcW w:w="1843" w:type="dxa"/>
            <w:tcBorders>
              <w:top w:val="nil"/>
              <w:left w:val="nil"/>
              <w:bottom w:val="nil"/>
              <w:right w:val="nil"/>
            </w:tcBorders>
            <w:vAlign w:val="center"/>
          </w:tcPr>
          <w:p w14:paraId="511739E9" w14:textId="77777777" w:rsidR="00A22650" w:rsidRPr="00A22650" w:rsidRDefault="00A22650" w:rsidP="00A22650">
            <w:pPr>
              <w:spacing w:after="0" w:line="360" w:lineRule="auto"/>
              <w:rPr>
                <w:rFonts w:ascii="Times New Roman" w:hAnsi="Times New Roman" w:cs="Times New Roman"/>
                <w:sz w:val="24"/>
              </w:rPr>
            </w:pPr>
          </w:p>
        </w:tc>
      </w:tr>
      <w:tr w:rsidR="00A22650" w:rsidRPr="00A22650" w14:paraId="07CD48A2" w14:textId="77777777" w:rsidTr="007E65D5">
        <w:trPr>
          <w:trHeight w:val="510"/>
        </w:trPr>
        <w:tc>
          <w:tcPr>
            <w:tcW w:w="5019" w:type="dxa"/>
            <w:tcBorders>
              <w:top w:val="nil"/>
              <w:left w:val="nil"/>
              <w:bottom w:val="nil"/>
              <w:right w:val="nil"/>
            </w:tcBorders>
            <w:vAlign w:val="center"/>
          </w:tcPr>
          <w:p w14:paraId="6BA88748" w14:textId="77777777" w:rsidR="00A22650" w:rsidRPr="00A22650" w:rsidRDefault="00A22650" w:rsidP="00A22650">
            <w:pPr>
              <w:spacing w:after="0" w:line="360" w:lineRule="auto"/>
              <w:ind w:left="567"/>
              <w:rPr>
                <w:rFonts w:ascii="Times New Roman" w:hAnsi="Times New Roman" w:cs="Times New Roman"/>
                <w:sz w:val="24"/>
              </w:rPr>
            </w:pPr>
            <w:r w:rsidRPr="00A22650">
              <w:rPr>
                <w:rFonts w:ascii="Times New Roman" w:hAnsi="Times New Roman" w:cs="Times New Roman"/>
                <w:sz w:val="24"/>
              </w:rPr>
              <w:t>IgM-RF-positive (≥3.5 IU/mL), n (%)</w:t>
            </w:r>
          </w:p>
        </w:tc>
        <w:tc>
          <w:tcPr>
            <w:tcW w:w="708" w:type="dxa"/>
            <w:tcBorders>
              <w:top w:val="nil"/>
              <w:left w:val="nil"/>
              <w:bottom w:val="nil"/>
              <w:right w:val="nil"/>
            </w:tcBorders>
            <w:vAlign w:val="center"/>
          </w:tcPr>
          <w:p w14:paraId="3B5AD5F6"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33</w:t>
            </w:r>
          </w:p>
        </w:tc>
        <w:tc>
          <w:tcPr>
            <w:tcW w:w="1985" w:type="dxa"/>
            <w:tcBorders>
              <w:top w:val="nil"/>
              <w:left w:val="nil"/>
              <w:bottom w:val="nil"/>
              <w:right w:val="nil"/>
            </w:tcBorders>
            <w:vAlign w:val="center"/>
          </w:tcPr>
          <w:p w14:paraId="26CF1210"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(49)</w:t>
            </w:r>
          </w:p>
        </w:tc>
        <w:tc>
          <w:tcPr>
            <w:tcW w:w="283" w:type="dxa"/>
            <w:tcBorders>
              <w:top w:val="nil"/>
              <w:left w:val="nil"/>
              <w:bottom w:val="nil"/>
              <w:right w:val="nil"/>
            </w:tcBorders>
          </w:tcPr>
          <w:p w14:paraId="70F4C587" w14:textId="77777777" w:rsidR="00A22650" w:rsidRPr="00A22650" w:rsidRDefault="00A22650" w:rsidP="00A22650">
            <w:pPr>
              <w:spacing w:after="0" w:line="360" w:lineRule="auto"/>
              <w:rPr>
                <w:rFonts w:ascii="Times New Roman" w:hAnsi="Times New Roman" w:cs="Times New Roman"/>
                <w:sz w:val="24"/>
              </w:rPr>
            </w:pPr>
          </w:p>
        </w:tc>
        <w:tc>
          <w:tcPr>
            <w:tcW w:w="595" w:type="dxa"/>
            <w:tcBorders>
              <w:top w:val="nil"/>
              <w:left w:val="nil"/>
              <w:bottom w:val="nil"/>
              <w:right w:val="nil"/>
            </w:tcBorders>
            <w:vAlign w:val="center"/>
          </w:tcPr>
          <w:p w14:paraId="794AC473"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13</w:t>
            </w:r>
          </w:p>
        </w:tc>
        <w:tc>
          <w:tcPr>
            <w:tcW w:w="1673" w:type="dxa"/>
            <w:tcBorders>
              <w:top w:val="nil"/>
              <w:left w:val="nil"/>
              <w:bottom w:val="nil"/>
              <w:right w:val="nil"/>
            </w:tcBorders>
            <w:vAlign w:val="center"/>
          </w:tcPr>
          <w:p w14:paraId="445F6C15"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(37)</w:t>
            </w:r>
          </w:p>
        </w:tc>
        <w:tc>
          <w:tcPr>
            <w:tcW w:w="284" w:type="dxa"/>
            <w:tcBorders>
              <w:top w:val="nil"/>
              <w:left w:val="nil"/>
              <w:bottom w:val="nil"/>
              <w:right w:val="nil"/>
            </w:tcBorders>
          </w:tcPr>
          <w:p w14:paraId="1BC248A8" w14:textId="77777777" w:rsidR="00A22650" w:rsidRPr="00A22650" w:rsidRDefault="00A22650" w:rsidP="00A22650">
            <w:pPr>
              <w:spacing w:after="0" w:line="360" w:lineRule="auto"/>
              <w:rPr>
                <w:rFonts w:ascii="Times New Roman" w:hAnsi="Times New Roman" w:cs="Times New Roman"/>
                <w:sz w:val="24"/>
              </w:rPr>
            </w:pPr>
          </w:p>
        </w:tc>
        <w:tc>
          <w:tcPr>
            <w:tcW w:w="878" w:type="dxa"/>
            <w:tcBorders>
              <w:top w:val="nil"/>
              <w:left w:val="nil"/>
              <w:bottom w:val="nil"/>
              <w:right w:val="nil"/>
            </w:tcBorders>
            <w:vAlign w:val="center"/>
          </w:tcPr>
          <w:p w14:paraId="076A2582"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13</w:t>
            </w:r>
          </w:p>
        </w:tc>
        <w:tc>
          <w:tcPr>
            <w:tcW w:w="1843" w:type="dxa"/>
            <w:tcBorders>
              <w:top w:val="nil"/>
              <w:left w:val="nil"/>
              <w:bottom w:val="nil"/>
              <w:right w:val="nil"/>
            </w:tcBorders>
            <w:vAlign w:val="center"/>
          </w:tcPr>
          <w:p w14:paraId="0E2DA2DA"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(42)</w:t>
            </w:r>
          </w:p>
        </w:tc>
      </w:tr>
      <w:tr w:rsidR="00A22650" w:rsidRPr="00A22650" w14:paraId="1473DBB2" w14:textId="77777777" w:rsidTr="007E65D5">
        <w:trPr>
          <w:trHeight w:val="510"/>
        </w:trPr>
        <w:tc>
          <w:tcPr>
            <w:tcW w:w="5019" w:type="dxa"/>
            <w:tcBorders>
              <w:top w:val="nil"/>
              <w:left w:val="nil"/>
              <w:bottom w:val="single" w:sz="24" w:space="0" w:color="auto"/>
              <w:right w:val="nil"/>
            </w:tcBorders>
            <w:vAlign w:val="center"/>
          </w:tcPr>
          <w:p w14:paraId="6968349C" w14:textId="77777777" w:rsidR="00A22650" w:rsidRPr="00A22650" w:rsidRDefault="00A22650" w:rsidP="00A22650">
            <w:pPr>
              <w:spacing w:after="0" w:line="360" w:lineRule="auto"/>
              <w:ind w:left="567"/>
              <w:rPr>
                <w:rFonts w:ascii="Times New Roman" w:hAnsi="Times New Roman" w:cs="Times New Roman"/>
                <w:sz w:val="24"/>
              </w:rPr>
            </w:pPr>
            <w:r w:rsidRPr="00A22650">
              <w:rPr>
                <w:rFonts w:ascii="Times New Roman" w:hAnsi="Times New Roman" w:cs="Times New Roman"/>
                <w:sz w:val="24"/>
              </w:rPr>
              <w:t>ACPA-positive (≥7 U/mL), n (%)</w:t>
            </w:r>
          </w:p>
        </w:tc>
        <w:tc>
          <w:tcPr>
            <w:tcW w:w="708" w:type="dxa"/>
            <w:tcBorders>
              <w:top w:val="nil"/>
              <w:left w:val="nil"/>
              <w:bottom w:val="single" w:sz="24" w:space="0" w:color="auto"/>
              <w:right w:val="nil"/>
            </w:tcBorders>
            <w:vAlign w:val="center"/>
          </w:tcPr>
          <w:p w14:paraId="5DB722A1"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27</w:t>
            </w:r>
          </w:p>
        </w:tc>
        <w:tc>
          <w:tcPr>
            <w:tcW w:w="1985" w:type="dxa"/>
            <w:tcBorders>
              <w:top w:val="nil"/>
              <w:left w:val="nil"/>
              <w:bottom w:val="single" w:sz="24" w:space="0" w:color="auto"/>
              <w:right w:val="nil"/>
            </w:tcBorders>
            <w:vAlign w:val="center"/>
          </w:tcPr>
          <w:p w14:paraId="55B87226"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(40)</w:t>
            </w:r>
          </w:p>
        </w:tc>
        <w:tc>
          <w:tcPr>
            <w:tcW w:w="283" w:type="dxa"/>
            <w:tcBorders>
              <w:top w:val="nil"/>
              <w:left w:val="nil"/>
              <w:bottom w:val="single" w:sz="24" w:space="0" w:color="auto"/>
              <w:right w:val="nil"/>
            </w:tcBorders>
          </w:tcPr>
          <w:p w14:paraId="1FFFF8B8" w14:textId="77777777" w:rsidR="00A22650" w:rsidRPr="00A22650" w:rsidRDefault="00A22650" w:rsidP="00A22650">
            <w:pPr>
              <w:spacing w:after="0" w:line="360" w:lineRule="auto"/>
              <w:rPr>
                <w:rFonts w:ascii="Times New Roman" w:hAnsi="Times New Roman" w:cs="Times New Roman"/>
                <w:sz w:val="24"/>
              </w:rPr>
            </w:pPr>
          </w:p>
        </w:tc>
        <w:tc>
          <w:tcPr>
            <w:tcW w:w="595" w:type="dxa"/>
            <w:tcBorders>
              <w:top w:val="nil"/>
              <w:left w:val="nil"/>
              <w:bottom w:val="single" w:sz="24" w:space="0" w:color="auto"/>
              <w:right w:val="nil"/>
            </w:tcBorders>
            <w:vAlign w:val="center"/>
          </w:tcPr>
          <w:p w14:paraId="39F56750"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9</w:t>
            </w:r>
          </w:p>
        </w:tc>
        <w:tc>
          <w:tcPr>
            <w:tcW w:w="1673" w:type="dxa"/>
            <w:tcBorders>
              <w:top w:val="nil"/>
              <w:left w:val="nil"/>
              <w:bottom w:val="single" w:sz="24" w:space="0" w:color="auto"/>
              <w:right w:val="nil"/>
            </w:tcBorders>
            <w:vAlign w:val="center"/>
          </w:tcPr>
          <w:p w14:paraId="168931F2"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(26)</w:t>
            </w:r>
          </w:p>
        </w:tc>
        <w:tc>
          <w:tcPr>
            <w:tcW w:w="284" w:type="dxa"/>
            <w:tcBorders>
              <w:top w:val="nil"/>
              <w:left w:val="nil"/>
              <w:bottom w:val="single" w:sz="24" w:space="0" w:color="auto"/>
              <w:right w:val="nil"/>
            </w:tcBorders>
          </w:tcPr>
          <w:p w14:paraId="284DC823" w14:textId="77777777" w:rsidR="00A22650" w:rsidRPr="00A22650" w:rsidRDefault="00A22650" w:rsidP="00A22650">
            <w:pPr>
              <w:spacing w:after="0" w:line="360" w:lineRule="auto"/>
              <w:rPr>
                <w:rFonts w:ascii="Times New Roman" w:hAnsi="Times New Roman" w:cs="Times New Roman"/>
                <w:sz w:val="24"/>
              </w:rPr>
            </w:pPr>
          </w:p>
        </w:tc>
        <w:tc>
          <w:tcPr>
            <w:tcW w:w="878" w:type="dxa"/>
            <w:tcBorders>
              <w:top w:val="nil"/>
              <w:left w:val="nil"/>
              <w:bottom w:val="single" w:sz="24" w:space="0" w:color="auto"/>
              <w:right w:val="nil"/>
            </w:tcBorders>
            <w:vAlign w:val="center"/>
          </w:tcPr>
          <w:p w14:paraId="4B03BB89" w14:textId="77777777" w:rsidR="00A22650" w:rsidRPr="00A22650" w:rsidRDefault="00A22650" w:rsidP="00A22650">
            <w:pPr>
              <w:spacing w:after="0" w:line="360" w:lineRule="auto"/>
              <w:jc w:val="right"/>
              <w:rPr>
                <w:rFonts w:ascii="Times New Roman" w:hAnsi="Times New Roman" w:cs="Times New Roman"/>
                <w:sz w:val="24"/>
              </w:rPr>
            </w:pPr>
            <w:r w:rsidRPr="00A22650">
              <w:rPr>
                <w:rFonts w:ascii="Times New Roman" w:hAnsi="Times New Roman" w:cs="Times New Roman"/>
                <w:sz w:val="24"/>
              </w:rPr>
              <w:t>9</w:t>
            </w:r>
          </w:p>
        </w:tc>
        <w:tc>
          <w:tcPr>
            <w:tcW w:w="1843" w:type="dxa"/>
            <w:tcBorders>
              <w:top w:val="nil"/>
              <w:left w:val="nil"/>
              <w:bottom w:val="single" w:sz="24" w:space="0" w:color="auto"/>
              <w:right w:val="nil"/>
            </w:tcBorders>
            <w:vAlign w:val="center"/>
          </w:tcPr>
          <w:p w14:paraId="693E41EC" w14:textId="77777777" w:rsidR="00A22650" w:rsidRPr="00A22650" w:rsidRDefault="00A22650" w:rsidP="00A22650">
            <w:pPr>
              <w:spacing w:after="0" w:line="360" w:lineRule="auto"/>
              <w:rPr>
                <w:rFonts w:ascii="Times New Roman" w:hAnsi="Times New Roman" w:cs="Times New Roman"/>
                <w:sz w:val="24"/>
              </w:rPr>
            </w:pPr>
            <w:r w:rsidRPr="00A22650">
              <w:rPr>
                <w:rFonts w:ascii="Times New Roman" w:hAnsi="Times New Roman" w:cs="Times New Roman"/>
                <w:sz w:val="24"/>
              </w:rPr>
              <w:t>(29)</w:t>
            </w:r>
          </w:p>
        </w:tc>
      </w:tr>
    </w:tbl>
    <w:p w14:paraId="6B9CCCC6" w14:textId="77777777" w:rsidR="00C85F6C" w:rsidRDefault="00C85F6C" w:rsidP="00E23D50"/>
    <w:p w14:paraId="3610BDDC" w14:textId="77777777" w:rsidR="00B02EF9" w:rsidRDefault="00B02EF9" w:rsidP="00E23D50"/>
    <w:p w14:paraId="182F373D" w14:textId="77777777" w:rsidR="00B02EF9" w:rsidRDefault="00B02EF9">
      <w:r>
        <w:br w:type="page"/>
      </w:r>
    </w:p>
    <w:p w14:paraId="0781C788" w14:textId="61F82BFB" w:rsidR="00744854" w:rsidRDefault="00744854" w:rsidP="00744854">
      <w:pPr>
        <w:pStyle w:val="Heading1"/>
      </w:pPr>
      <w:r>
        <w:lastRenderedPageBreak/>
        <w:t xml:space="preserve">Table </w:t>
      </w:r>
      <w:r w:rsidR="00B922BA">
        <w:t>S</w:t>
      </w:r>
      <w:r>
        <w:t>3. P</w:t>
      </w:r>
      <w:r w:rsidR="00B02EF9">
        <w:t>atient characteri</w:t>
      </w:r>
      <w:r w:rsidR="005158EA">
        <w:t>stics of ACPA-positive and ACPA-</w:t>
      </w:r>
      <w:r w:rsidR="00B02EF9">
        <w:t>negative patients studied, at presentation with CSA</w:t>
      </w:r>
      <w:r>
        <w:t>.</w:t>
      </w:r>
    </w:p>
    <w:p w14:paraId="550B8897" w14:textId="77777777" w:rsidR="005158EA" w:rsidRPr="005158EA" w:rsidRDefault="005158EA" w:rsidP="005158EA"/>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5472"/>
        <w:gridCol w:w="709"/>
        <w:gridCol w:w="2126"/>
        <w:gridCol w:w="283"/>
        <w:gridCol w:w="709"/>
        <w:gridCol w:w="2126"/>
      </w:tblGrid>
      <w:tr w:rsidR="005158EA" w:rsidRPr="00A22650" w14:paraId="2CE1026D" w14:textId="77777777" w:rsidTr="00A76073">
        <w:trPr>
          <w:trHeight w:val="574"/>
        </w:trPr>
        <w:tc>
          <w:tcPr>
            <w:tcW w:w="5472" w:type="dxa"/>
            <w:tcBorders>
              <w:top w:val="single" w:sz="24" w:space="0" w:color="auto"/>
              <w:left w:val="nil"/>
              <w:bottom w:val="single" w:sz="4" w:space="0" w:color="auto"/>
              <w:right w:val="nil"/>
            </w:tcBorders>
            <w:shd w:val="clear" w:color="auto" w:fill="auto"/>
            <w:vAlign w:val="center"/>
          </w:tcPr>
          <w:p w14:paraId="276DAB98" w14:textId="77777777" w:rsidR="005158EA" w:rsidRPr="00A22650" w:rsidRDefault="005158EA" w:rsidP="005877CF">
            <w:pPr>
              <w:spacing w:after="0"/>
              <w:rPr>
                <w:rFonts w:ascii="Times New Roman" w:hAnsi="Times New Roman" w:cs="Times New Roman"/>
                <w:sz w:val="24"/>
              </w:rPr>
            </w:pPr>
          </w:p>
        </w:tc>
        <w:tc>
          <w:tcPr>
            <w:tcW w:w="2835" w:type="dxa"/>
            <w:gridSpan w:val="2"/>
            <w:tcBorders>
              <w:top w:val="single" w:sz="24" w:space="0" w:color="auto"/>
              <w:left w:val="nil"/>
              <w:bottom w:val="single" w:sz="4" w:space="0" w:color="auto"/>
              <w:right w:val="nil"/>
            </w:tcBorders>
            <w:shd w:val="clear" w:color="auto" w:fill="auto"/>
            <w:vAlign w:val="center"/>
          </w:tcPr>
          <w:p w14:paraId="355C9BA5" w14:textId="4D1D35CC" w:rsidR="005158EA" w:rsidRPr="00A22650" w:rsidRDefault="005158EA" w:rsidP="005877CF">
            <w:pPr>
              <w:spacing w:after="0"/>
              <w:rPr>
                <w:rFonts w:ascii="Times New Roman" w:hAnsi="Times New Roman" w:cs="Times New Roman"/>
                <w:sz w:val="24"/>
              </w:rPr>
            </w:pPr>
            <w:r>
              <w:rPr>
                <w:rFonts w:ascii="Times New Roman" w:hAnsi="Times New Roman" w:cs="Times New Roman"/>
                <w:sz w:val="24"/>
              </w:rPr>
              <w:t>ACPA-positive patients</w:t>
            </w:r>
          </w:p>
          <w:p w14:paraId="3CCBCFF9" w14:textId="77777777" w:rsidR="005158EA" w:rsidRPr="00A22650" w:rsidRDefault="005158EA" w:rsidP="005877CF">
            <w:pPr>
              <w:spacing w:after="0"/>
              <w:rPr>
                <w:rFonts w:ascii="Times New Roman" w:hAnsi="Times New Roman" w:cs="Times New Roman"/>
                <w:sz w:val="24"/>
              </w:rPr>
            </w:pPr>
          </w:p>
          <w:p w14:paraId="71F664C9" w14:textId="1AB73BE2" w:rsidR="005158EA" w:rsidRPr="00A22650" w:rsidRDefault="005158EA" w:rsidP="005158EA">
            <w:pPr>
              <w:spacing w:after="0"/>
              <w:rPr>
                <w:rFonts w:ascii="Times New Roman" w:hAnsi="Times New Roman" w:cs="Times New Roman"/>
                <w:sz w:val="24"/>
              </w:rPr>
            </w:pPr>
            <w:r>
              <w:rPr>
                <w:rFonts w:ascii="Times New Roman" w:hAnsi="Times New Roman" w:cs="Times New Roman"/>
                <w:sz w:val="24"/>
              </w:rPr>
              <w:t>N=9</w:t>
            </w:r>
          </w:p>
        </w:tc>
        <w:tc>
          <w:tcPr>
            <w:tcW w:w="283" w:type="dxa"/>
            <w:tcBorders>
              <w:top w:val="single" w:sz="24" w:space="0" w:color="auto"/>
              <w:left w:val="nil"/>
              <w:bottom w:val="single" w:sz="4" w:space="0" w:color="auto"/>
              <w:right w:val="nil"/>
            </w:tcBorders>
          </w:tcPr>
          <w:p w14:paraId="1485715A" w14:textId="77777777" w:rsidR="005158EA" w:rsidRPr="00A22650" w:rsidRDefault="005158EA" w:rsidP="005877CF">
            <w:pPr>
              <w:spacing w:after="0"/>
              <w:rPr>
                <w:rFonts w:ascii="Times New Roman" w:hAnsi="Times New Roman" w:cs="Times New Roman"/>
                <w:sz w:val="24"/>
              </w:rPr>
            </w:pPr>
          </w:p>
        </w:tc>
        <w:tc>
          <w:tcPr>
            <w:tcW w:w="2835" w:type="dxa"/>
            <w:gridSpan w:val="2"/>
            <w:tcBorders>
              <w:top w:val="single" w:sz="24" w:space="0" w:color="auto"/>
              <w:left w:val="nil"/>
              <w:bottom w:val="single" w:sz="4" w:space="0" w:color="auto"/>
              <w:right w:val="nil"/>
            </w:tcBorders>
          </w:tcPr>
          <w:p w14:paraId="528C2528" w14:textId="4D19A6DB" w:rsidR="005158EA" w:rsidRPr="00A22650" w:rsidRDefault="005158EA" w:rsidP="005158EA">
            <w:pPr>
              <w:spacing w:after="0"/>
              <w:rPr>
                <w:rFonts w:ascii="Times New Roman" w:hAnsi="Times New Roman" w:cs="Times New Roman"/>
                <w:sz w:val="24"/>
              </w:rPr>
            </w:pPr>
            <w:r>
              <w:rPr>
                <w:rFonts w:ascii="Times New Roman" w:hAnsi="Times New Roman" w:cs="Times New Roman"/>
                <w:sz w:val="24"/>
              </w:rPr>
              <w:t>ACPA-negative patients</w:t>
            </w:r>
          </w:p>
          <w:p w14:paraId="3B4D88F1" w14:textId="77777777" w:rsidR="005158EA" w:rsidRDefault="005158EA" w:rsidP="005877CF">
            <w:pPr>
              <w:spacing w:after="0"/>
              <w:rPr>
                <w:rFonts w:ascii="Times New Roman" w:hAnsi="Times New Roman" w:cs="Times New Roman"/>
                <w:sz w:val="24"/>
              </w:rPr>
            </w:pPr>
          </w:p>
          <w:p w14:paraId="4859821A" w14:textId="57EDC33C" w:rsidR="005158EA" w:rsidRPr="00A22650" w:rsidRDefault="005158EA" w:rsidP="005877CF">
            <w:pPr>
              <w:spacing w:after="0"/>
              <w:rPr>
                <w:rFonts w:ascii="Times New Roman" w:hAnsi="Times New Roman" w:cs="Times New Roman"/>
                <w:sz w:val="24"/>
              </w:rPr>
            </w:pPr>
            <w:r>
              <w:rPr>
                <w:rFonts w:ascii="Times New Roman" w:hAnsi="Times New Roman" w:cs="Times New Roman"/>
                <w:sz w:val="24"/>
              </w:rPr>
              <w:t>N=22</w:t>
            </w:r>
          </w:p>
        </w:tc>
      </w:tr>
      <w:tr w:rsidR="00A76073" w:rsidRPr="00A22650" w14:paraId="7E90F9E6" w14:textId="77777777" w:rsidTr="0008789B">
        <w:trPr>
          <w:trHeight w:val="514"/>
        </w:trPr>
        <w:tc>
          <w:tcPr>
            <w:tcW w:w="5472" w:type="dxa"/>
            <w:tcBorders>
              <w:top w:val="nil"/>
              <w:left w:val="nil"/>
              <w:bottom w:val="nil"/>
              <w:right w:val="nil"/>
            </w:tcBorders>
            <w:vAlign w:val="center"/>
          </w:tcPr>
          <w:p w14:paraId="4F26E76A" w14:textId="77777777" w:rsidR="005158EA" w:rsidRPr="00A22650" w:rsidRDefault="005158EA" w:rsidP="005158EA">
            <w:pPr>
              <w:spacing w:before="120" w:after="0" w:line="360" w:lineRule="auto"/>
              <w:rPr>
                <w:rFonts w:ascii="Times New Roman" w:hAnsi="Times New Roman" w:cs="Times New Roman"/>
                <w:sz w:val="24"/>
              </w:rPr>
            </w:pPr>
            <w:r w:rsidRPr="00A22650">
              <w:rPr>
                <w:rFonts w:ascii="Times New Roman" w:hAnsi="Times New Roman" w:cs="Times New Roman"/>
                <w:sz w:val="24"/>
              </w:rPr>
              <w:t xml:space="preserve">Age in years, mean (SD) </w:t>
            </w:r>
          </w:p>
        </w:tc>
        <w:tc>
          <w:tcPr>
            <w:tcW w:w="709" w:type="dxa"/>
            <w:tcBorders>
              <w:top w:val="nil"/>
              <w:left w:val="nil"/>
              <w:bottom w:val="nil"/>
              <w:right w:val="nil"/>
            </w:tcBorders>
            <w:vAlign w:val="center"/>
          </w:tcPr>
          <w:p w14:paraId="2288A2DA" w14:textId="79B5E3B9" w:rsidR="005158EA" w:rsidRPr="00A22650" w:rsidRDefault="005158EA" w:rsidP="005158EA">
            <w:pPr>
              <w:spacing w:before="120" w:after="0" w:line="360" w:lineRule="auto"/>
              <w:jc w:val="right"/>
              <w:rPr>
                <w:rFonts w:ascii="Times New Roman" w:hAnsi="Times New Roman" w:cs="Times New Roman"/>
                <w:sz w:val="24"/>
              </w:rPr>
            </w:pPr>
            <w:r w:rsidRPr="00A22650">
              <w:rPr>
                <w:rFonts w:ascii="Times New Roman" w:hAnsi="Times New Roman" w:cs="Times New Roman"/>
                <w:sz w:val="24"/>
              </w:rPr>
              <w:t>4</w:t>
            </w:r>
            <w:r w:rsidR="00A76073">
              <w:rPr>
                <w:rFonts w:ascii="Times New Roman" w:hAnsi="Times New Roman" w:cs="Times New Roman"/>
                <w:sz w:val="24"/>
              </w:rPr>
              <w:t>5</w:t>
            </w:r>
          </w:p>
        </w:tc>
        <w:tc>
          <w:tcPr>
            <w:tcW w:w="2126" w:type="dxa"/>
            <w:tcBorders>
              <w:top w:val="nil"/>
              <w:left w:val="nil"/>
              <w:bottom w:val="nil"/>
              <w:right w:val="nil"/>
            </w:tcBorders>
            <w:vAlign w:val="center"/>
          </w:tcPr>
          <w:p w14:paraId="6EDC5AC3" w14:textId="0BF7B622" w:rsidR="005158EA" w:rsidRPr="00A22650" w:rsidRDefault="005158EA" w:rsidP="005158EA">
            <w:pPr>
              <w:spacing w:before="120" w:after="0" w:line="360" w:lineRule="auto"/>
              <w:rPr>
                <w:rFonts w:ascii="Times New Roman" w:hAnsi="Times New Roman" w:cs="Times New Roman"/>
                <w:sz w:val="24"/>
              </w:rPr>
            </w:pPr>
            <w:r w:rsidRPr="00A22650">
              <w:rPr>
                <w:rFonts w:ascii="Times New Roman" w:hAnsi="Times New Roman" w:cs="Times New Roman"/>
                <w:sz w:val="24"/>
              </w:rPr>
              <w:t>(</w:t>
            </w:r>
            <w:r w:rsidR="00A76073">
              <w:rPr>
                <w:rFonts w:ascii="Times New Roman" w:hAnsi="Times New Roman" w:cs="Times New Roman"/>
                <w:sz w:val="24"/>
              </w:rPr>
              <w:t>14</w:t>
            </w:r>
            <w:r w:rsidRPr="00A22650">
              <w:rPr>
                <w:rFonts w:ascii="Times New Roman" w:hAnsi="Times New Roman" w:cs="Times New Roman"/>
                <w:sz w:val="24"/>
              </w:rPr>
              <w:t>)</w:t>
            </w:r>
          </w:p>
        </w:tc>
        <w:tc>
          <w:tcPr>
            <w:tcW w:w="283" w:type="dxa"/>
            <w:tcBorders>
              <w:top w:val="nil"/>
              <w:left w:val="nil"/>
              <w:bottom w:val="nil"/>
              <w:right w:val="nil"/>
            </w:tcBorders>
          </w:tcPr>
          <w:p w14:paraId="1692D551" w14:textId="77777777" w:rsidR="005158EA" w:rsidRPr="00A22650" w:rsidRDefault="005158EA" w:rsidP="005158EA">
            <w:pPr>
              <w:spacing w:before="120" w:after="0" w:line="360" w:lineRule="auto"/>
              <w:rPr>
                <w:rFonts w:ascii="Times New Roman" w:hAnsi="Times New Roman" w:cs="Times New Roman"/>
                <w:sz w:val="24"/>
              </w:rPr>
            </w:pPr>
          </w:p>
        </w:tc>
        <w:tc>
          <w:tcPr>
            <w:tcW w:w="709" w:type="dxa"/>
            <w:tcBorders>
              <w:top w:val="nil"/>
              <w:left w:val="nil"/>
              <w:bottom w:val="nil"/>
              <w:right w:val="nil"/>
            </w:tcBorders>
            <w:vAlign w:val="center"/>
          </w:tcPr>
          <w:p w14:paraId="1A0E3C40" w14:textId="77777777" w:rsidR="005158EA" w:rsidRPr="00A22650" w:rsidRDefault="005158EA" w:rsidP="0008789B">
            <w:pPr>
              <w:spacing w:before="120" w:after="0" w:line="360" w:lineRule="auto"/>
              <w:jc w:val="right"/>
              <w:rPr>
                <w:rFonts w:ascii="Times New Roman" w:hAnsi="Times New Roman" w:cs="Times New Roman"/>
                <w:sz w:val="24"/>
              </w:rPr>
            </w:pPr>
            <w:r w:rsidRPr="00A22650">
              <w:rPr>
                <w:rFonts w:ascii="Times New Roman" w:hAnsi="Times New Roman" w:cs="Times New Roman"/>
                <w:sz w:val="24"/>
              </w:rPr>
              <w:t>44</w:t>
            </w:r>
          </w:p>
        </w:tc>
        <w:tc>
          <w:tcPr>
            <w:tcW w:w="2126" w:type="dxa"/>
            <w:tcBorders>
              <w:top w:val="nil"/>
              <w:left w:val="nil"/>
              <w:bottom w:val="nil"/>
              <w:right w:val="nil"/>
            </w:tcBorders>
            <w:vAlign w:val="center"/>
          </w:tcPr>
          <w:p w14:paraId="2F2A2317" w14:textId="79144F51" w:rsidR="005158EA" w:rsidRPr="00A22650" w:rsidRDefault="005158EA" w:rsidP="0008789B">
            <w:pPr>
              <w:spacing w:before="120" w:after="0" w:line="360" w:lineRule="auto"/>
              <w:rPr>
                <w:rFonts w:ascii="Times New Roman" w:hAnsi="Times New Roman" w:cs="Times New Roman"/>
                <w:sz w:val="24"/>
              </w:rPr>
            </w:pPr>
            <w:r w:rsidRPr="00A22650">
              <w:rPr>
                <w:rFonts w:ascii="Times New Roman" w:hAnsi="Times New Roman" w:cs="Times New Roman"/>
                <w:sz w:val="24"/>
              </w:rPr>
              <w:t>(</w:t>
            </w:r>
            <w:r w:rsidR="00A76073">
              <w:rPr>
                <w:rFonts w:ascii="Times New Roman" w:hAnsi="Times New Roman" w:cs="Times New Roman"/>
                <w:sz w:val="24"/>
              </w:rPr>
              <w:t>14</w:t>
            </w:r>
            <w:r w:rsidRPr="00A22650">
              <w:rPr>
                <w:rFonts w:ascii="Times New Roman" w:hAnsi="Times New Roman" w:cs="Times New Roman"/>
                <w:sz w:val="24"/>
              </w:rPr>
              <w:t>)</w:t>
            </w:r>
          </w:p>
        </w:tc>
      </w:tr>
      <w:tr w:rsidR="00A76073" w:rsidRPr="00A22650" w14:paraId="3A4D0BBF" w14:textId="77777777" w:rsidTr="0008789B">
        <w:trPr>
          <w:trHeight w:val="514"/>
        </w:trPr>
        <w:tc>
          <w:tcPr>
            <w:tcW w:w="5472" w:type="dxa"/>
            <w:tcBorders>
              <w:top w:val="nil"/>
              <w:left w:val="nil"/>
              <w:bottom w:val="nil"/>
              <w:right w:val="nil"/>
            </w:tcBorders>
            <w:vAlign w:val="center"/>
          </w:tcPr>
          <w:p w14:paraId="1ACFF6E0" w14:textId="77777777" w:rsidR="005158EA" w:rsidRPr="00A22650" w:rsidRDefault="005158EA" w:rsidP="005158EA">
            <w:pPr>
              <w:spacing w:after="0" w:line="360" w:lineRule="auto"/>
              <w:rPr>
                <w:rFonts w:ascii="Times New Roman" w:hAnsi="Times New Roman" w:cs="Times New Roman"/>
                <w:sz w:val="24"/>
              </w:rPr>
            </w:pPr>
            <w:r w:rsidRPr="00A22650">
              <w:rPr>
                <w:rFonts w:ascii="Times New Roman" w:hAnsi="Times New Roman" w:cs="Times New Roman"/>
                <w:sz w:val="24"/>
              </w:rPr>
              <w:t>Female sex, n (%)</w:t>
            </w:r>
          </w:p>
        </w:tc>
        <w:tc>
          <w:tcPr>
            <w:tcW w:w="709" w:type="dxa"/>
            <w:tcBorders>
              <w:top w:val="nil"/>
              <w:left w:val="nil"/>
              <w:bottom w:val="nil"/>
              <w:right w:val="nil"/>
            </w:tcBorders>
            <w:vAlign w:val="center"/>
          </w:tcPr>
          <w:p w14:paraId="373EAED7" w14:textId="3F606032" w:rsidR="005158EA" w:rsidRPr="00A22650" w:rsidRDefault="00A76073" w:rsidP="005158EA">
            <w:pPr>
              <w:spacing w:after="0" w:line="360" w:lineRule="auto"/>
              <w:jc w:val="right"/>
              <w:rPr>
                <w:rFonts w:ascii="Times New Roman" w:hAnsi="Times New Roman" w:cs="Times New Roman"/>
                <w:sz w:val="24"/>
              </w:rPr>
            </w:pPr>
            <w:r>
              <w:rPr>
                <w:rFonts w:ascii="Times New Roman" w:hAnsi="Times New Roman" w:cs="Times New Roman"/>
                <w:sz w:val="24"/>
              </w:rPr>
              <w:t>6</w:t>
            </w:r>
          </w:p>
        </w:tc>
        <w:tc>
          <w:tcPr>
            <w:tcW w:w="2126" w:type="dxa"/>
            <w:tcBorders>
              <w:top w:val="nil"/>
              <w:left w:val="nil"/>
              <w:bottom w:val="nil"/>
              <w:right w:val="nil"/>
            </w:tcBorders>
            <w:vAlign w:val="center"/>
          </w:tcPr>
          <w:p w14:paraId="7AC6422C" w14:textId="57270495" w:rsidR="005158EA" w:rsidRPr="00A22650" w:rsidRDefault="005158EA" w:rsidP="005158EA">
            <w:pPr>
              <w:spacing w:after="0" w:line="360" w:lineRule="auto"/>
              <w:rPr>
                <w:rFonts w:ascii="Times New Roman" w:hAnsi="Times New Roman" w:cs="Times New Roman"/>
                <w:sz w:val="24"/>
              </w:rPr>
            </w:pPr>
            <w:r w:rsidRPr="00A22650">
              <w:rPr>
                <w:rFonts w:ascii="Times New Roman" w:hAnsi="Times New Roman" w:cs="Times New Roman"/>
                <w:sz w:val="24"/>
              </w:rPr>
              <w:t>(</w:t>
            </w:r>
            <w:r w:rsidR="00A76073">
              <w:rPr>
                <w:rFonts w:ascii="Times New Roman" w:hAnsi="Times New Roman" w:cs="Times New Roman"/>
                <w:sz w:val="24"/>
              </w:rPr>
              <w:t>33</w:t>
            </w:r>
            <w:r w:rsidRPr="00A22650">
              <w:rPr>
                <w:rFonts w:ascii="Times New Roman" w:hAnsi="Times New Roman" w:cs="Times New Roman"/>
                <w:sz w:val="24"/>
              </w:rPr>
              <w:t>)</w:t>
            </w:r>
          </w:p>
        </w:tc>
        <w:tc>
          <w:tcPr>
            <w:tcW w:w="283" w:type="dxa"/>
            <w:tcBorders>
              <w:top w:val="nil"/>
              <w:left w:val="nil"/>
              <w:bottom w:val="nil"/>
              <w:right w:val="nil"/>
            </w:tcBorders>
          </w:tcPr>
          <w:p w14:paraId="22E58A8C" w14:textId="77777777" w:rsidR="005158EA" w:rsidRPr="00A22650" w:rsidRDefault="005158EA" w:rsidP="005158EA">
            <w:pPr>
              <w:spacing w:after="0" w:line="360" w:lineRule="auto"/>
              <w:rPr>
                <w:rFonts w:ascii="Times New Roman" w:hAnsi="Times New Roman" w:cs="Times New Roman"/>
                <w:sz w:val="24"/>
              </w:rPr>
            </w:pPr>
          </w:p>
        </w:tc>
        <w:tc>
          <w:tcPr>
            <w:tcW w:w="709" w:type="dxa"/>
            <w:tcBorders>
              <w:top w:val="nil"/>
              <w:left w:val="nil"/>
              <w:bottom w:val="nil"/>
              <w:right w:val="nil"/>
            </w:tcBorders>
            <w:vAlign w:val="center"/>
          </w:tcPr>
          <w:p w14:paraId="5B00DA60" w14:textId="109F1033" w:rsidR="005158EA" w:rsidRPr="00A22650" w:rsidRDefault="00A76073" w:rsidP="0008789B">
            <w:pPr>
              <w:spacing w:after="0" w:line="360" w:lineRule="auto"/>
              <w:jc w:val="right"/>
              <w:rPr>
                <w:rFonts w:ascii="Times New Roman" w:hAnsi="Times New Roman" w:cs="Times New Roman"/>
                <w:sz w:val="24"/>
              </w:rPr>
            </w:pPr>
            <w:r>
              <w:rPr>
                <w:rFonts w:ascii="Times New Roman" w:hAnsi="Times New Roman" w:cs="Times New Roman"/>
                <w:sz w:val="24"/>
              </w:rPr>
              <w:t>16</w:t>
            </w:r>
          </w:p>
        </w:tc>
        <w:tc>
          <w:tcPr>
            <w:tcW w:w="2126" w:type="dxa"/>
            <w:tcBorders>
              <w:top w:val="nil"/>
              <w:left w:val="nil"/>
              <w:bottom w:val="nil"/>
              <w:right w:val="nil"/>
            </w:tcBorders>
            <w:vAlign w:val="center"/>
          </w:tcPr>
          <w:p w14:paraId="4AC67396" w14:textId="488AB596" w:rsidR="005158EA" w:rsidRPr="00A22650" w:rsidRDefault="005158EA" w:rsidP="0008789B">
            <w:pPr>
              <w:spacing w:after="0" w:line="360" w:lineRule="auto"/>
              <w:rPr>
                <w:rFonts w:ascii="Times New Roman" w:hAnsi="Times New Roman" w:cs="Times New Roman"/>
                <w:sz w:val="24"/>
              </w:rPr>
            </w:pPr>
            <w:r w:rsidRPr="00A22650">
              <w:rPr>
                <w:rFonts w:ascii="Times New Roman" w:hAnsi="Times New Roman" w:cs="Times New Roman"/>
                <w:sz w:val="24"/>
              </w:rPr>
              <w:t>(</w:t>
            </w:r>
            <w:r w:rsidR="00A76073">
              <w:rPr>
                <w:rFonts w:ascii="Times New Roman" w:hAnsi="Times New Roman" w:cs="Times New Roman"/>
                <w:sz w:val="24"/>
              </w:rPr>
              <w:t>27</w:t>
            </w:r>
            <w:r w:rsidRPr="00A22650">
              <w:rPr>
                <w:rFonts w:ascii="Times New Roman" w:hAnsi="Times New Roman" w:cs="Times New Roman"/>
                <w:sz w:val="24"/>
              </w:rPr>
              <w:t>)</w:t>
            </w:r>
          </w:p>
        </w:tc>
      </w:tr>
      <w:tr w:rsidR="00A76073" w:rsidRPr="00A22650" w14:paraId="38762660" w14:textId="77777777" w:rsidTr="0008789B">
        <w:trPr>
          <w:trHeight w:val="514"/>
        </w:trPr>
        <w:tc>
          <w:tcPr>
            <w:tcW w:w="5472" w:type="dxa"/>
            <w:tcBorders>
              <w:top w:val="nil"/>
              <w:left w:val="nil"/>
              <w:bottom w:val="nil"/>
              <w:right w:val="nil"/>
            </w:tcBorders>
            <w:vAlign w:val="center"/>
          </w:tcPr>
          <w:p w14:paraId="38C87874" w14:textId="77777777" w:rsidR="005158EA" w:rsidRPr="00A22650" w:rsidRDefault="005158EA" w:rsidP="005158EA">
            <w:pPr>
              <w:spacing w:after="0" w:line="360" w:lineRule="auto"/>
              <w:rPr>
                <w:rFonts w:ascii="Times New Roman" w:hAnsi="Times New Roman" w:cs="Times New Roman"/>
                <w:sz w:val="24"/>
              </w:rPr>
            </w:pPr>
            <w:r w:rsidRPr="00A22650">
              <w:rPr>
                <w:rFonts w:ascii="Times New Roman" w:hAnsi="Times New Roman" w:cs="Times New Roman"/>
                <w:sz w:val="24"/>
              </w:rPr>
              <w:t>Symptom duration in weeks, median (IQR)</w:t>
            </w:r>
          </w:p>
        </w:tc>
        <w:tc>
          <w:tcPr>
            <w:tcW w:w="709" w:type="dxa"/>
            <w:tcBorders>
              <w:top w:val="nil"/>
              <w:left w:val="nil"/>
              <w:bottom w:val="nil"/>
              <w:right w:val="nil"/>
            </w:tcBorders>
            <w:vAlign w:val="center"/>
          </w:tcPr>
          <w:p w14:paraId="7DC1BA5A" w14:textId="083512DD" w:rsidR="005158EA" w:rsidRPr="00A22650" w:rsidRDefault="00A76073" w:rsidP="005158EA">
            <w:pPr>
              <w:spacing w:after="0" w:line="360" w:lineRule="auto"/>
              <w:jc w:val="right"/>
              <w:rPr>
                <w:rFonts w:ascii="Times New Roman" w:hAnsi="Times New Roman" w:cs="Times New Roman"/>
                <w:sz w:val="24"/>
              </w:rPr>
            </w:pPr>
            <w:r>
              <w:rPr>
                <w:rFonts w:ascii="Times New Roman" w:hAnsi="Times New Roman" w:cs="Times New Roman"/>
                <w:sz w:val="24"/>
              </w:rPr>
              <w:t>22</w:t>
            </w:r>
          </w:p>
        </w:tc>
        <w:tc>
          <w:tcPr>
            <w:tcW w:w="2126" w:type="dxa"/>
            <w:tcBorders>
              <w:top w:val="nil"/>
              <w:left w:val="nil"/>
              <w:bottom w:val="nil"/>
              <w:right w:val="nil"/>
            </w:tcBorders>
            <w:vAlign w:val="center"/>
          </w:tcPr>
          <w:p w14:paraId="0C170217" w14:textId="0266B955" w:rsidR="005158EA" w:rsidRPr="00A22650" w:rsidRDefault="005158EA" w:rsidP="005158EA">
            <w:pPr>
              <w:spacing w:after="0" w:line="360" w:lineRule="auto"/>
              <w:rPr>
                <w:rFonts w:ascii="Times New Roman" w:hAnsi="Times New Roman" w:cs="Times New Roman"/>
                <w:sz w:val="24"/>
              </w:rPr>
            </w:pPr>
            <w:r w:rsidRPr="00A22650">
              <w:rPr>
                <w:rFonts w:ascii="Times New Roman" w:hAnsi="Times New Roman" w:cs="Times New Roman"/>
                <w:sz w:val="24"/>
              </w:rPr>
              <w:t>(</w:t>
            </w:r>
            <w:r w:rsidR="009C5942">
              <w:rPr>
                <w:rFonts w:ascii="Times New Roman" w:hAnsi="Times New Roman" w:cs="Times New Roman"/>
                <w:sz w:val="24"/>
              </w:rPr>
              <w:t>7</w:t>
            </w:r>
            <w:r w:rsidR="009C5942" w:rsidRPr="00A22650">
              <w:rPr>
                <w:rFonts w:ascii="Times New Roman" w:hAnsi="Times New Roman" w:cs="Times New Roman"/>
                <w:sz w:val="24"/>
              </w:rPr>
              <w:t>–</w:t>
            </w:r>
            <w:r w:rsidR="009C5942">
              <w:rPr>
                <w:rFonts w:ascii="Times New Roman" w:hAnsi="Times New Roman" w:cs="Times New Roman"/>
                <w:sz w:val="24"/>
              </w:rPr>
              <w:t>52</w:t>
            </w:r>
            <w:r w:rsidRPr="00A22650">
              <w:rPr>
                <w:rFonts w:ascii="Times New Roman" w:hAnsi="Times New Roman" w:cs="Times New Roman"/>
                <w:sz w:val="24"/>
              </w:rPr>
              <w:t>)</w:t>
            </w:r>
          </w:p>
        </w:tc>
        <w:tc>
          <w:tcPr>
            <w:tcW w:w="283" w:type="dxa"/>
            <w:tcBorders>
              <w:top w:val="nil"/>
              <w:left w:val="nil"/>
              <w:bottom w:val="nil"/>
              <w:right w:val="nil"/>
            </w:tcBorders>
          </w:tcPr>
          <w:p w14:paraId="69B7D557" w14:textId="77777777" w:rsidR="005158EA" w:rsidRPr="00A22650" w:rsidRDefault="005158EA" w:rsidP="005158EA">
            <w:pPr>
              <w:spacing w:after="0" w:line="360" w:lineRule="auto"/>
              <w:rPr>
                <w:rFonts w:ascii="Times New Roman" w:hAnsi="Times New Roman" w:cs="Times New Roman"/>
                <w:sz w:val="24"/>
              </w:rPr>
            </w:pPr>
          </w:p>
        </w:tc>
        <w:tc>
          <w:tcPr>
            <w:tcW w:w="709" w:type="dxa"/>
            <w:tcBorders>
              <w:top w:val="nil"/>
              <w:left w:val="nil"/>
              <w:bottom w:val="nil"/>
              <w:right w:val="nil"/>
            </w:tcBorders>
            <w:vAlign w:val="center"/>
          </w:tcPr>
          <w:p w14:paraId="4C805228" w14:textId="3FB33472" w:rsidR="005158EA" w:rsidRPr="00A22650" w:rsidRDefault="00A76073" w:rsidP="0008789B">
            <w:pPr>
              <w:spacing w:after="0" w:line="360" w:lineRule="auto"/>
              <w:jc w:val="right"/>
              <w:rPr>
                <w:rFonts w:ascii="Times New Roman" w:hAnsi="Times New Roman" w:cs="Times New Roman"/>
                <w:sz w:val="24"/>
              </w:rPr>
            </w:pPr>
            <w:r>
              <w:rPr>
                <w:rFonts w:ascii="Times New Roman" w:hAnsi="Times New Roman" w:cs="Times New Roman"/>
                <w:sz w:val="24"/>
              </w:rPr>
              <w:t>15</w:t>
            </w:r>
          </w:p>
        </w:tc>
        <w:tc>
          <w:tcPr>
            <w:tcW w:w="2126" w:type="dxa"/>
            <w:tcBorders>
              <w:top w:val="nil"/>
              <w:left w:val="nil"/>
              <w:bottom w:val="nil"/>
              <w:right w:val="nil"/>
            </w:tcBorders>
            <w:vAlign w:val="center"/>
          </w:tcPr>
          <w:p w14:paraId="71DCA36B" w14:textId="5D859103" w:rsidR="005158EA" w:rsidRPr="00A22650" w:rsidRDefault="005158EA" w:rsidP="0008789B">
            <w:pPr>
              <w:spacing w:after="0" w:line="360" w:lineRule="auto"/>
              <w:rPr>
                <w:rFonts w:ascii="Times New Roman" w:hAnsi="Times New Roman" w:cs="Times New Roman"/>
                <w:sz w:val="24"/>
              </w:rPr>
            </w:pPr>
            <w:r w:rsidRPr="00A22650">
              <w:rPr>
                <w:rFonts w:ascii="Times New Roman" w:hAnsi="Times New Roman" w:cs="Times New Roman"/>
                <w:sz w:val="24"/>
              </w:rPr>
              <w:t>(</w:t>
            </w:r>
            <w:r w:rsidR="009C5942">
              <w:rPr>
                <w:rFonts w:ascii="Times New Roman" w:hAnsi="Times New Roman" w:cs="Times New Roman"/>
                <w:sz w:val="24"/>
              </w:rPr>
              <w:t>9</w:t>
            </w:r>
            <w:r w:rsidR="009C5942" w:rsidRPr="00A22650">
              <w:rPr>
                <w:rFonts w:ascii="Times New Roman" w:hAnsi="Times New Roman" w:cs="Times New Roman"/>
                <w:sz w:val="24"/>
              </w:rPr>
              <w:t>–</w:t>
            </w:r>
            <w:r w:rsidR="009C5942">
              <w:rPr>
                <w:rFonts w:ascii="Times New Roman" w:hAnsi="Times New Roman" w:cs="Times New Roman"/>
                <w:sz w:val="24"/>
              </w:rPr>
              <w:t>29</w:t>
            </w:r>
            <w:r w:rsidRPr="00A22650">
              <w:rPr>
                <w:rFonts w:ascii="Times New Roman" w:hAnsi="Times New Roman" w:cs="Times New Roman"/>
                <w:sz w:val="24"/>
              </w:rPr>
              <w:t>)</w:t>
            </w:r>
          </w:p>
        </w:tc>
      </w:tr>
      <w:tr w:rsidR="00A76073" w:rsidRPr="00A22650" w14:paraId="7BE89B56" w14:textId="77777777" w:rsidTr="0008789B">
        <w:trPr>
          <w:trHeight w:val="514"/>
        </w:trPr>
        <w:tc>
          <w:tcPr>
            <w:tcW w:w="5472" w:type="dxa"/>
            <w:tcBorders>
              <w:top w:val="nil"/>
              <w:left w:val="nil"/>
              <w:bottom w:val="nil"/>
              <w:right w:val="nil"/>
            </w:tcBorders>
            <w:vAlign w:val="center"/>
          </w:tcPr>
          <w:p w14:paraId="27AAF6EF" w14:textId="77777777" w:rsidR="005158EA" w:rsidRPr="00A22650" w:rsidRDefault="005158EA" w:rsidP="005158EA">
            <w:pPr>
              <w:spacing w:after="0" w:line="360" w:lineRule="auto"/>
              <w:rPr>
                <w:rFonts w:ascii="Times New Roman" w:hAnsi="Times New Roman" w:cs="Times New Roman"/>
                <w:sz w:val="24"/>
              </w:rPr>
            </w:pPr>
            <w:r w:rsidRPr="00A22650">
              <w:rPr>
                <w:rFonts w:ascii="Times New Roman" w:hAnsi="Times New Roman" w:cs="Times New Roman"/>
                <w:sz w:val="24"/>
              </w:rPr>
              <w:t xml:space="preserve">Presence of morning stiffness ≥60 minutes, n (%) </w:t>
            </w:r>
          </w:p>
        </w:tc>
        <w:tc>
          <w:tcPr>
            <w:tcW w:w="709" w:type="dxa"/>
            <w:tcBorders>
              <w:top w:val="nil"/>
              <w:left w:val="nil"/>
              <w:bottom w:val="nil"/>
              <w:right w:val="nil"/>
            </w:tcBorders>
            <w:vAlign w:val="center"/>
          </w:tcPr>
          <w:p w14:paraId="64D0024B" w14:textId="78288E18" w:rsidR="005158EA" w:rsidRPr="00A22650" w:rsidRDefault="00A76073" w:rsidP="005158EA">
            <w:pPr>
              <w:spacing w:after="0" w:line="360" w:lineRule="auto"/>
              <w:jc w:val="right"/>
              <w:rPr>
                <w:rFonts w:ascii="Times New Roman" w:hAnsi="Times New Roman" w:cs="Times New Roman"/>
                <w:sz w:val="24"/>
              </w:rPr>
            </w:pPr>
            <w:r>
              <w:rPr>
                <w:rFonts w:ascii="Times New Roman" w:hAnsi="Times New Roman" w:cs="Times New Roman"/>
                <w:sz w:val="24"/>
              </w:rPr>
              <w:t>5</w:t>
            </w:r>
          </w:p>
        </w:tc>
        <w:tc>
          <w:tcPr>
            <w:tcW w:w="2126" w:type="dxa"/>
            <w:tcBorders>
              <w:top w:val="nil"/>
              <w:left w:val="nil"/>
              <w:bottom w:val="nil"/>
              <w:right w:val="nil"/>
            </w:tcBorders>
            <w:vAlign w:val="center"/>
          </w:tcPr>
          <w:p w14:paraId="1AF4DE6D" w14:textId="04DA467D" w:rsidR="005158EA" w:rsidRPr="00A22650" w:rsidRDefault="00A76073" w:rsidP="005158EA">
            <w:pPr>
              <w:spacing w:after="0" w:line="360" w:lineRule="auto"/>
              <w:rPr>
                <w:rFonts w:ascii="Times New Roman" w:hAnsi="Times New Roman" w:cs="Times New Roman"/>
                <w:sz w:val="24"/>
              </w:rPr>
            </w:pPr>
            <w:r w:rsidRPr="00A22650">
              <w:rPr>
                <w:rFonts w:ascii="Times New Roman" w:hAnsi="Times New Roman" w:cs="Times New Roman"/>
                <w:sz w:val="24"/>
              </w:rPr>
              <w:t>(</w:t>
            </w:r>
            <w:r>
              <w:rPr>
                <w:rFonts w:ascii="Times New Roman" w:hAnsi="Times New Roman" w:cs="Times New Roman"/>
                <w:sz w:val="24"/>
              </w:rPr>
              <w:t>56</w:t>
            </w:r>
            <w:r w:rsidRPr="00A22650">
              <w:rPr>
                <w:rFonts w:ascii="Times New Roman" w:hAnsi="Times New Roman" w:cs="Times New Roman"/>
                <w:sz w:val="24"/>
              </w:rPr>
              <w:t>)</w:t>
            </w:r>
          </w:p>
        </w:tc>
        <w:tc>
          <w:tcPr>
            <w:tcW w:w="283" w:type="dxa"/>
            <w:tcBorders>
              <w:top w:val="nil"/>
              <w:left w:val="nil"/>
              <w:bottom w:val="nil"/>
              <w:right w:val="nil"/>
            </w:tcBorders>
          </w:tcPr>
          <w:p w14:paraId="3F05B3A5" w14:textId="77777777" w:rsidR="005158EA" w:rsidRPr="00A22650" w:rsidRDefault="005158EA" w:rsidP="005158EA">
            <w:pPr>
              <w:spacing w:after="0" w:line="360" w:lineRule="auto"/>
              <w:rPr>
                <w:rFonts w:ascii="Times New Roman" w:hAnsi="Times New Roman" w:cs="Times New Roman"/>
                <w:sz w:val="24"/>
              </w:rPr>
            </w:pPr>
          </w:p>
        </w:tc>
        <w:tc>
          <w:tcPr>
            <w:tcW w:w="709" w:type="dxa"/>
            <w:tcBorders>
              <w:top w:val="nil"/>
              <w:left w:val="nil"/>
              <w:bottom w:val="nil"/>
              <w:right w:val="nil"/>
            </w:tcBorders>
            <w:vAlign w:val="center"/>
          </w:tcPr>
          <w:p w14:paraId="58C995AF" w14:textId="7F6535F3" w:rsidR="005158EA" w:rsidRPr="00A22650" w:rsidRDefault="00A76073" w:rsidP="0008789B">
            <w:pPr>
              <w:spacing w:after="0" w:line="360" w:lineRule="auto"/>
              <w:jc w:val="right"/>
              <w:rPr>
                <w:rFonts w:ascii="Times New Roman" w:hAnsi="Times New Roman" w:cs="Times New Roman"/>
                <w:sz w:val="24"/>
              </w:rPr>
            </w:pPr>
            <w:r>
              <w:rPr>
                <w:rFonts w:ascii="Times New Roman" w:hAnsi="Times New Roman" w:cs="Times New Roman"/>
                <w:sz w:val="24"/>
              </w:rPr>
              <w:t>6</w:t>
            </w:r>
          </w:p>
        </w:tc>
        <w:tc>
          <w:tcPr>
            <w:tcW w:w="2126" w:type="dxa"/>
            <w:tcBorders>
              <w:top w:val="nil"/>
              <w:left w:val="nil"/>
              <w:bottom w:val="nil"/>
              <w:right w:val="nil"/>
            </w:tcBorders>
            <w:vAlign w:val="center"/>
          </w:tcPr>
          <w:p w14:paraId="4880451F" w14:textId="1E5E43B7" w:rsidR="005158EA" w:rsidRPr="00A22650" w:rsidRDefault="00A76073" w:rsidP="0008789B">
            <w:pPr>
              <w:spacing w:after="0" w:line="360" w:lineRule="auto"/>
              <w:rPr>
                <w:rFonts w:ascii="Times New Roman" w:hAnsi="Times New Roman" w:cs="Times New Roman"/>
                <w:sz w:val="24"/>
              </w:rPr>
            </w:pPr>
            <w:r>
              <w:rPr>
                <w:rFonts w:ascii="Times New Roman" w:hAnsi="Times New Roman" w:cs="Times New Roman"/>
                <w:sz w:val="24"/>
              </w:rPr>
              <w:t xml:space="preserve"> </w:t>
            </w:r>
            <w:r w:rsidRPr="00A22650">
              <w:rPr>
                <w:rFonts w:ascii="Times New Roman" w:hAnsi="Times New Roman" w:cs="Times New Roman"/>
                <w:sz w:val="24"/>
              </w:rPr>
              <w:t>(</w:t>
            </w:r>
            <w:r>
              <w:rPr>
                <w:rFonts w:ascii="Times New Roman" w:hAnsi="Times New Roman" w:cs="Times New Roman"/>
                <w:sz w:val="24"/>
              </w:rPr>
              <w:t>35</w:t>
            </w:r>
            <w:r w:rsidRPr="00A22650">
              <w:rPr>
                <w:rFonts w:ascii="Times New Roman" w:hAnsi="Times New Roman" w:cs="Times New Roman"/>
                <w:sz w:val="24"/>
              </w:rPr>
              <w:t>)</w:t>
            </w:r>
          </w:p>
        </w:tc>
      </w:tr>
      <w:tr w:rsidR="00FA6DF1" w:rsidRPr="00A22650" w14:paraId="33E1F625" w14:textId="77777777" w:rsidTr="0008789B">
        <w:trPr>
          <w:trHeight w:val="514"/>
        </w:trPr>
        <w:tc>
          <w:tcPr>
            <w:tcW w:w="5472" w:type="dxa"/>
            <w:tcBorders>
              <w:top w:val="nil"/>
              <w:left w:val="nil"/>
              <w:bottom w:val="single" w:sz="18" w:space="0" w:color="auto"/>
              <w:right w:val="nil"/>
            </w:tcBorders>
            <w:vAlign w:val="center"/>
          </w:tcPr>
          <w:p w14:paraId="209E0435" w14:textId="73FDD267" w:rsidR="00FA6DF1" w:rsidRPr="00A22650" w:rsidRDefault="00FA6DF1" w:rsidP="00FA6DF1">
            <w:pPr>
              <w:spacing w:after="0" w:line="360" w:lineRule="auto"/>
              <w:rPr>
                <w:rFonts w:ascii="Times New Roman" w:hAnsi="Times New Roman" w:cs="Times New Roman"/>
                <w:sz w:val="24"/>
              </w:rPr>
            </w:pPr>
            <w:r w:rsidRPr="00A22650">
              <w:rPr>
                <w:rFonts w:ascii="Times New Roman" w:hAnsi="Times New Roman" w:cs="Times New Roman"/>
                <w:sz w:val="24"/>
              </w:rPr>
              <w:t xml:space="preserve">68-TJC, median (IQR) </w:t>
            </w:r>
          </w:p>
        </w:tc>
        <w:tc>
          <w:tcPr>
            <w:tcW w:w="709" w:type="dxa"/>
            <w:tcBorders>
              <w:top w:val="nil"/>
              <w:left w:val="nil"/>
              <w:bottom w:val="single" w:sz="18" w:space="0" w:color="auto"/>
              <w:right w:val="nil"/>
            </w:tcBorders>
            <w:vAlign w:val="center"/>
          </w:tcPr>
          <w:p w14:paraId="69142CBC" w14:textId="6B7DA876" w:rsidR="00FA6DF1" w:rsidRPr="00A22650" w:rsidRDefault="00FA6DF1" w:rsidP="00FA6DF1">
            <w:pPr>
              <w:spacing w:after="0" w:line="360" w:lineRule="auto"/>
              <w:jc w:val="right"/>
              <w:rPr>
                <w:rFonts w:ascii="Times New Roman" w:hAnsi="Times New Roman" w:cs="Times New Roman"/>
                <w:sz w:val="24"/>
              </w:rPr>
            </w:pPr>
            <w:r>
              <w:rPr>
                <w:rFonts w:ascii="Times New Roman" w:hAnsi="Times New Roman" w:cs="Times New Roman"/>
                <w:sz w:val="24"/>
              </w:rPr>
              <w:t>5</w:t>
            </w:r>
          </w:p>
        </w:tc>
        <w:tc>
          <w:tcPr>
            <w:tcW w:w="2126" w:type="dxa"/>
            <w:tcBorders>
              <w:top w:val="nil"/>
              <w:left w:val="nil"/>
              <w:bottom w:val="single" w:sz="18" w:space="0" w:color="auto"/>
              <w:right w:val="nil"/>
            </w:tcBorders>
            <w:vAlign w:val="center"/>
          </w:tcPr>
          <w:p w14:paraId="46050D13" w14:textId="4EB49833" w:rsidR="00FA6DF1" w:rsidRPr="00A22650" w:rsidRDefault="00FA6DF1" w:rsidP="00FA6DF1">
            <w:pPr>
              <w:spacing w:after="0" w:line="360" w:lineRule="auto"/>
              <w:rPr>
                <w:rFonts w:ascii="Times New Roman" w:hAnsi="Times New Roman" w:cs="Times New Roman"/>
                <w:sz w:val="24"/>
              </w:rPr>
            </w:pPr>
            <w:r>
              <w:rPr>
                <w:rFonts w:ascii="Times New Roman" w:hAnsi="Times New Roman" w:cs="Times New Roman"/>
                <w:sz w:val="24"/>
              </w:rPr>
              <w:t>(3</w:t>
            </w:r>
            <w:r w:rsidRPr="00A22650">
              <w:rPr>
                <w:rFonts w:ascii="Times New Roman" w:hAnsi="Times New Roman" w:cs="Times New Roman"/>
                <w:sz w:val="24"/>
              </w:rPr>
              <w:t>–</w:t>
            </w:r>
            <w:r>
              <w:rPr>
                <w:rFonts w:ascii="Times New Roman" w:hAnsi="Times New Roman" w:cs="Times New Roman"/>
                <w:sz w:val="24"/>
              </w:rPr>
              <w:t>6</w:t>
            </w:r>
            <w:r w:rsidRPr="00A22650">
              <w:rPr>
                <w:rFonts w:ascii="Times New Roman" w:hAnsi="Times New Roman" w:cs="Times New Roman"/>
                <w:sz w:val="24"/>
              </w:rPr>
              <w:t>)</w:t>
            </w:r>
          </w:p>
        </w:tc>
        <w:tc>
          <w:tcPr>
            <w:tcW w:w="283" w:type="dxa"/>
            <w:tcBorders>
              <w:top w:val="nil"/>
              <w:left w:val="nil"/>
              <w:bottom w:val="single" w:sz="18" w:space="0" w:color="auto"/>
              <w:right w:val="nil"/>
            </w:tcBorders>
          </w:tcPr>
          <w:p w14:paraId="4AD37781" w14:textId="77777777" w:rsidR="00FA6DF1" w:rsidRPr="00A22650" w:rsidRDefault="00FA6DF1" w:rsidP="00FA6DF1">
            <w:pPr>
              <w:spacing w:after="0" w:line="360" w:lineRule="auto"/>
              <w:rPr>
                <w:rFonts w:ascii="Times New Roman" w:hAnsi="Times New Roman" w:cs="Times New Roman"/>
                <w:sz w:val="24"/>
              </w:rPr>
            </w:pPr>
          </w:p>
        </w:tc>
        <w:tc>
          <w:tcPr>
            <w:tcW w:w="709" w:type="dxa"/>
            <w:tcBorders>
              <w:top w:val="nil"/>
              <w:left w:val="nil"/>
              <w:bottom w:val="single" w:sz="18" w:space="0" w:color="auto"/>
              <w:right w:val="nil"/>
            </w:tcBorders>
            <w:vAlign w:val="center"/>
          </w:tcPr>
          <w:p w14:paraId="2D9C7564" w14:textId="013FB492" w:rsidR="00FA6DF1" w:rsidRPr="00A22650" w:rsidRDefault="00FA6DF1" w:rsidP="00FA6DF1">
            <w:pPr>
              <w:spacing w:after="0" w:line="360" w:lineRule="auto"/>
              <w:jc w:val="right"/>
              <w:rPr>
                <w:rFonts w:ascii="Times New Roman" w:hAnsi="Times New Roman" w:cs="Times New Roman"/>
                <w:sz w:val="24"/>
              </w:rPr>
            </w:pPr>
            <w:r>
              <w:rPr>
                <w:rFonts w:ascii="Times New Roman" w:hAnsi="Times New Roman" w:cs="Times New Roman"/>
                <w:sz w:val="24"/>
              </w:rPr>
              <w:t>6</w:t>
            </w:r>
          </w:p>
        </w:tc>
        <w:tc>
          <w:tcPr>
            <w:tcW w:w="2126" w:type="dxa"/>
            <w:tcBorders>
              <w:top w:val="nil"/>
              <w:left w:val="nil"/>
              <w:bottom w:val="single" w:sz="18" w:space="0" w:color="auto"/>
              <w:right w:val="nil"/>
            </w:tcBorders>
            <w:vAlign w:val="center"/>
          </w:tcPr>
          <w:p w14:paraId="66505BE3" w14:textId="03FF08EE" w:rsidR="00FA6DF1" w:rsidRPr="00A22650" w:rsidRDefault="00FA6DF1" w:rsidP="00FA6DF1">
            <w:pPr>
              <w:spacing w:after="0" w:line="360" w:lineRule="auto"/>
              <w:rPr>
                <w:rFonts w:ascii="Times New Roman" w:hAnsi="Times New Roman" w:cs="Times New Roman"/>
                <w:sz w:val="24"/>
              </w:rPr>
            </w:pPr>
            <w:r>
              <w:rPr>
                <w:rFonts w:ascii="Times New Roman" w:hAnsi="Times New Roman" w:cs="Times New Roman"/>
                <w:sz w:val="24"/>
              </w:rPr>
              <w:t>(4</w:t>
            </w:r>
            <w:r w:rsidRPr="00A22650">
              <w:rPr>
                <w:rFonts w:ascii="Times New Roman" w:hAnsi="Times New Roman" w:cs="Times New Roman"/>
                <w:sz w:val="24"/>
              </w:rPr>
              <w:t>–</w:t>
            </w:r>
            <w:r>
              <w:rPr>
                <w:rFonts w:ascii="Times New Roman" w:hAnsi="Times New Roman" w:cs="Times New Roman"/>
                <w:sz w:val="24"/>
              </w:rPr>
              <w:t>10</w:t>
            </w:r>
            <w:r w:rsidRPr="00A22650">
              <w:rPr>
                <w:rFonts w:ascii="Times New Roman" w:hAnsi="Times New Roman" w:cs="Times New Roman"/>
                <w:sz w:val="24"/>
              </w:rPr>
              <w:t>)</w:t>
            </w:r>
          </w:p>
        </w:tc>
      </w:tr>
    </w:tbl>
    <w:p w14:paraId="70250610" w14:textId="77777777" w:rsidR="00A67FD1" w:rsidRDefault="00A67FD1" w:rsidP="00E23D50"/>
    <w:p w14:paraId="52F2EC21" w14:textId="77777777" w:rsidR="00A67FD1" w:rsidRDefault="00A67FD1" w:rsidP="00E23D50">
      <w:r w:rsidRPr="00A67FD1">
        <w:rPr>
          <w:rFonts w:ascii="Times New Roman" w:hAnsi="Times New Roman" w:cs="Times New Roman"/>
          <w:b/>
          <w:sz w:val="24"/>
        </w:rPr>
        <w:t>Legend</w:t>
      </w:r>
      <w:r>
        <w:t>:</w:t>
      </w:r>
    </w:p>
    <w:p w14:paraId="0281B634" w14:textId="01EA1F1D" w:rsidR="00A22650" w:rsidRDefault="00A67FD1" w:rsidP="00E23D50">
      <w:pPr>
        <w:rPr>
          <w:b/>
        </w:rPr>
      </w:pPr>
      <w:r w:rsidRPr="00A67FD1">
        <w:rPr>
          <w:rFonts w:ascii="Times New Roman" w:hAnsi="Times New Roman" w:cs="Times New Roman"/>
          <w:sz w:val="24"/>
        </w:rPr>
        <w:t>Characteristics are in line with a previous report on differences in the symptomatic phase preceding ACPA-positive and ACPA-negative RA.[</w:t>
      </w:r>
      <w:r w:rsidRPr="00A67FD1">
        <w:rPr>
          <w:rFonts w:ascii="Times New Roman" w:hAnsi="Times New Roman" w:cs="Times New Roman"/>
          <w:sz w:val="24"/>
        </w:rPr>
        <w:fldChar w:fldCharType="begin" w:fldLock="1"/>
      </w:r>
      <w:r w:rsidRPr="00A67FD1">
        <w:rPr>
          <w:rFonts w:ascii="Times New Roman" w:hAnsi="Times New Roman" w:cs="Times New Roman"/>
          <w:sz w:val="24"/>
        </w:rPr>
        <w:instrText xml:space="preserve"> ADDIN PAPERS2_CITATIONS &lt;citation&gt;&lt;uuid&gt;803FCFCC-1D4D-4131-969E-8A3EA58E96D9&lt;/uuid&gt;&lt;priority&gt;0&lt;/priority&gt;&lt;publications&gt;&lt;publication&gt;&lt;doi&gt;10.1136/annrheumdis-2017-211325&lt;/doi&gt;&lt;publication_date&gt;99201700000000000000200000&lt;/publication_date&gt;&lt;startpage&gt;annrheumdis-2017-211325&lt;/startpage&gt;&lt;subtype&gt;400&lt;/subtype&gt;&lt;title&gt;Differences in the symptomatic phase preceding ACPA-positive and ACPA-negative RA: a longitudinal study in arthralgia during progression to clinical arthritis&lt;/title&gt;&lt;type&gt;400&lt;/type&gt;&lt;uuid&gt;f263628d-6728-4d50-a2e2-f7b9efe149af&lt;/uuid&gt;&lt;authors&gt;&lt;author&gt;&lt;lastName&gt;Burgers&lt;/lastName&gt;&lt;firstName&gt;Leonie&lt;/firstName&gt;&lt;middleNames&gt;E&lt;/middleNames&gt;&lt;/author&gt;&lt;author&gt;&lt;lastName&gt;Steenbergen&lt;/lastName&gt;&lt;nonDroppingParticle&gt;van&lt;/nonDroppingParticle&gt;&lt;firstName&gt;Hanna&lt;/firstName&gt;&lt;middleNames&gt;W&lt;/middleNames&gt;&lt;/author&gt;&lt;author&gt;&lt;lastName&gt;Brinck&lt;/lastName&gt;&lt;droppingParticle&gt;ten&lt;/droppingParticle&gt;&lt;firstName&gt;Robin&lt;/firstName&gt;&lt;middleNames&gt;M&lt;/middleNames&gt;&lt;/author&gt;&lt;author&gt;&lt;lastName&gt;Huizinga&lt;/lastName&gt;&lt;firstName&gt;Tom&lt;/firstName&gt;&lt;middleNames&gt;WJ&lt;/middleNames&gt;&lt;/author&gt;&lt;author&gt;&lt;lastName&gt;Helm-van Mil&lt;/lastName&gt;&lt;nonDroppingParticle&gt;Van der&lt;/nonDroppingParticle&gt;&lt;firstName&gt;Annette&lt;/firstName&gt;&lt;middleNames&gt;HM&lt;/middleNames&gt;&lt;/author&gt;&lt;/authors&gt;&lt;editors /&gt;&lt;translators /&gt;&lt;photographers /&gt;&lt;livfe_id /&gt;&lt;citekey&gt;Burgers:2017hl&lt;/citekey&gt;&lt;subtitle p4:nil="true" xmlns:p4="http://www.w3.org/2001/XMLSchema-instance" /&gt;&lt;submission_date /&gt;&lt;revision_date /&gt;&lt;accepted_date /&gt;&lt;is_bundle&gt;0&lt;/is_bundle&gt;&lt;bundle&gt;&lt;type&gt;-100&lt;/type&gt;&lt;subtype&gt;-100&lt;/subtype&gt;&lt;livfeID /&gt;&lt;citekey&gt;:0wl&lt;/citekey&gt;&lt;title&gt;Annals of the Rheumatic Diseases&lt;/title&gt;&lt;/bundle&gt;&lt;url&gt;http://dx.doi.org/10.1136/annrheumdis-2017-211325&lt;/url&gt;&lt;/publication&gt;&lt;/publications&gt;&lt;cites /&gt;&lt;/citation&gt;</w:instrText>
      </w:r>
      <w:r w:rsidRPr="00A67FD1">
        <w:rPr>
          <w:rFonts w:ascii="Times New Roman" w:hAnsi="Times New Roman" w:cs="Times New Roman"/>
          <w:sz w:val="24"/>
        </w:rPr>
        <w:fldChar w:fldCharType="separate"/>
      </w:r>
      <w:r w:rsidRPr="00A67FD1">
        <w:rPr>
          <w:rFonts w:ascii="Times New Roman" w:hAnsi="Times New Roman" w:cs="Times New Roman"/>
          <w:sz w:val="24"/>
        </w:rPr>
        <w:t>21</w:t>
      </w:r>
      <w:r w:rsidRPr="00A67FD1">
        <w:rPr>
          <w:rFonts w:ascii="Times New Roman" w:hAnsi="Times New Roman" w:cs="Times New Roman"/>
          <w:sz w:val="24"/>
        </w:rPr>
        <w:fldChar w:fldCharType="end"/>
      </w:r>
      <w:r w:rsidRPr="00A67FD1">
        <w:rPr>
          <w:rFonts w:ascii="Times New Roman" w:hAnsi="Times New Roman" w:cs="Times New Roman"/>
          <w:sz w:val="24"/>
        </w:rPr>
        <w:t>]</w:t>
      </w:r>
      <w:r>
        <w:rPr>
          <w:rFonts w:ascii="Times New Roman" w:hAnsi="Times New Roman" w:cs="Times New Roman"/>
          <w:sz w:val="24"/>
          <w:szCs w:val="24"/>
        </w:rPr>
        <w:t xml:space="preserve"> </w:t>
      </w:r>
      <w:r w:rsidRPr="00A67FD1">
        <w:t xml:space="preserve"> </w:t>
      </w:r>
      <w:r w:rsidR="00A22650">
        <w:br w:type="page"/>
      </w:r>
    </w:p>
    <w:p w14:paraId="54DEB1C7" w14:textId="77777777" w:rsidR="00A22650" w:rsidRDefault="00A22650" w:rsidP="002E1AA5">
      <w:pPr>
        <w:pStyle w:val="Heading1"/>
        <w:sectPr w:rsidR="00A22650" w:rsidSect="00A22650">
          <w:pgSz w:w="16838" w:h="11906" w:orient="landscape"/>
          <w:pgMar w:top="1440" w:right="1440" w:bottom="1440" w:left="1440" w:header="709" w:footer="709" w:gutter="0"/>
          <w:cols w:space="708"/>
          <w:docGrid w:linePitch="360"/>
        </w:sectPr>
      </w:pPr>
    </w:p>
    <w:p w14:paraId="30734BAA" w14:textId="33916B3F" w:rsidR="003E2604" w:rsidRPr="003E2604" w:rsidRDefault="003E2604" w:rsidP="003E2604">
      <w:pPr>
        <w:spacing w:after="0" w:line="480" w:lineRule="auto"/>
        <w:outlineLvl w:val="0"/>
        <w:rPr>
          <w:rFonts w:ascii="Times New Roman" w:hAnsi="Times New Roman" w:cs="Times New Roman"/>
          <w:b/>
          <w:sz w:val="24"/>
        </w:rPr>
      </w:pPr>
      <w:r w:rsidRPr="003E2604">
        <w:rPr>
          <w:rFonts w:ascii="Times New Roman" w:hAnsi="Times New Roman" w:cs="Times New Roman"/>
          <w:b/>
          <w:sz w:val="24"/>
        </w:rPr>
        <w:lastRenderedPageBreak/>
        <w:t xml:space="preserve">Table </w:t>
      </w:r>
      <w:r w:rsidR="00B922BA">
        <w:rPr>
          <w:rFonts w:ascii="Times New Roman" w:hAnsi="Times New Roman" w:cs="Times New Roman"/>
          <w:b/>
          <w:sz w:val="24"/>
        </w:rPr>
        <w:t>S</w:t>
      </w:r>
      <w:r w:rsidR="00744854">
        <w:rPr>
          <w:rFonts w:ascii="Times New Roman" w:hAnsi="Times New Roman" w:cs="Times New Roman"/>
          <w:b/>
          <w:sz w:val="24"/>
        </w:rPr>
        <w:t>4</w:t>
      </w:r>
      <w:r w:rsidRPr="003E2604">
        <w:rPr>
          <w:rFonts w:ascii="Times New Roman" w:hAnsi="Times New Roman" w:cs="Times New Roman"/>
          <w:b/>
          <w:sz w:val="24"/>
        </w:rPr>
        <w:t>. Disease-modifying anti-rheumatic drugs prescribed when clinical arthritis was identified.</w:t>
      </w:r>
    </w:p>
    <w:p w14:paraId="522A93F2" w14:textId="77777777" w:rsidR="003E2604" w:rsidRPr="003E2604" w:rsidRDefault="003E2604" w:rsidP="003E2604">
      <w:pPr>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19"/>
        <w:gridCol w:w="2183"/>
      </w:tblGrid>
      <w:tr w:rsidR="003E2604" w:rsidRPr="003E2604" w14:paraId="4500B140" w14:textId="77777777" w:rsidTr="00A73186">
        <w:trPr>
          <w:trHeight w:val="556"/>
        </w:trPr>
        <w:tc>
          <w:tcPr>
            <w:tcW w:w="3936" w:type="dxa"/>
            <w:tcBorders>
              <w:top w:val="single" w:sz="24" w:space="0" w:color="auto"/>
              <w:bottom w:val="single" w:sz="4" w:space="0" w:color="auto"/>
            </w:tcBorders>
            <w:vAlign w:val="center"/>
          </w:tcPr>
          <w:p w14:paraId="467A86ED" w14:textId="2AD1F32E" w:rsidR="003E2604" w:rsidRPr="003E2604" w:rsidRDefault="00A73186" w:rsidP="00A73186">
            <w:pPr>
              <w:spacing w:line="276" w:lineRule="auto"/>
              <w:rPr>
                <w:rFonts w:ascii="Times New Roman" w:hAnsi="Times New Roman" w:cs="Times New Roman"/>
                <w:sz w:val="24"/>
              </w:rPr>
            </w:pPr>
            <w:r>
              <w:rPr>
                <w:rFonts w:ascii="Times New Roman" w:hAnsi="Times New Roman" w:cs="Times New Roman"/>
                <w:sz w:val="24"/>
              </w:rPr>
              <w:t>DMARD</w:t>
            </w:r>
          </w:p>
        </w:tc>
        <w:tc>
          <w:tcPr>
            <w:tcW w:w="1219" w:type="dxa"/>
            <w:tcBorders>
              <w:top w:val="single" w:sz="24" w:space="0" w:color="auto"/>
              <w:bottom w:val="single" w:sz="4" w:space="0" w:color="auto"/>
            </w:tcBorders>
            <w:vAlign w:val="center"/>
          </w:tcPr>
          <w:p w14:paraId="65970E08" w14:textId="78C4CD63" w:rsidR="003E2604" w:rsidRPr="003E2604" w:rsidRDefault="00A73186" w:rsidP="00A73186">
            <w:pPr>
              <w:spacing w:line="276" w:lineRule="auto"/>
              <w:jc w:val="center"/>
              <w:rPr>
                <w:rFonts w:ascii="Times New Roman" w:hAnsi="Times New Roman" w:cs="Times New Roman"/>
                <w:sz w:val="24"/>
              </w:rPr>
            </w:pPr>
            <w:r>
              <w:rPr>
                <w:rFonts w:ascii="Times New Roman" w:hAnsi="Times New Roman" w:cs="Times New Roman"/>
                <w:sz w:val="24"/>
              </w:rPr>
              <w:t>N</w:t>
            </w:r>
          </w:p>
        </w:tc>
        <w:tc>
          <w:tcPr>
            <w:tcW w:w="2183" w:type="dxa"/>
            <w:tcBorders>
              <w:top w:val="single" w:sz="24" w:space="0" w:color="auto"/>
              <w:bottom w:val="single" w:sz="4" w:space="0" w:color="auto"/>
            </w:tcBorders>
            <w:vAlign w:val="center"/>
          </w:tcPr>
          <w:p w14:paraId="6F02443C" w14:textId="334D7941" w:rsidR="003E2604" w:rsidRPr="003E2604" w:rsidRDefault="00A73186" w:rsidP="00A73186">
            <w:pPr>
              <w:spacing w:line="276" w:lineRule="auto"/>
              <w:rPr>
                <w:rFonts w:ascii="Times New Roman" w:hAnsi="Times New Roman" w:cs="Times New Roman"/>
                <w:sz w:val="24"/>
              </w:rPr>
            </w:pPr>
            <w:r>
              <w:rPr>
                <w:rFonts w:ascii="Times New Roman" w:hAnsi="Times New Roman" w:cs="Times New Roman"/>
                <w:sz w:val="24"/>
              </w:rPr>
              <w:t>(%)</w:t>
            </w:r>
          </w:p>
        </w:tc>
      </w:tr>
      <w:tr w:rsidR="003E2604" w:rsidRPr="003E2604" w14:paraId="3E878736" w14:textId="77777777" w:rsidTr="00A73186">
        <w:trPr>
          <w:trHeight w:val="541"/>
        </w:trPr>
        <w:tc>
          <w:tcPr>
            <w:tcW w:w="3936" w:type="dxa"/>
            <w:tcBorders>
              <w:top w:val="single" w:sz="4" w:space="0" w:color="auto"/>
            </w:tcBorders>
            <w:vAlign w:val="center"/>
          </w:tcPr>
          <w:p w14:paraId="469CBD0A" w14:textId="77777777" w:rsidR="003E2604" w:rsidRPr="003E2604" w:rsidRDefault="003E2604" w:rsidP="00A73186">
            <w:pPr>
              <w:spacing w:before="120" w:line="276" w:lineRule="auto"/>
              <w:rPr>
                <w:rFonts w:ascii="Times New Roman" w:hAnsi="Times New Roman" w:cs="Times New Roman"/>
                <w:sz w:val="24"/>
              </w:rPr>
            </w:pPr>
            <w:r w:rsidRPr="003E2604">
              <w:rPr>
                <w:rFonts w:ascii="Times New Roman" w:hAnsi="Times New Roman" w:cs="Times New Roman"/>
                <w:sz w:val="24"/>
              </w:rPr>
              <w:t>Methotrexate, n (%)</w:t>
            </w:r>
          </w:p>
        </w:tc>
        <w:tc>
          <w:tcPr>
            <w:tcW w:w="1219" w:type="dxa"/>
            <w:tcBorders>
              <w:top w:val="single" w:sz="4" w:space="0" w:color="auto"/>
            </w:tcBorders>
            <w:vAlign w:val="center"/>
          </w:tcPr>
          <w:p w14:paraId="060D0BD7" w14:textId="77777777" w:rsidR="003E2604" w:rsidRPr="003E2604" w:rsidRDefault="003E2604" w:rsidP="00A73186">
            <w:pPr>
              <w:spacing w:before="120" w:line="276" w:lineRule="auto"/>
              <w:jc w:val="right"/>
              <w:rPr>
                <w:rFonts w:ascii="Times New Roman" w:hAnsi="Times New Roman" w:cs="Times New Roman"/>
                <w:sz w:val="24"/>
              </w:rPr>
            </w:pPr>
            <w:r w:rsidRPr="003E2604">
              <w:rPr>
                <w:rFonts w:ascii="Times New Roman" w:hAnsi="Times New Roman" w:cs="Times New Roman"/>
                <w:sz w:val="24"/>
              </w:rPr>
              <w:t>19</w:t>
            </w:r>
          </w:p>
        </w:tc>
        <w:tc>
          <w:tcPr>
            <w:tcW w:w="2183" w:type="dxa"/>
            <w:tcBorders>
              <w:top w:val="single" w:sz="4" w:space="0" w:color="auto"/>
            </w:tcBorders>
            <w:vAlign w:val="center"/>
          </w:tcPr>
          <w:p w14:paraId="3D8BFD77" w14:textId="77777777" w:rsidR="003E2604" w:rsidRPr="003E2604" w:rsidRDefault="003E2604" w:rsidP="00A73186">
            <w:pPr>
              <w:spacing w:before="120" w:line="276" w:lineRule="auto"/>
              <w:rPr>
                <w:rFonts w:ascii="Times New Roman" w:hAnsi="Times New Roman" w:cs="Times New Roman"/>
                <w:sz w:val="24"/>
              </w:rPr>
            </w:pPr>
            <w:r w:rsidRPr="003E2604">
              <w:rPr>
                <w:rFonts w:ascii="Times New Roman" w:hAnsi="Times New Roman" w:cs="Times New Roman"/>
                <w:sz w:val="24"/>
              </w:rPr>
              <w:t>(61)</w:t>
            </w:r>
          </w:p>
        </w:tc>
      </w:tr>
      <w:tr w:rsidR="003E2604" w:rsidRPr="003E2604" w14:paraId="23196972" w14:textId="77777777" w:rsidTr="00A73186">
        <w:trPr>
          <w:trHeight w:val="541"/>
        </w:trPr>
        <w:tc>
          <w:tcPr>
            <w:tcW w:w="3936" w:type="dxa"/>
            <w:vAlign w:val="center"/>
          </w:tcPr>
          <w:p w14:paraId="705AF94E" w14:textId="77777777" w:rsidR="003E2604" w:rsidRPr="003E2604" w:rsidRDefault="003E2604" w:rsidP="00A73186">
            <w:pPr>
              <w:spacing w:before="120" w:line="276" w:lineRule="auto"/>
              <w:rPr>
                <w:rFonts w:ascii="Times New Roman" w:hAnsi="Times New Roman" w:cs="Times New Roman"/>
                <w:sz w:val="24"/>
              </w:rPr>
            </w:pPr>
            <w:r w:rsidRPr="003E2604">
              <w:rPr>
                <w:rFonts w:ascii="Times New Roman" w:hAnsi="Times New Roman" w:cs="Times New Roman"/>
                <w:sz w:val="24"/>
              </w:rPr>
              <w:t>Sulfasalazine, n (%)</w:t>
            </w:r>
          </w:p>
        </w:tc>
        <w:tc>
          <w:tcPr>
            <w:tcW w:w="1219" w:type="dxa"/>
            <w:vAlign w:val="center"/>
          </w:tcPr>
          <w:p w14:paraId="6D1B2B9B" w14:textId="77777777" w:rsidR="003E2604" w:rsidRPr="003E2604" w:rsidRDefault="003E2604" w:rsidP="00A73186">
            <w:pPr>
              <w:spacing w:before="120" w:line="276" w:lineRule="auto"/>
              <w:jc w:val="right"/>
              <w:rPr>
                <w:rFonts w:ascii="Times New Roman" w:hAnsi="Times New Roman" w:cs="Times New Roman"/>
                <w:sz w:val="24"/>
              </w:rPr>
            </w:pPr>
            <w:r w:rsidRPr="003E2604">
              <w:rPr>
                <w:rFonts w:ascii="Times New Roman" w:hAnsi="Times New Roman" w:cs="Times New Roman"/>
                <w:sz w:val="24"/>
              </w:rPr>
              <w:t>4</w:t>
            </w:r>
          </w:p>
        </w:tc>
        <w:tc>
          <w:tcPr>
            <w:tcW w:w="2183" w:type="dxa"/>
            <w:vAlign w:val="center"/>
          </w:tcPr>
          <w:p w14:paraId="4664C654" w14:textId="77777777" w:rsidR="003E2604" w:rsidRPr="003E2604" w:rsidRDefault="003E2604" w:rsidP="00A73186">
            <w:pPr>
              <w:spacing w:before="120" w:line="276" w:lineRule="auto"/>
              <w:rPr>
                <w:rFonts w:ascii="Times New Roman" w:hAnsi="Times New Roman" w:cs="Times New Roman"/>
                <w:sz w:val="24"/>
              </w:rPr>
            </w:pPr>
            <w:r w:rsidRPr="003E2604">
              <w:rPr>
                <w:rFonts w:ascii="Times New Roman" w:hAnsi="Times New Roman" w:cs="Times New Roman"/>
                <w:sz w:val="24"/>
              </w:rPr>
              <w:t>(13)</w:t>
            </w:r>
          </w:p>
        </w:tc>
      </w:tr>
      <w:tr w:rsidR="003E2604" w:rsidRPr="003E2604" w14:paraId="52DD769A" w14:textId="77777777" w:rsidTr="00A73186">
        <w:trPr>
          <w:trHeight w:val="541"/>
        </w:trPr>
        <w:tc>
          <w:tcPr>
            <w:tcW w:w="3936" w:type="dxa"/>
            <w:vAlign w:val="center"/>
          </w:tcPr>
          <w:p w14:paraId="20EF0798" w14:textId="77777777" w:rsidR="003E2604" w:rsidRPr="003E2604" w:rsidRDefault="003E2604" w:rsidP="00A73186">
            <w:pPr>
              <w:spacing w:before="120" w:line="276" w:lineRule="auto"/>
              <w:rPr>
                <w:rFonts w:ascii="Times New Roman" w:hAnsi="Times New Roman" w:cs="Times New Roman"/>
                <w:sz w:val="24"/>
              </w:rPr>
            </w:pPr>
            <w:r w:rsidRPr="003E2604">
              <w:rPr>
                <w:rFonts w:ascii="Times New Roman" w:hAnsi="Times New Roman" w:cs="Times New Roman"/>
                <w:sz w:val="24"/>
              </w:rPr>
              <w:t>Hydroxychloroquine, n (%)</w:t>
            </w:r>
          </w:p>
        </w:tc>
        <w:tc>
          <w:tcPr>
            <w:tcW w:w="1219" w:type="dxa"/>
            <w:vAlign w:val="center"/>
          </w:tcPr>
          <w:p w14:paraId="0D030925" w14:textId="77777777" w:rsidR="003E2604" w:rsidRPr="003E2604" w:rsidRDefault="003E2604" w:rsidP="00A73186">
            <w:pPr>
              <w:spacing w:before="120" w:line="276" w:lineRule="auto"/>
              <w:jc w:val="right"/>
              <w:rPr>
                <w:rFonts w:ascii="Times New Roman" w:hAnsi="Times New Roman" w:cs="Times New Roman"/>
                <w:sz w:val="24"/>
              </w:rPr>
            </w:pPr>
            <w:r w:rsidRPr="003E2604">
              <w:rPr>
                <w:rFonts w:ascii="Times New Roman" w:hAnsi="Times New Roman" w:cs="Times New Roman"/>
                <w:sz w:val="24"/>
              </w:rPr>
              <w:t>8</w:t>
            </w:r>
          </w:p>
        </w:tc>
        <w:tc>
          <w:tcPr>
            <w:tcW w:w="2183" w:type="dxa"/>
            <w:vAlign w:val="center"/>
          </w:tcPr>
          <w:p w14:paraId="48828963" w14:textId="77777777" w:rsidR="003E2604" w:rsidRPr="003E2604" w:rsidRDefault="003E2604" w:rsidP="00A73186">
            <w:pPr>
              <w:spacing w:before="120" w:line="276" w:lineRule="auto"/>
              <w:rPr>
                <w:rFonts w:ascii="Times New Roman" w:hAnsi="Times New Roman" w:cs="Times New Roman"/>
                <w:sz w:val="24"/>
              </w:rPr>
            </w:pPr>
            <w:r w:rsidRPr="003E2604">
              <w:rPr>
                <w:rFonts w:ascii="Times New Roman" w:hAnsi="Times New Roman" w:cs="Times New Roman"/>
                <w:sz w:val="24"/>
              </w:rPr>
              <w:t>(26)</w:t>
            </w:r>
          </w:p>
        </w:tc>
      </w:tr>
      <w:tr w:rsidR="003E2604" w:rsidRPr="003E2604" w14:paraId="50F3BDBC" w14:textId="77777777" w:rsidTr="00A73186">
        <w:trPr>
          <w:trHeight w:val="556"/>
        </w:trPr>
        <w:tc>
          <w:tcPr>
            <w:tcW w:w="3936" w:type="dxa"/>
            <w:vAlign w:val="center"/>
          </w:tcPr>
          <w:p w14:paraId="151BD168" w14:textId="5D96E932" w:rsidR="003E2604" w:rsidRPr="003E2604" w:rsidRDefault="003E2604" w:rsidP="00A73186">
            <w:pPr>
              <w:spacing w:before="120" w:line="276" w:lineRule="auto"/>
              <w:rPr>
                <w:rFonts w:ascii="Times New Roman" w:hAnsi="Times New Roman" w:cs="Times New Roman"/>
                <w:sz w:val="24"/>
              </w:rPr>
            </w:pPr>
            <w:r w:rsidRPr="003E2604">
              <w:rPr>
                <w:rFonts w:ascii="Times New Roman" w:hAnsi="Times New Roman" w:cs="Times New Roman"/>
                <w:sz w:val="24"/>
              </w:rPr>
              <w:t>Prednisone</w:t>
            </w:r>
            <w:r w:rsidR="007A5B83">
              <w:rPr>
                <w:rFonts w:ascii="Times New Roman" w:hAnsi="Times New Roman" w:cs="Times New Roman"/>
                <w:sz w:val="24"/>
              </w:rPr>
              <w:t xml:space="preserve"> in combination </w:t>
            </w:r>
            <w:r w:rsidR="007A5B83">
              <w:rPr>
                <w:rFonts w:ascii="Times New Roman" w:hAnsi="Times New Roman" w:cs="Times New Roman"/>
                <w:sz w:val="24"/>
              </w:rPr>
              <w:br/>
              <w:t xml:space="preserve">with other </w:t>
            </w:r>
            <w:proofErr w:type="spellStart"/>
            <w:r w:rsidR="00B02EF9">
              <w:rPr>
                <w:rFonts w:ascii="Times New Roman" w:hAnsi="Times New Roman" w:cs="Times New Roman"/>
                <w:sz w:val="24"/>
              </w:rPr>
              <w:t>c</w:t>
            </w:r>
            <w:r w:rsidR="007A5B83">
              <w:rPr>
                <w:rFonts w:ascii="Times New Roman" w:hAnsi="Times New Roman" w:cs="Times New Roman"/>
                <w:sz w:val="24"/>
              </w:rPr>
              <w:t>DMARD</w:t>
            </w:r>
            <w:proofErr w:type="spellEnd"/>
            <w:r w:rsidRPr="003E2604">
              <w:rPr>
                <w:rFonts w:ascii="Times New Roman" w:hAnsi="Times New Roman" w:cs="Times New Roman"/>
                <w:sz w:val="24"/>
              </w:rPr>
              <w:t>, n (%)</w:t>
            </w:r>
          </w:p>
        </w:tc>
        <w:tc>
          <w:tcPr>
            <w:tcW w:w="1219" w:type="dxa"/>
            <w:vAlign w:val="center"/>
          </w:tcPr>
          <w:p w14:paraId="673D45FD" w14:textId="77777777" w:rsidR="003E2604" w:rsidRPr="003E2604" w:rsidRDefault="003E2604" w:rsidP="00A73186">
            <w:pPr>
              <w:spacing w:before="120" w:line="276" w:lineRule="auto"/>
              <w:jc w:val="right"/>
              <w:rPr>
                <w:rFonts w:ascii="Times New Roman" w:hAnsi="Times New Roman" w:cs="Times New Roman"/>
                <w:sz w:val="24"/>
              </w:rPr>
            </w:pPr>
            <w:r w:rsidRPr="003E2604">
              <w:rPr>
                <w:rFonts w:ascii="Times New Roman" w:hAnsi="Times New Roman" w:cs="Times New Roman"/>
                <w:sz w:val="24"/>
              </w:rPr>
              <w:t>9</w:t>
            </w:r>
          </w:p>
        </w:tc>
        <w:tc>
          <w:tcPr>
            <w:tcW w:w="2183" w:type="dxa"/>
            <w:vAlign w:val="center"/>
          </w:tcPr>
          <w:p w14:paraId="34B2F87E" w14:textId="77777777" w:rsidR="003E2604" w:rsidRPr="003E2604" w:rsidRDefault="003E2604" w:rsidP="00A73186">
            <w:pPr>
              <w:spacing w:before="120" w:line="276" w:lineRule="auto"/>
              <w:rPr>
                <w:rFonts w:ascii="Times New Roman" w:hAnsi="Times New Roman" w:cs="Times New Roman"/>
                <w:sz w:val="24"/>
              </w:rPr>
            </w:pPr>
            <w:r w:rsidRPr="003E2604">
              <w:rPr>
                <w:rFonts w:ascii="Times New Roman" w:hAnsi="Times New Roman" w:cs="Times New Roman"/>
                <w:sz w:val="24"/>
              </w:rPr>
              <w:t>(29)</w:t>
            </w:r>
          </w:p>
        </w:tc>
      </w:tr>
      <w:tr w:rsidR="003E2604" w:rsidRPr="003E2604" w14:paraId="3C329521" w14:textId="77777777" w:rsidTr="00A73186">
        <w:trPr>
          <w:trHeight w:val="556"/>
        </w:trPr>
        <w:tc>
          <w:tcPr>
            <w:tcW w:w="3936" w:type="dxa"/>
            <w:tcBorders>
              <w:bottom w:val="single" w:sz="24" w:space="0" w:color="auto"/>
            </w:tcBorders>
            <w:vAlign w:val="center"/>
          </w:tcPr>
          <w:p w14:paraId="31C2A579" w14:textId="00D85F1F" w:rsidR="003E2604" w:rsidRPr="003E2604" w:rsidRDefault="003E2604" w:rsidP="008E2083">
            <w:pPr>
              <w:spacing w:before="120" w:after="120" w:line="276" w:lineRule="auto"/>
              <w:rPr>
                <w:rFonts w:ascii="Times New Roman" w:hAnsi="Times New Roman" w:cs="Times New Roman"/>
                <w:sz w:val="24"/>
              </w:rPr>
            </w:pPr>
            <w:r w:rsidRPr="003E2604">
              <w:rPr>
                <w:rFonts w:ascii="Times New Roman" w:hAnsi="Times New Roman" w:cs="Times New Roman"/>
                <w:sz w:val="24"/>
              </w:rPr>
              <w:t>Certolizumab</w:t>
            </w:r>
            <w:r w:rsidR="007A5B83">
              <w:rPr>
                <w:rFonts w:ascii="Times New Roman" w:hAnsi="Times New Roman" w:cs="Times New Roman"/>
                <w:sz w:val="24"/>
              </w:rPr>
              <w:t xml:space="preserve"> in setting </w:t>
            </w:r>
            <w:r w:rsidR="007A5B83">
              <w:rPr>
                <w:rFonts w:ascii="Times New Roman" w:hAnsi="Times New Roman" w:cs="Times New Roman"/>
                <w:sz w:val="24"/>
              </w:rPr>
              <w:br/>
              <w:t>of clinical trial (C-EARLY)</w:t>
            </w:r>
            <w:r w:rsidRPr="003E2604">
              <w:rPr>
                <w:rFonts w:ascii="Times New Roman" w:hAnsi="Times New Roman" w:cs="Times New Roman"/>
                <w:sz w:val="24"/>
              </w:rPr>
              <w:t>, n (%)</w:t>
            </w:r>
          </w:p>
        </w:tc>
        <w:tc>
          <w:tcPr>
            <w:tcW w:w="1219" w:type="dxa"/>
            <w:tcBorders>
              <w:bottom w:val="single" w:sz="24" w:space="0" w:color="auto"/>
            </w:tcBorders>
            <w:vAlign w:val="center"/>
          </w:tcPr>
          <w:p w14:paraId="1352D413" w14:textId="77777777" w:rsidR="003E2604" w:rsidRPr="003E2604" w:rsidRDefault="003E2604" w:rsidP="00A73186">
            <w:pPr>
              <w:spacing w:before="120" w:line="276" w:lineRule="auto"/>
              <w:jc w:val="right"/>
              <w:rPr>
                <w:rFonts w:ascii="Times New Roman" w:hAnsi="Times New Roman" w:cs="Times New Roman"/>
                <w:sz w:val="24"/>
              </w:rPr>
            </w:pPr>
            <w:r w:rsidRPr="003E2604">
              <w:rPr>
                <w:rFonts w:ascii="Times New Roman" w:hAnsi="Times New Roman" w:cs="Times New Roman"/>
                <w:sz w:val="24"/>
              </w:rPr>
              <w:t>1</w:t>
            </w:r>
          </w:p>
        </w:tc>
        <w:tc>
          <w:tcPr>
            <w:tcW w:w="2183" w:type="dxa"/>
            <w:tcBorders>
              <w:bottom w:val="single" w:sz="24" w:space="0" w:color="auto"/>
            </w:tcBorders>
            <w:vAlign w:val="center"/>
          </w:tcPr>
          <w:p w14:paraId="6B9E8A75" w14:textId="77777777" w:rsidR="003E2604" w:rsidRPr="003E2604" w:rsidRDefault="003E2604" w:rsidP="00A73186">
            <w:pPr>
              <w:spacing w:before="120" w:line="276" w:lineRule="auto"/>
              <w:rPr>
                <w:rFonts w:ascii="Times New Roman" w:hAnsi="Times New Roman" w:cs="Times New Roman"/>
                <w:sz w:val="24"/>
              </w:rPr>
            </w:pPr>
            <w:r w:rsidRPr="003E2604">
              <w:rPr>
                <w:rFonts w:ascii="Times New Roman" w:hAnsi="Times New Roman" w:cs="Times New Roman"/>
                <w:sz w:val="24"/>
              </w:rPr>
              <w:t>(3)</w:t>
            </w:r>
          </w:p>
        </w:tc>
      </w:tr>
    </w:tbl>
    <w:p w14:paraId="7B8FD8BE" w14:textId="77777777" w:rsidR="003E2604" w:rsidRPr="003E2604" w:rsidRDefault="003E2604" w:rsidP="003E2604">
      <w:pPr>
        <w:rPr>
          <w:rFonts w:ascii="Times New Roman" w:hAnsi="Times New Roman" w:cs="Times New Roman"/>
          <w:b/>
          <w:sz w:val="24"/>
        </w:rPr>
      </w:pPr>
    </w:p>
    <w:p w14:paraId="684835A6" w14:textId="6E7803B7" w:rsidR="002E1AA5" w:rsidRDefault="002E1AA5">
      <w:pPr>
        <w:rPr>
          <w:rFonts w:ascii="Times New Roman" w:hAnsi="Times New Roman" w:cs="Times New Roman"/>
          <w:b/>
          <w:kern w:val="22"/>
        </w:rPr>
      </w:pPr>
      <w:r>
        <w:br w:type="page"/>
      </w:r>
    </w:p>
    <w:p w14:paraId="3E1AD93F" w14:textId="34440A7D" w:rsidR="00DB1DFA" w:rsidRPr="006E7383" w:rsidRDefault="00DB1DFA" w:rsidP="00DB1DFA">
      <w:pPr>
        <w:spacing w:after="0" w:line="480" w:lineRule="auto"/>
        <w:outlineLvl w:val="0"/>
        <w:rPr>
          <w:rFonts w:ascii="Times New Roman" w:hAnsi="Times New Roman" w:cs="Times New Roman"/>
          <w:b/>
        </w:rPr>
      </w:pPr>
      <w:proofErr w:type="gramStart"/>
      <w:r w:rsidRPr="006E7383">
        <w:rPr>
          <w:rFonts w:ascii="Times New Roman" w:hAnsi="Times New Roman" w:cs="Times New Roman"/>
          <w:b/>
        </w:rPr>
        <w:lastRenderedPageBreak/>
        <w:t>Supplementary Methods.</w:t>
      </w:r>
      <w:proofErr w:type="gramEnd"/>
      <w:r w:rsidRPr="006E7383">
        <w:rPr>
          <w:rFonts w:ascii="Times New Roman" w:hAnsi="Times New Roman" w:cs="Times New Roman"/>
          <w:b/>
        </w:rPr>
        <w:t xml:space="preserve"> MRI scanning </w:t>
      </w:r>
      <w:r w:rsidR="00283DCE">
        <w:rPr>
          <w:rFonts w:ascii="Times New Roman" w:hAnsi="Times New Roman" w:cs="Times New Roman"/>
          <w:b/>
        </w:rPr>
        <w:t xml:space="preserve">protocol </w:t>
      </w:r>
      <w:r w:rsidRPr="006E7383">
        <w:rPr>
          <w:rFonts w:ascii="Times New Roman" w:hAnsi="Times New Roman" w:cs="Times New Roman"/>
          <w:b/>
        </w:rPr>
        <w:t>and scoring</w:t>
      </w:r>
    </w:p>
    <w:p w14:paraId="270D195C" w14:textId="77777777" w:rsidR="00DB1DFA" w:rsidRPr="006E7383" w:rsidRDefault="00DB1DFA" w:rsidP="00DB1DFA">
      <w:pPr>
        <w:spacing w:after="0" w:line="480" w:lineRule="auto"/>
        <w:rPr>
          <w:rFonts w:ascii="Times New Roman" w:hAnsi="Times New Roman" w:cs="Times New Roman"/>
        </w:rPr>
      </w:pPr>
    </w:p>
    <w:p w14:paraId="3C929F3C" w14:textId="77777777" w:rsidR="00DB1DFA" w:rsidRPr="006E7383" w:rsidRDefault="00DB1DFA" w:rsidP="00DB1DFA">
      <w:pPr>
        <w:spacing w:after="0" w:line="480" w:lineRule="auto"/>
        <w:outlineLvl w:val="1"/>
        <w:rPr>
          <w:rFonts w:ascii="Times New Roman" w:hAnsi="Times New Roman" w:cs="Times New Roman"/>
          <w:i/>
        </w:rPr>
      </w:pPr>
      <w:r w:rsidRPr="006E7383">
        <w:rPr>
          <w:rFonts w:ascii="Times New Roman" w:hAnsi="Times New Roman" w:cs="Times New Roman"/>
          <w:i/>
        </w:rPr>
        <w:t>Detailed MR-scan protocol</w:t>
      </w:r>
    </w:p>
    <w:p w14:paraId="5FF39F34" w14:textId="1D2FC128" w:rsidR="00DB1DFA" w:rsidRPr="006E7383" w:rsidRDefault="00DB1DFA" w:rsidP="00DB1DFA">
      <w:pPr>
        <w:spacing w:after="0" w:line="480" w:lineRule="auto"/>
        <w:rPr>
          <w:rFonts w:ascii="Times New Roman" w:hAnsi="Times New Roman" w:cs="Times New Roman"/>
        </w:rPr>
      </w:pPr>
      <w:r w:rsidRPr="006E7383">
        <w:rPr>
          <w:rFonts w:ascii="Times New Roman" w:hAnsi="Times New Roman" w:cs="Times New Roman"/>
        </w:rPr>
        <w:t xml:space="preserve">MR imaging was performed on an </w:t>
      </w:r>
      <w:r w:rsidR="00FC1B0E">
        <w:rPr>
          <w:rFonts w:ascii="Times New Roman" w:hAnsi="Times New Roman" w:cs="Times New Roman"/>
        </w:rPr>
        <w:t xml:space="preserve">ONI </w:t>
      </w:r>
      <w:r w:rsidRPr="006E7383">
        <w:rPr>
          <w:rFonts w:ascii="Times New Roman" w:hAnsi="Times New Roman" w:cs="Times New Roman"/>
        </w:rPr>
        <w:t>MSK</w:t>
      </w:r>
      <w:r w:rsidR="00FC1B0E">
        <w:rPr>
          <w:rFonts w:ascii="Times New Roman" w:hAnsi="Times New Roman" w:cs="Times New Roman"/>
        </w:rPr>
        <w:t xml:space="preserve"> E</w:t>
      </w:r>
      <w:r w:rsidRPr="006E7383">
        <w:rPr>
          <w:rFonts w:ascii="Times New Roman" w:hAnsi="Times New Roman" w:cs="Times New Roman"/>
        </w:rPr>
        <w:t>xtreme 1.5T extremity MR imaging system (GE</w:t>
      </w:r>
      <w:r w:rsidR="00FC1B0E">
        <w:rPr>
          <w:rFonts w:ascii="Times New Roman" w:hAnsi="Times New Roman" w:cs="Times New Roman"/>
        </w:rPr>
        <w:t xml:space="preserve"> </w:t>
      </w:r>
      <w:r w:rsidR="00FC1B0E" w:rsidRPr="00FC1B0E">
        <w:rPr>
          <w:rFonts w:ascii="Times New Roman" w:hAnsi="Times New Roman" w:cs="Times New Roman"/>
        </w:rPr>
        <w:t>Healthcare</w:t>
      </w:r>
      <w:r w:rsidRPr="006E7383">
        <w:rPr>
          <w:rFonts w:ascii="Times New Roman" w:hAnsi="Times New Roman" w:cs="Times New Roman"/>
        </w:rPr>
        <w:t>, Wisconsin, USA) using a 145mm coil for the foot and a 100mm coil for the hand. The patient was positioned in a chair beside the scanner, with the hand or foot fixed in the coil with cushions.</w:t>
      </w:r>
    </w:p>
    <w:p w14:paraId="202F8900" w14:textId="77777777" w:rsidR="00DB1DFA" w:rsidRPr="006E7383" w:rsidRDefault="00DB1DFA" w:rsidP="00DB1DFA">
      <w:pPr>
        <w:spacing w:after="0" w:line="480" w:lineRule="auto"/>
        <w:rPr>
          <w:rFonts w:ascii="Times New Roman" w:hAnsi="Times New Roman" w:cs="Times New Roman"/>
        </w:rPr>
      </w:pPr>
    </w:p>
    <w:p w14:paraId="5AA7892F" w14:textId="77777777" w:rsidR="00DB1DFA" w:rsidRPr="006E7383" w:rsidRDefault="00DB1DFA" w:rsidP="00DB1DFA">
      <w:pPr>
        <w:spacing w:after="0" w:line="480" w:lineRule="auto"/>
        <w:rPr>
          <w:rFonts w:ascii="Times New Roman" w:hAnsi="Times New Roman" w:cs="Times New Roman"/>
        </w:rPr>
      </w:pPr>
      <w:r w:rsidRPr="006E7383">
        <w:rPr>
          <w:rFonts w:ascii="Times New Roman" w:hAnsi="Times New Roman" w:cs="Times New Roman"/>
        </w:rPr>
        <w:t xml:space="preserve">In the hand, the following sequences were acquired before contrast injection: T1-weighted fast spin-echo (FSE) sequence in the coronal plane (repetition time (TR) 575 </w:t>
      </w:r>
      <w:proofErr w:type="spellStart"/>
      <w:r w:rsidRPr="006E7383">
        <w:rPr>
          <w:rFonts w:ascii="Times New Roman" w:hAnsi="Times New Roman" w:cs="Times New Roman"/>
        </w:rPr>
        <w:t>ms</w:t>
      </w:r>
      <w:proofErr w:type="spellEnd"/>
      <w:r w:rsidRPr="006E7383">
        <w:rPr>
          <w:rFonts w:ascii="Times New Roman" w:hAnsi="Times New Roman" w:cs="Times New Roman"/>
        </w:rPr>
        <w:t xml:space="preserve">, echo time (TE) 11.2 </w:t>
      </w:r>
      <w:proofErr w:type="spellStart"/>
      <w:r w:rsidRPr="006E7383">
        <w:rPr>
          <w:rFonts w:ascii="Times New Roman" w:hAnsi="Times New Roman" w:cs="Times New Roman"/>
        </w:rPr>
        <w:t>ms</w:t>
      </w:r>
      <w:proofErr w:type="spellEnd"/>
      <w:r w:rsidRPr="006E7383">
        <w:rPr>
          <w:rFonts w:ascii="Times New Roman" w:hAnsi="Times New Roman" w:cs="Times New Roman"/>
        </w:rPr>
        <w:t>, acquisition matrix 388×288, echo train length (ETL) 2). After intravenous injection of gadolinium contrast (</w:t>
      </w:r>
      <w:proofErr w:type="spellStart"/>
      <w:r w:rsidRPr="006E7383">
        <w:rPr>
          <w:rFonts w:ascii="Times New Roman" w:hAnsi="Times New Roman" w:cs="Times New Roman"/>
        </w:rPr>
        <w:t>gadoteric</w:t>
      </w:r>
      <w:proofErr w:type="spellEnd"/>
      <w:r w:rsidRPr="006E7383">
        <w:rPr>
          <w:rFonts w:ascii="Times New Roman" w:hAnsi="Times New Roman" w:cs="Times New Roman"/>
        </w:rPr>
        <w:t xml:space="preserve"> acid, </w:t>
      </w:r>
      <w:proofErr w:type="spellStart"/>
      <w:r w:rsidRPr="006E7383">
        <w:rPr>
          <w:rFonts w:ascii="Times New Roman" w:hAnsi="Times New Roman" w:cs="Times New Roman"/>
        </w:rPr>
        <w:t>Guerbet</w:t>
      </w:r>
      <w:proofErr w:type="spellEnd"/>
      <w:r w:rsidRPr="006E7383">
        <w:rPr>
          <w:rFonts w:ascii="Times New Roman" w:hAnsi="Times New Roman" w:cs="Times New Roman"/>
        </w:rPr>
        <w:t xml:space="preserve">, Paris, France, standard dose of 0.1 </w:t>
      </w:r>
      <w:proofErr w:type="spellStart"/>
      <w:r w:rsidRPr="006E7383">
        <w:rPr>
          <w:rFonts w:ascii="Times New Roman" w:hAnsi="Times New Roman" w:cs="Times New Roman"/>
        </w:rPr>
        <w:t>mmol</w:t>
      </w:r>
      <w:proofErr w:type="spellEnd"/>
      <w:r w:rsidRPr="006E7383">
        <w:rPr>
          <w:rFonts w:ascii="Times New Roman" w:hAnsi="Times New Roman" w:cs="Times New Roman"/>
        </w:rPr>
        <w:t>/kg) the following sequences were obtained: T1-weighted FSE sequence with frequency selective fat saturation (</w:t>
      </w:r>
      <w:proofErr w:type="spellStart"/>
      <w:r w:rsidRPr="006E7383">
        <w:rPr>
          <w:rFonts w:ascii="Times New Roman" w:hAnsi="Times New Roman" w:cs="Times New Roman"/>
        </w:rPr>
        <w:t>fatsat</w:t>
      </w:r>
      <w:proofErr w:type="spellEnd"/>
      <w:r w:rsidRPr="006E7383">
        <w:rPr>
          <w:rFonts w:ascii="Times New Roman" w:hAnsi="Times New Roman" w:cs="Times New Roman"/>
        </w:rPr>
        <w:t xml:space="preserve">) in the coronal plane (TR/TE 700/9.7ms, acquisition matrix 364×224, ETL 2), T1-weighted FSE sequence with frequency selective fat saturation in the axial plane (wrist: TR/TE 540/7.7 </w:t>
      </w:r>
      <w:proofErr w:type="spellStart"/>
      <w:r w:rsidRPr="006E7383">
        <w:rPr>
          <w:rFonts w:ascii="Times New Roman" w:hAnsi="Times New Roman" w:cs="Times New Roman"/>
        </w:rPr>
        <w:t>ms</w:t>
      </w:r>
      <w:proofErr w:type="spellEnd"/>
      <w:r w:rsidRPr="006E7383">
        <w:rPr>
          <w:rFonts w:ascii="Times New Roman" w:hAnsi="Times New Roman" w:cs="Times New Roman"/>
        </w:rPr>
        <w:t xml:space="preserve">; acquisition matrix 320x192; ETL 2 and metacarpophalangeal joints: TR/TE 570/7.7 </w:t>
      </w:r>
      <w:proofErr w:type="spellStart"/>
      <w:r w:rsidRPr="006E7383">
        <w:rPr>
          <w:rFonts w:ascii="Times New Roman" w:hAnsi="Times New Roman" w:cs="Times New Roman"/>
        </w:rPr>
        <w:t>ms</w:t>
      </w:r>
      <w:proofErr w:type="spellEnd"/>
      <w:r w:rsidRPr="006E7383">
        <w:rPr>
          <w:rFonts w:ascii="Times New Roman" w:hAnsi="Times New Roman" w:cs="Times New Roman"/>
        </w:rPr>
        <w:t>; acquisition matrix 320x192; ETL 2).</w:t>
      </w:r>
    </w:p>
    <w:p w14:paraId="6846B526" w14:textId="77777777" w:rsidR="00DB1DFA" w:rsidRPr="006E7383" w:rsidRDefault="00DB1DFA" w:rsidP="00DB1DFA">
      <w:pPr>
        <w:spacing w:after="0" w:line="480" w:lineRule="auto"/>
        <w:rPr>
          <w:rFonts w:ascii="Times New Roman" w:hAnsi="Times New Roman" w:cs="Times New Roman"/>
        </w:rPr>
      </w:pPr>
    </w:p>
    <w:p w14:paraId="7BA07447" w14:textId="51286EB1" w:rsidR="005E689E" w:rsidRPr="006E7383" w:rsidRDefault="00DB1DFA" w:rsidP="005E689E">
      <w:pPr>
        <w:spacing w:after="0" w:line="480" w:lineRule="auto"/>
        <w:rPr>
          <w:rFonts w:ascii="Times New Roman" w:hAnsi="Times New Roman" w:cs="Times New Roman"/>
        </w:rPr>
      </w:pPr>
      <w:r w:rsidRPr="006E7383">
        <w:rPr>
          <w:rFonts w:ascii="Times New Roman" w:hAnsi="Times New Roman" w:cs="Times New Roman"/>
        </w:rPr>
        <w:t xml:space="preserve">The obtained sequences of the forefoot were post-gadolinium sequences which included: T1-weighted FSE </w:t>
      </w:r>
      <w:proofErr w:type="spellStart"/>
      <w:r w:rsidRPr="006E7383">
        <w:rPr>
          <w:rFonts w:ascii="Times New Roman" w:hAnsi="Times New Roman" w:cs="Times New Roman"/>
        </w:rPr>
        <w:t>fatsat</w:t>
      </w:r>
      <w:proofErr w:type="spellEnd"/>
      <w:r w:rsidRPr="006E7383">
        <w:rPr>
          <w:rFonts w:ascii="Times New Roman" w:hAnsi="Times New Roman" w:cs="Times New Roman"/>
        </w:rPr>
        <w:t xml:space="preserve"> sequence in the axial plane (TR/TE 700/9.5ms; acquisition matrix 364x224, ETL 2) and: T1-weighted FSE </w:t>
      </w:r>
      <w:proofErr w:type="spellStart"/>
      <w:r w:rsidRPr="006E7383">
        <w:rPr>
          <w:rFonts w:ascii="Times New Roman" w:hAnsi="Times New Roman" w:cs="Times New Roman"/>
        </w:rPr>
        <w:t>fatsat</w:t>
      </w:r>
      <w:proofErr w:type="spellEnd"/>
      <w:r w:rsidRPr="006E7383">
        <w:rPr>
          <w:rFonts w:ascii="Times New Roman" w:hAnsi="Times New Roman" w:cs="Times New Roman"/>
        </w:rPr>
        <w:t xml:space="preserve"> sequence in the coronal plane (perpendicular to the axis of the metatarsals) (TR/TE 540/7.5ms; acquisition matrix 320x192, ETL 2).</w:t>
      </w:r>
      <w:r w:rsidR="005E689E">
        <w:rPr>
          <w:rFonts w:ascii="Times New Roman" w:hAnsi="Times New Roman" w:cs="Times New Roman"/>
        </w:rPr>
        <w:t xml:space="preserve"> </w:t>
      </w:r>
      <w:r w:rsidR="000E7C3C" w:rsidRPr="006E7383">
        <w:rPr>
          <w:rFonts w:ascii="Times New Roman" w:hAnsi="Times New Roman" w:cs="Times New Roman"/>
        </w:rPr>
        <w:t xml:space="preserve">In the first </w:t>
      </w:r>
      <w:r w:rsidR="00090A37">
        <w:rPr>
          <w:rFonts w:ascii="Times New Roman" w:hAnsi="Times New Roman" w:cs="Times New Roman"/>
        </w:rPr>
        <w:t>7</w:t>
      </w:r>
      <w:r w:rsidR="000E7C3C" w:rsidRPr="006E7383">
        <w:rPr>
          <w:rFonts w:ascii="Times New Roman" w:hAnsi="Times New Roman" w:cs="Times New Roman"/>
        </w:rPr>
        <w:t xml:space="preserve"> patients a T1-weighted sequence and a T2-weighted fat saturated sequence were acquired in the axial plane (relative to the anatomical position), before contrast agent administration</w:t>
      </w:r>
      <w:r w:rsidR="000E7C3C">
        <w:rPr>
          <w:rFonts w:ascii="Times New Roman" w:hAnsi="Times New Roman" w:cs="Times New Roman"/>
        </w:rPr>
        <w:t xml:space="preserve"> at both time points</w:t>
      </w:r>
      <w:r w:rsidR="000E7C3C" w:rsidRPr="006E7383">
        <w:rPr>
          <w:rFonts w:ascii="Times New Roman" w:hAnsi="Times New Roman" w:cs="Times New Roman"/>
        </w:rPr>
        <w:t xml:space="preserve">. In </w:t>
      </w:r>
      <w:r w:rsidR="00090A37">
        <w:rPr>
          <w:rFonts w:ascii="Times New Roman" w:hAnsi="Times New Roman" w:cs="Times New Roman"/>
        </w:rPr>
        <w:t>2</w:t>
      </w:r>
      <w:r w:rsidR="008771E9">
        <w:rPr>
          <w:rFonts w:ascii="Times New Roman" w:hAnsi="Times New Roman" w:cs="Times New Roman"/>
        </w:rPr>
        <w:t>3</w:t>
      </w:r>
      <w:r w:rsidR="000E7C3C" w:rsidRPr="006E7383">
        <w:rPr>
          <w:rFonts w:ascii="Times New Roman" w:hAnsi="Times New Roman" w:cs="Times New Roman"/>
        </w:rPr>
        <w:t xml:space="preserve"> patients postcontrast, T1-weighted, fat saturated sequences were acquired in axial and coronal planes</w:t>
      </w:r>
      <w:r w:rsidR="000E7C3C">
        <w:rPr>
          <w:rFonts w:ascii="Times New Roman" w:hAnsi="Times New Roman" w:cs="Times New Roman"/>
        </w:rPr>
        <w:t xml:space="preserve"> at both timepoints</w:t>
      </w:r>
      <w:r w:rsidR="000E7C3C" w:rsidRPr="006E7383">
        <w:rPr>
          <w:rFonts w:ascii="Times New Roman" w:hAnsi="Times New Roman" w:cs="Times New Roman"/>
        </w:rPr>
        <w:t>.</w:t>
      </w:r>
      <w:r w:rsidR="000E7C3C">
        <w:rPr>
          <w:rFonts w:ascii="Times New Roman" w:hAnsi="Times New Roman" w:cs="Times New Roman"/>
        </w:rPr>
        <w:t xml:space="preserve"> </w:t>
      </w:r>
      <w:r w:rsidR="000E7C3C" w:rsidRPr="006E7383">
        <w:rPr>
          <w:rFonts w:ascii="Times New Roman" w:hAnsi="Times New Roman" w:cs="Times New Roman"/>
        </w:rPr>
        <w:t>This provided more information while reducing scanning-times.</w:t>
      </w:r>
      <w:r w:rsidR="000E7C3C">
        <w:rPr>
          <w:rFonts w:ascii="Times New Roman" w:hAnsi="Times New Roman" w:cs="Times New Roman"/>
        </w:rPr>
        <w:t xml:space="preserve"> In one patient </w:t>
      </w:r>
      <w:r w:rsidR="000E7C3C" w:rsidRPr="006E7383">
        <w:rPr>
          <w:rFonts w:ascii="Times New Roman" w:hAnsi="Times New Roman" w:cs="Times New Roman"/>
        </w:rPr>
        <w:t>T1-weighted sequence</w:t>
      </w:r>
      <w:r w:rsidR="000E7C3C">
        <w:rPr>
          <w:rFonts w:ascii="Times New Roman" w:hAnsi="Times New Roman" w:cs="Times New Roman"/>
        </w:rPr>
        <w:t>s</w:t>
      </w:r>
      <w:r w:rsidR="000E7C3C" w:rsidRPr="006E7383">
        <w:rPr>
          <w:rFonts w:ascii="Times New Roman" w:hAnsi="Times New Roman" w:cs="Times New Roman"/>
        </w:rPr>
        <w:t xml:space="preserve"> and a T2-weighted fat saturated sequence were acquired in the axial plane </w:t>
      </w:r>
      <w:r w:rsidR="000E7C3C" w:rsidRPr="006E7383">
        <w:rPr>
          <w:rFonts w:ascii="Times New Roman" w:hAnsi="Times New Roman" w:cs="Times New Roman"/>
        </w:rPr>
        <w:lastRenderedPageBreak/>
        <w:t>(relative to the anatomical position), before contrast agent administration</w:t>
      </w:r>
      <w:r w:rsidR="000E7C3C">
        <w:rPr>
          <w:rFonts w:ascii="Times New Roman" w:hAnsi="Times New Roman" w:cs="Times New Roman"/>
        </w:rPr>
        <w:t xml:space="preserve"> at presentation with arthralgia and </w:t>
      </w:r>
      <w:r w:rsidR="000E7C3C" w:rsidRPr="006E7383">
        <w:rPr>
          <w:rFonts w:ascii="Times New Roman" w:hAnsi="Times New Roman" w:cs="Times New Roman"/>
        </w:rPr>
        <w:t>postcontrast, T1-weighted, fat saturated sequences were acquired in axial and coronal planes</w:t>
      </w:r>
      <w:r w:rsidR="000E7C3C">
        <w:rPr>
          <w:rFonts w:ascii="Times New Roman" w:hAnsi="Times New Roman" w:cs="Times New Roman"/>
        </w:rPr>
        <w:t xml:space="preserve"> at presentation with inflammatory arthritis.</w:t>
      </w:r>
      <w:r w:rsidR="000E7C3C" w:rsidRPr="006E7383">
        <w:rPr>
          <w:rFonts w:ascii="Times New Roman" w:hAnsi="Times New Roman" w:cs="Times New Roman"/>
        </w:rPr>
        <w:t xml:space="preserve"> </w:t>
      </w:r>
      <w:r w:rsidR="00B6443F">
        <w:rPr>
          <w:rFonts w:ascii="Times New Roman" w:hAnsi="Times New Roman" w:cs="Times New Roman"/>
        </w:rPr>
        <w:t>Analyses stratified per scanning protocol</w:t>
      </w:r>
      <w:r w:rsidR="0013126D">
        <w:rPr>
          <w:rFonts w:ascii="Times New Roman" w:hAnsi="Times New Roman" w:cs="Times New Roman"/>
        </w:rPr>
        <w:t xml:space="preserve"> for the forefoot</w:t>
      </w:r>
      <w:r w:rsidR="00B6443F">
        <w:rPr>
          <w:rFonts w:ascii="Times New Roman" w:hAnsi="Times New Roman" w:cs="Times New Roman"/>
        </w:rPr>
        <w:t xml:space="preserve"> yielded similar results</w:t>
      </w:r>
      <w:r w:rsidR="00EF7595">
        <w:rPr>
          <w:rFonts w:ascii="Times New Roman" w:hAnsi="Times New Roman" w:cs="Times New Roman"/>
        </w:rPr>
        <w:t xml:space="preserve">: with </w:t>
      </w:r>
      <w:r w:rsidR="00E947F2">
        <w:rPr>
          <w:rFonts w:ascii="Times New Roman" w:hAnsi="Times New Roman" w:cs="Times New Roman"/>
        </w:rPr>
        <w:t xml:space="preserve">62% of swollen joints having no prior </w:t>
      </w:r>
      <w:r w:rsidR="005E1619">
        <w:rPr>
          <w:rFonts w:ascii="Times New Roman" w:hAnsi="Times New Roman" w:cs="Times New Roman"/>
        </w:rPr>
        <w:t xml:space="preserve">subclinical </w:t>
      </w:r>
      <w:r w:rsidR="006B557E">
        <w:rPr>
          <w:rFonts w:ascii="Times New Roman" w:hAnsi="Times New Roman" w:cs="Times New Roman"/>
        </w:rPr>
        <w:t>inflammation in the first 8 patients (</w:t>
      </w:r>
      <w:r w:rsidR="006B557E" w:rsidRPr="006E7383">
        <w:rPr>
          <w:rFonts w:ascii="Times New Roman" w:hAnsi="Times New Roman" w:cs="Times New Roman"/>
        </w:rPr>
        <w:t xml:space="preserve">T1-weighted sequence and a T2-weighted fat saturated sequence </w:t>
      </w:r>
      <w:r w:rsidR="006B557E">
        <w:rPr>
          <w:rFonts w:ascii="Times New Roman" w:hAnsi="Times New Roman" w:cs="Times New Roman"/>
        </w:rPr>
        <w:t xml:space="preserve">of the forefoot at arthralgia) with </w:t>
      </w:r>
      <w:r w:rsidR="00E947F2">
        <w:rPr>
          <w:rFonts w:ascii="Times New Roman" w:hAnsi="Times New Roman" w:cs="Times New Roman"/>
        </w:rPr>
        <w:t xml:space="preserve">and 71% of swollen joints having no </w:t>
      </w:r>
      <w:r w:rsidR="005E1619">
        <w:rPr>
          <w:rFonts w:ascii="Times New Roman" w:hAnsi="Times New Roman" w:cs="Times New Roman"/>
        </w:rPr>
        <w:t xml:space="preserve">prior subclinical inflammation </w:t>
      </w:r>
      <w:r w:rsidR="006B557E">
        <w:rPr>
          <w:rFonts w:ascii="Times New Roman" w:hAnsi="Times New Roman" w:cs="Times New Roman"/>
        </w:rPr>
        <w:t>in the remaining 27 patients</w:t>
      </w:r>
      <w:r w:rsidR="00916AA0">
        <w:rPr>
          <w:rFonts w:ascii="Times New Roman" w:hAnsi="Times New Roman" w:cs="Times New Roman"/>
        </w:rPr>
        <w:t xml:space="preserve"> (</w:t>
      </w:r>
      <w:r w:rsidR="00916AA0" w:rsidRPr="006E7383">
        <w:rPr>
          <w:rFonts w:ascii="Times New Roman" w:hAnsi="Times New Roman" w:cs="Times New Roman"/>
        </w:rPr>
        <w:t>postcontrast, T1-weighted, fat saturated sequences</w:t>
      </w:r>
      <w:r w:rsidR="00916AA0">
        <w:rPr>
          <w:rFonts w:ascii="Times New Roman" w:hAnsi="Times New Roman" w:cs="Times New Roman"/>
        </w:rPr>
        <w:t xml:space="preserve"> of the forefoot)</w:t>
      </w:r>
      <w:r w:rsidR="008C4D57">
        <w:rPr>
          <w:rFonts w:ascii="Times New Roman" w:hAnsi="Times New Roman" w:cs="Times New Roman"/>
        </w:rPr>
        <w:t>.</w:t>
      </w:r>
    </w:p>
    <w:p w14:paraId="5599C333" w14:textId="77777777" w:rsidR="00DB1DFA" w:rsidRPr="006E7383" w:rsidRDefault="00DB1DFA" w:rsidP="00DB1DFA">
      <w:pPr>
        <w:spacing w:after="0" w:line="480" w:lineRule="auto"/>
        <w:rPr>
          <w:rFonts w:ascii="Times New Roman" w:hAnsi="Times New Roman" w:cs="Times New Roman"/>
        </w:rPr>
      </w:pPr>
    </w:p>
    <w:p w14:paraId="06E25BAA" w14:textId="77777777" w:rsidR="00DB1DFA" w:rsidRPr="006E7383" w:rsidRDefault="00DB1DFA" w:rsidP="00DB1DFA">
      <w:pPr>
        <w:spacing w:after="0" w:line="480" w:lineRule="auto"/>
        <w:rPr>
          <w:rFonts w:ascii="Times New Roman" w:hAnsi="Times New Roman" w:cs="Times New Roman"/>
        </w:rPr>
      </w:pPr>
      <w:r w:rsidRPr="006E7383">
        <w:rPr>
          <w:rFonts w:ascii="Times New Roman" w:hAnsi="Times New Roman" w:cs="Times New Roman"/>
        </w:rPr>
        <w:t>Field-of-view was 100mm for the hand and 140mm for the foot. Coronal sequences of the hand had 18 slices with a slice thickness of 2mm and a slice gap of 0.2mm. Coronal sequences of the foot had 20 slices with a slice thickness of 3mm and a slice gap of 0.3mm. All axial sequences had a slice thickness of 3mm and a slice gap of 0.3mm with 20 slices for the wrist, 16 for the metacarpophalangeal joints and 14 for the foot.</w:t>
      </w:r>
    </w:p>
    <w:p w14:paraId="34E33DF5" w14:textId="77777777" w:rsidR="00DB1DFA" w:rsidRPr="006E7383" w:rsidRDefault="00DB1DFA" w:rsidP="00DB1DFA">
      <w:pPr>
        <w:spacing w:after="0" w:line="480" w:lineRule="auto"/>
        <w:rPr>
          <w:rFonts w:ascii="Times New Roman" w:hAnsi="Times New Roman" w:cs="Times New Roman"/>
        </w:rPr>
      </w:pPr>
    </w:p>
    <w:p w14:paraId="0CCCB87F" w14:textId="77777777" w:rsidR="00DB1DFA" w:rsidRPr="006E7383" w:rsidRDefault="00DB1DFA" w:rsidP="00DB1DFA">
      <w:pPr>
        <w:spacing w:after="0" w:line="480" w:lineRule="auto"/>
        <w:rPr>
          <w:rFonts w:ascii="Times New Roman" w:hAnsi="Times New Roman" w:cs="Times New Roman"/>
        </w:rPr>
      </w:pPr>
      <w:r w:rsidRPr="006E7383">
        <w:rPr>
          <w:rFonts w:ascii="Times New Roman" w:hAnsi="Times New Roman" w:cs="Times New Roman"/>
        </w:rPr>
        <w:t>According to the RAMRIS-method, T2-weighted fat suppressed sequences, or when this sequence is not available a short tau inversion recovery (STIR) sequence, should be used to assess Bone Marrow (O</w:t>
      </w:r>
      <w:proofErr w:type="gramStart"/>
      <w:r w:rsidRPr="006E7383">
        <w:rPr>
          <w:rFonts w:ascii="Times New Roman" w:hAnsi="Times New Roman" w:cs="Times New Roman"/>
        </w:rPr>
        <w:t>)</w:t>
      </w:r>
      <w:proofErr w:type="spellStart"/>
      <w:r w:rsidRPr="006E7383">
        <w:rPr>
          <w:rFonts w:ascii="Times New Roman" w:hAnsi="Times New Roman" w:cs="Times New Roman"/>
        </w:rPr>
        <w:t>Edema</w:t>
      </w:r>
      <w:proofErr w:type="spellEnd"/>
      <w:proofErr w:type="gramEnd"/>
      <w:r w:rsidRPr="006E7383">
        <w:rPr>
          <w:rFonts w:ascii="Times New Roman" w:hAnsi="Times New Roman" w:cs="Times New Roman"/>
        </w:rPr>
        <w:t xml:space="preserve"> (BME). Previously, three studies have demonstrated that a contrast enhanced T1-weigthed fat suppressed sequence has a strong correlation with T2-weighted fat suppressed sequences.</w:t>
      </w:r>
      <w:r w:rsidRPr="006E7383">
        <w:rPr>
          <w:rFonts w:ascii="Times New Roman" w:hAnsi="Times New Roman" w:cs="Times New Roman"/>
          <w:vertAlign w:val="superscript"/>
        </w:rPr>
        <w:fldChar w:fldCharType="begin"/>
      </w:r>
      <w:r w:rsidRPr="006E7383">
        <w:rPr>
          <w:rFonts w:ascii="Times New Roman" w:hAnsi="Times New Roman" w:cs="Times New Roman"/>
          <w:vertAlign w:val="superscript"/>
        </w:rPr>
        <w:instrText xml:space="preserve"> ADDIN ZOTERO_ITEM CSL_CITATION {"citationID":"e2LNgoKI","properties":{"formattedCitation":"{\\rtf [1\\uc0\\u8211{}3]}","plainCitation":"[1–3]"},"citationItems":[{"id":71,"uris":["http://zotero.org/users/1562813/items/XBJVPUZA"],"uri":["http://zotero.org/users/1562813/items/XBJVPUZA"],"itemData":{"id":71,"type":"article-journal","title":"Aiming for a shorter rheumatoid arthritis MRI protocol: can contrast-enhanced MRI replace T2 for the detection of bone marrow oedema?","container-title":"European Radiology","page":"2614-2622","volume":"24","issue":"10","source":"link.springer.com","DOI":"10.1007/s00330-014-3272-0","ISSN":"0938-7994, 1432-1084","shortTitle":"Aiming for a shorter rheumatoid arthritis MRI protocol","journalAbbreviation":"Eur Radiol","language":"en","author":[{"family":"Stomp","given":"Wouter"},{"family":"Krabben","given":"Annemarie"},{"family":"Heijde","given":"Désirée","dropping-particle":"van der"},{"family":"Huizinga","given":"Tom W. J."},{"family":"Bloem","given":"Johan L."},{"family":"Mil","given":"Annette H. M. van der Helm-van"},{"family":"Reijnierse","given":"Monique"}],"issued":{"date-parts":[["2014",6,28]]}}},{"id":154,"uris":["http://zotero.org/users/1562813/items/CTXGKIMT"],"uri":["http://zotero.org/users/1562813/items/CTXGKIMT"],"itemData":{"id":154,"type":"article-journal","title":"Bone Marrow Abnormalities of Foot and Ankle: STIR versus T1-weighted Contrast-enhanced Fat-suppressed Spin-Echo MR Imaging","container-title":"Radiology","page":"463-469","volume":"224","issue":"2","source":"pubs.rsna.org (Atypon)","DOI":"10.1148/radiol.2242011252","ISSN":"0033-8419","shortTitle":"Bone Marrow Abnormalities of Foot and Ankle","journalAbbreviation":"Radiology","author":[{"family":"Schmid","given":"Marius R."},{"family":"Hodler","given":"Juerg"},{"family":"Vienne","given":"Patrick"},{"family":"Binkert","given":"Christoph A."},{"family":"Zanetti","given":"Marco"}],"issued":{"date-parts":[["2002",8,1]]}}},{"id":158,"uris":["http://zotero.org/users/1562813/items/RWGP9AHK"],"uri":["http://zotero.org/users/1562813/items/RWGP9AHK"],"itemData":{"id":158,"type":"article-journal","title":"STIR vs. T1-weighted fat-suppressed gadolinium-enhanced MRI of bone marrow edema of the knee: Computer-assisted quantitative comparison and influence of injected contrast media volume and acquisition parameters","container-title":"Journal of Magnetic Resonance Imaging","page":"788-793","volume":"22","issue":"6","source":"Wiley Online Library","abstract":"Purpose\nTo compare short tau inversion recovery (STIR) and T1-weighted (T1w) gadolinium (Gd)-enhanced fat-suppressed MRI of bone marrow edema (BME) of the knee, and investigate the influence of injected contrast media volume and variation of major acquisition parameters on apparent BME volume and signal contrast.\nMaterials and Methods\nSTIR and T1w Gd-enhanced fat-suppressed images were obtained from 30 patients with BME of the knee. Two groups of patients were examined with different MR scanners, acquisition parameters, and contrast media volumes. For both sequences, BME volume and signal contrast were assessed by computer-assisted quantification, and were compared through their arithmetic means and correlation coefficients (r2). The injected contrast media volume was also correlated with BME volume and signal contrast differences between sequences.\nResults\nA strong correlation between the STIR and Gd-enhanced T1w images was found for BME volume (r2 = 0.96–0.99) and BME signal contrast (r2 = 0.86–0.94). Despite the differences in MR acquisition parameters and injected contrast media volume, both sequences depicted an almost identical BME volume in both groups. Contrast media volume showed a moderate correlation (r2 = 0.40) with BME volume differences.\nConclusion\nSTIR is the optimum method for determining the size and signal contrast of BME. The injected contrast media volume appears to have only a limited influence on apparent BME volume. J. Magn. Reson. Imaging 2005. © 2005 Wiley-Liss, Inc.","DOI":"10.1002/jmri.20439","ISSN":"1522-2586","shortTitle":"STIR vs. T1-weighted fat-suppressed gadolinium-enhanced MRI of bone marrow edema of the knee","journalAbbreviation":"J. Magn. Reson. Imaging","language":"en","author":[{"family":"Mayerhoefer","given":"Marius E."},{"family":"Breitenseher","given":"Martin J."},{"family":"Kramer","given":"Josef"},{"family":"Aigner","given":"Nicolas"},{"family":"Norden","given":"Cornelia"},{"family":"Hofmann","given":"Siegfried"}],"issued":{"date-parts":[["2005",12,1]]}}}],"schema":"https://github.com/citation-style-language/schema/raw/master/csl-citation.json"} </w:instrText>
      </w:r>
      <w:r w:rsidRPr="006E7383">
        <w:rPr>
          <w:rFonts w:ascii="Times New Roman" w:hAnsi="Times New Roman" w:cs="Times New Roman"/>
          <w:vertAlign w:val="superscript"/>
        </w:rPr>
        <w:fldChar w:fldCharType="separate"/>
      </w:r>
      <w:r w:rsidRPr="006E7383">
        <w:rPr>
          <w:rFonts w:ascii="Times New Roman" w:hAnsi="Times New Roman" w:cs="Times New Roman"/>
          <w:vertAlign w:val="superscript"/>
        </w:rPr>
        <w:t>1–3</w:t>
      </w:r>
      <w:r w:rsidRPr="006E7383">
        <w:rPr>
          <w:rFonts w:ascii="Times New Roman" w:hAnsi="Times New Roman" w:cs="Times New Roman"/>
        </w:rPr>
        <w:fldChar w:fldCharType="end"/>
      </w:r>
      <w:r w:rsidRPr="006E7383">
        <w:rPr>
          <w:rFonts w:ascii="Times New Roman" w:hAnsi="Times New Roman" w:cs="Times New Roman"/>
        </w:rPr>
        <w:t xml:space="preserve"> A T2-weighted image shows increased water signal and a contrast-enhanced T1-weighted sequence shows increased water content and the increased perfusion and interstitial leakage. A strong correlation has been shown in arthritis patients but also in patients without inflammatory diseases such as bone bruises, intraosseous ganglions, bone infarcts and even nonspecific cases.</w:t>
      </w:r>
      <w:r w:rsidRPr="006E7383">
        <w:rPr>
          <w:rFonts w:ascii="Times New Roman" w:hAnsi="Times New Roman" w:cs="Times New Roman"/>
          <w:vertAlign w:val="superscript"/>
        </w:rPr>
        <w:fldChar w:fldCharType="begin"/>
      </w:r>
      <w:r w:rsidRPr="006E7383">
        <w:rPr>
          <w:rFonts w:ascii="Times New Roman" w:hAnsi="Times New Roman" w:cs="Times New Roman"/>
          <w:vertAlign w:val="superscript"/>
        </w:rPr>
        <w:instrText xml:space="preserve"> ADDIN ZOTERO_ITEM CSL_CITATION {"citationID":"2ga4u4f5hg","properties":{"formattedCitation":"[2,3]","plainCitation":"[2,3]"},"citationItems":[{"id":154,"uris":["http://zotero.org/users/1562813/items/CTXGKIMT"],"uri":["http://zotero.org/users/1562813/items/CTXGKIMT"],"itemData":{"id":154,"type":"article-journal","title":"Bone Marrow Abnormalities of Foot and Ankle: STIR versus T1-weighted Contrast-enhanced Fat-suppressed Spin-Echo MR Imaging","container-title":"Radiology","page":"463-469","volume":"224","issue":"2","source":"pubs.rsna.org (Atypon)","DOI":"10.1148/radiol.2242011252","ISSN":"0033-8419","shortTitle":"Bone Marrow Abnormalities of Foot and Ankle","journalAbbreviation":"Radiology","author":[{"family":"Schmid","given":"Marius R."},{"family":"Hodler","given":"Juerg"},{"family":"Vienne","given":"Patrick"},{"family":"Binkert","given":"Christoph A."},{"family":"Zanetti","given":"Marco"}],"issued":{"date-parts":[["2002",8,1]]}}},{"id":158,"uris":["http://zotero.org/users/1562813/items/RWGP9AHK"],"uri":["http://zotero.org/users/1562813/items/RWGP9AHK"],"itemData":{"id":158,"type":"article-journal","title":"STIR vs. T1-weighted fat-suppressed gadolinium-enhanced MRI of bone marrow edema of the knee: Computer-assisted quantitative comparison and influence of injected contrast media volume and acquisition parameters","container-title":"Journal of Magnetic Resonance Imaging","page":"788-793","volume":"22","issue":"6","source":"Wiley Online Library","abstract":"Purpose\nTo compare short tau inversion recovery (STIR) and T1-weighted (T1w) gadolinium (Gd)-enhanced fat-suppressed MRI of bone marrow edema (BME) of the knee, and investigate the influence of injected contrast media volume and variation of major acquisition parameters on apparent BME volume and signal contrast.\nMaterials and Methods\nSTIR and T1w Gd-enhanced fat-suppressed images were obtained from 30 patients with BME of the knee. Two groups of patients were examined with different MR scanners, acquisition parameters, and contrast media volumes. For both sequences, BME volume and signal contrast were assessed by computer-assisted quantification, and were compared through their arithmetic means and correlation coefficients (r2). The injected contrast media volume was also correlated with BME volume and signal contrast differences between sequences.\nResults\nA strong correlation between the STIR and Gd-enhanced T1w images was found for BME volume (r2 = 0.96–0.99) and BME signal contrast (r2 = 0.86–0.94). Despite the differences in MR acquisition parameters and injected contrast media volume, both sequences depicted an almost identical BME volume in both groups. Contrast media volume showed a moderate correlation (r2 = 0.40) with BME volume differences.\nConclusion\nSTIR is the optimum method for determining the size and signal contrast of BME. The injected contrast media volume appears to have only a limited influence on apparent BME volume. J. Magn. Reson. Imaging 2005. © 2005 Wiley-Liss, Inc.","DOI":"10.1002/jmri.20439","ISSN":"1522-2586","shortTitle":"STIR vs. T1-weighted fat-suppressed gadolinium-enhanced MRI of bone marrow edema of the knee","journalAbbreviation":"J. Magn. Reson. Imaging","language":"en","author":[{"family":"Mayerhoefer","given":"Marius E."},{"family":"Breitenseher","given":"Martin J."},{"family":"Kramer","given":"Josef"},{"family":"Aigner","given":"Nicolas"},{"family":"Norden","given":"Cornelia"},{"family":"Hofmann","given":"Siegfried"}],"issued":{"date-parts":[["2005",12,1]]}}}],"schema":"https://github.com/citation-style-language/schema/raw/master/csl-citation.json"} </w:instrText>
      </w:r>
      <w:r w:rsidRPr="006E7383">
        <w:rPr>
          <w:rFonts w:ascii="Times New Roman" w:hAnsi="Times New Roman" w:cs="Times New Roman"/>
          <w:vertAlign w:val="superscript"/>
        </w:rPr>
        <w:fldChar w:fldCharType="separate"/>
      </w:r>
      <w:r w:rsidRPr="006E7383">
        <w:rPr>
          <w:rFonts w:ascii="Times New Roman" w:hAnsi="Times New Roman" w:cs="Times New Roman"/>
          <w:vertAlign w:val="superscript"/>
        </w:rPr>
        <w:t>2,3</w:t>
      </w:r>
      <w:r w:rsidRPr="006E7383">
        <w:rPr>
          <w:rFonts w:ascii="Times New Roman" w:hAnsi="Times New Roman" w:cs="Times New Roman"/>
        </w:rPr>
        <w:fldChar w:fldCharType="end"/>
      </w:r>
      <w:r w:rsidRPr="006E7383">
        <w:rPr>
          <w:rFonts w:ascii="Times New Roman" w:hAnsi="Times New Roman" w:cs="Times New Roman"/>
        </w:rPr>
        <w:t xml:space="preserve"> </w:t>
      </w:r>
      <w:r w:rsidRPr="006E7383">
        <w:rPr>
          <w:rFonts w:ascii="Times New Roman" w:hAnsi="Times New Roman" w:cs="Times New Roman"/>
        </w:rPr>
        <w:fldChar w:fldCharType="begin"/>
      </w:r>
      <w:r w:rsidRPr="006E7383">
        <w:rPr>
          <w:rFonts w:ascii="Times New Roman" w:hAnsi="Times New Roman" w:cs="Times New Roman"/>
        </w:rPr>
        <w:instrText xml:space="preserve"> ADDIN ZOTERO_ITEM CSL_CITATION {"citationID":"1o2kin07ms","properties":{"formattedCitation":"{\\rtf [1\\uc0\\u8211{}3]}","plainCitation":"[1–3]"},"citationItems":[{"id":71,"uris":["http://zotero.org/users/1562813/items/XBJVPUZA"],"uri":["http://zotero.org/users/1562813/items/XBJVPUZA"],"itemData":{"id":71,"type":"article-journal","title":"Aiming for a shorter rheumatoid arthritis MRI protocol: can contrast-enhanced MRI replace T2 for the detection of bone marrow oedema?","container-title":"European Radiology","page":"2614-2622","volume":"24","issue":"10","source":"link.springer.com","DOI":"10.1007/s00330-014-3272-0","ISSN":"0938-7994, 1432-1084","shortTitle":"Aiming for a shorter rheumatoid arthritis MRI protocol","journalAbbreviation":"Eur Radiol","language":"en","author":[{"family":"Stomp","given":"Wouter"},{"family":"Krabben","given":"Annemarie"},{"family":"Heijde","given":"Désirée","dropping-particle":"van der"},{"family":"Huizinga","given":"Tom W. J."},{"family":"Bloem","given":"Johan L."},{"family":"Mil","given":"Annette H. M. van der Helm-van"},{"family":"Reijnierse","given":"Monique"}],"issued":{"date-parts":[["2014",6,28]]}}},{"id":154,"uris":["http://zotero.org/users/1562813/items/CTXGKIMT"],"uri":["http://zotero.org/users/1562813/items/CTXGKIMT"],"itemData":{"id":154,"type":"article-journal","title":"Bone Marrow Abnormalities of Foot and Ankle: STIR versus T1-weighted Contrast-enhanced Fat-suppressed Spin-Echo MR Imaging","container-title":"Radiology","page":"463-469","volume":"224","issue":"2","source":"pubs.rsna.org (Atypon)","DOI":"10.1148/radiol.2242011252","ISSN":"0033-8419","shortTitle":"Bone Marrow Abnormalities of Foot and Ankle","journalAbbreviation":"Radiology","author":[{"family":"Schmid","given":"Marius R."},{"family":"Hodler","given":"Juerg"},{"family":"Vienne","given":"Patrick"},{"family":"Binkert","given":"Christoph A."},{"family":"Zanetti","given":"Marco"}],"issued":{"date-parts":[["2002",8,1]]}}},{"id":158,"uris":["http://zotero.org/users/1562813/items/RWGP9AHK"],"uri":["http://zotero.org/users/1562813/items/RWGP9AHK"],"itemData":{"id":158,"type":"article-journal","title":"STIR vs. T1-weighted fat-suppressed gadolinium-enhanced MRI of bone marrow edema of the knee: Computer-assisted quantitative comparison and influence of injected contrast media volume and acquisition parameters","container-title":"Journal of Magnetic Resonance Imaging","page":"788-793","volume":"22","issue":"6","source":"Wiley Online Library","abstract":"Purpose\nTo compare short tau inversion recovery (STIR) and T1-weighted (T1w) gadolinium (Gd)-enhanced fat-suppressed MRI of bone marrow edema (BME) of the knee, and investigate the influence of injected contrast media volume and variation of major acquisition parameters on apparent BME volume and signal contrast.\nMaterials and Methods\nSTIR and T1w Gd-enhanced fat-suppressed images were obtained from 30 patients with BME of the knee. Two groups of patients were examined with different MR scanners, acquisition parameters, and contrast media volumes. For both sequences, BME volume and signal contrast were assessed by computer-assisted quantification, and were compared through their arithmetic means and correlation coefficients (r2). The injected contrast media volume was also correlated with BME volume and signal contrast differences between sequences.\nResults\nA strong correlation between the STIR and Gd-enhanced T1w images was found for BME volume (r2 = 0.96–0.99) and BME signal contrast (r2 = 0.86–0.94). Despite the differences in MR acquisition parameters and injected contrast media volume, both sequences depicted an almost identical BME volume in both groups. Contrast media volume showed a moderate correlation (r2 = 0.40) with BME volume differences.\nConclusion\nSTIR is the optimum method for determining the size and signal contrast of BME. The injected contrast media volume appears to have only a limited influence on apparent BME volume. J. Magn. Reson. Imaging 2005. © 2005 Wiley-Liss, Inc.","DOI":"10.1002/jmri.20439","ISSN":"1522-2586","shortTitle":"STIR vs. T1-weighted fat-suppressed gadolinium-enhanced MRI of bone marrow edema of the knee","journalAbbreviation":"J. Magn. Reson. Imaging","language":"en","author":[{"family":"Mayerhoefer","given":"Marius E."},{"family":"Breitenseher","given":"Martin J."},{"family":"Kramer","given":"Josef"},{"family":"Aigner","given":"Nicolas"},{"family":"Norden","given":"Cornelia"},{"family":"Hofmann","given":"Siegfried"}],"issued":{"date-parts":[["2005",12,1]]}}}],"schema":"https://github.com/citation-style-language/schema/raw/master/csl-citation.json"} </w:instrText>
      </w:r>
      <w:r w:rsidRPr="006E7383">
        <w:rPr>
          <w:rFonts w:ascii="Times New Roman" w:hAnsi="Times New Roman" w:cs="Times New Roman"/>
        </w:rPr>
        <w:fldChar w:fldCharType="end"/>
      </w:r>
      <w:r w:rsidRPr="006E7383">
        <w:rPr>
          <w:rFonts w:ascii="Times New Roman" w:hAnsi="Times New Roman" w:cs="Times New Roman"/>
        </w:rPr>
        <w:t xml:space="preserve">We used the contrast enhanced T1-weighted fat suppressed sequence as it allowed a shorter scan time and has a higher signal to noise ratio. </w:t>
      </w:r>
    </w:p>
    <w:p w14:paraId="24CEA778" w14:textId="77777777" w:rsidR="00DB1DFA" w:rsidRPr="006E7383" w:rsidRDefault="00DB1DFA" w:rsidP="00DB1DFA">
      <w:pPr>
        <w:spacing w:after="0" w:line="480" w:lineRule="auto"/>
        <w:rPr>
          <w:rFonts w:ascii="Times New Roman" w:hAnsi="Times New Roman" w:cs="Times New Roman"/>
        </w:rPr>
      </w:pPr>
    </w:p>
    <w:p w14:paraId="26FB7D70" w14:textId="77777777" w:rsidR="00DB1DFA" w:rsidRPr="006E7383" w:rsidRDefault="00DB1DFA" w:rsidP="00DB1DFA">
      <w:pPr>
        <w:spacing w:after="0" w:line="480" w:lineRule="auto"/>
        <w:outlineLvl w:val="1"/>
        <w:rPr>
          <w:rFonts w:ascii="Times New Roman" w:hAnsi="Times New Roman" w:cs="Times New Roman"/>
          <w:i/>
        </w:rPr>
      </w:pPr>
      <w:r w:rsidRPr="006E7383">
        <w:rPr>
          <w:rFonts w:ascii="Times New Roman" w:hAnsi="Times New Roman" w:cs="Times New Roman"/>
          <w:i/>
        </w:rPr>
        <w:t>MR scoring</w:t>
      </w:r>
    </w:p>
    <w:p w14:paraId="1907F92C" w14:textId="3E08FD9A" w:rsidR="00DB1DFA" w:rsidRPr="006E7383" w:rsidRDefault="00DB1DFA" w:rsidP="00DB1DFA">
      <w:pPr>
        <w:spacing w:after="0" w:line="480" w:lineRule="auto"/>
        <w:rPr>
          <w:rFonts w:ascii="Times New Roman" w:hAnsi="Times New Roman" w:cs="Times New Roman"/>
        </w:rPr>
      </w:pPr>
      <w:r w:rsidRPr="006E7383">
        <w:rPr>
          <w:rFonts w:ascii="Times New Roman" w:hAnsi="Times New Roman" w:cs="Times New Roman"/>
        </w:rPr>
        <w:lastRenderedPageBreak/>
        <w:t xml:space="preserve">All bones, joints and tendons were scored semi-quantitatively. Similar to the RAMRIS method, synovitis score was scored based on the volume of enhancing tissue in the synovial compartment (none, mild, moderate, severe (range 0-3)). Similar to method described by </w:t>
      </w:r>
      <w:proofErr w:type="spellStart"/>
      <w:r w:rsidRPr="006E7383">
        <w:rPr>
          <w:rFonts w:ascii="Times New Roman" w:hAnsi="Times New Roman" w:cs="Times New Roman"/>
        </w:rPr>
        <w:t>Haavardsholm</w:t>
      </w:r>
      <w:proofErr w:type="spellEnd"/>
      <w:r w:rsidRPr="006E7383">
        <w:rPr>
          <w:rFonts w:ascii="Times New Roman" w:hAnsi="Times New Roman" w:cs="Times New Roman"/>
        </w:rPr>
        <w:t xml:space="preserve"> et al the tenosynovitis-score was based on the thickness of peritendinous effusion or synovial proliferation with contrast enhancement (normal, &lt;2mm, 2-5mm, &gt;5mm (range 0-3)).</w:t>
      </w:r>
      <w:r w:rsidRPr="006E7383">
        <w:rPr>
          <w:rFonts w:ascii="Times New Roman" w:hAnsi="Times New Roman" w:cs="Times New Roman"/>
          <w:vertAlign w:val="superscript"/>
        </w:rPr>
        <w:fldChar w:fldCharType="begin"/>
      </w:r>
      <w:r w:rsidRPr="006E7383">
        <w:rPr>
          <w:rFonts w:ascii="Times New Roman" w:hAnsi="Times New Roman" w:cs="Times New Roman"/>
          <w:vertAlign w:val="superscript"/>
        </w:rPr>
        <w:instrText xml:space="preserve"> ADDIN ZOTERO_ITEM CSL_CITATION {"citationID":"1gsea7glv2","properties":{"formattedCitation":"[4,5]","plainCitation":"[4,5]"},"citationItems":[{"id":65,"uris":["http://zotero.org/users/1562813/items/7AH8K5DN"],"uri":["http://zotero.org/users/1562813/items/7AH8K5DN"],"itemData":{"id":65,"type":"article-journal","title":"An introduction to the EULAR–OMERACT rheumatoid arthritis MRI reference image atlas","container-title":"Annals of the Rheumatic Diseases","page":"i3-i7","volume":"64","issue":"suppl 1","source":"ard.bmj.com","abstract":"This article gives a short overview of the development and characteristics of the OMERACT rheumatoid arthritis MRI scoring system (RAMRIS), followed by an introduction to the use of the EULAR–OMERACT rheumatoid arthritis MRI reference image atlas. With this atlas, MRIs of wrist and metacarpophalangeal joints of patients with rheumatoid arthritis can be scored for synovitis, bone oedema, and bone erosion, guided by standard reference images.","DOI":"10.1136/ard.2004.031773","ISSN":", 1468-2060","note":"PMID: 15647420","journalAbbreviation":"Ann Rheum Dis","language":"en","author":[{"family":"Østergaard","given":"M."},{"family":"Edmonds","given":"J."},{"family":"McQueen","given":"F."},{"family":"Peterfy","given":"C."},{"family":"Lassere","given":"M."},{"family":"Ejbjerg","given":"B."},{"family":"Bird","given":"P."},{"family":"Emery","given":"P."},{"family":"Genant","given":"H."},{"family":"Conaghan","given":"P."}],"issued":{"date-parts":[["2005",2,1]]},"PMID":"15647420"}},{"id":12,"uris":["http://zotero.org/users/1562813/items/2WU6K8VX"],"uri":["http://zotero.org/users/1562813/items/2WU6K8VX"],"itemData":{"id":12,"type":"article-journal","title":"Introduction of a novel magnetic resonance imaging tenosynovitis score for rheumatoid arthritis: reliability in a multireader longitudinal study","container-title":"Annals of the Rheumatic Diseases","page":"1216-1220","volume":"66","issue":"9","source":"PubMed Central","abstract":"Objectives\nTo describe a novel scoring system for the assessment of tenosynovitis by magnetic resonance imaging (MRI) in patients with rheumatoid arthritis, and assess its intra</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 xml:space="preserve"> and inter</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reader reliability in a multireader, longitudinal setting.\n\nMethods\nFlexor and extensor tenosynovitis were evaluated at the level of the wrist in 10 different anatomical areas, graded semi</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quantitatively from grade 0 to 3 (total score 0–30), based on the maximum width of post</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contrast enhancement within each anatomical area on axial T1</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weighted MR images. Ten sets of baseline and 1</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year follow</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up MR images of the wrists of patients with rheumatoid arthritis with early and established disease were scored independently by four readers twice on 2 consecutive days. Intra</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 xml:space="preserve"> and inter</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reader agreements were evaluated.\n\nResults\nThe intrareader intraclass correlation coefficients (ICCs) were high for status scores (median ICCs 0.84–0.88) and slightly lower for change score (0.74). The smallest detectable difference (SDD) in % of the maximum score was 11.2–11.5% for status scores and 13.3% for change scores. Inter</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reader single</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measure ICCs were acceptable for both status scores (median 0.73–0.74) and change scores (0.67), while average</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 xml:space="preserve">measures ICCs were very high for both status and change score (all </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0.94). The median scoring time per patient (baseline and follow</w:instrText>
      </w:r>
      <w:r w:rsidRPr="006E7383">
        <w:rPr>
          <w:rFonts w:ascii="Cambria Math" w:hAnsi="Cambria Math" w:cs="Cambria Math"/>
          <w:vertAlign w:val="superscript"/>
        </w:rPr>
        <w:instrText>‐</w:instrText>
      </w:r>
      <w:r w:rsidRPr="006E7383">
        <w:rPr>
          <w:rFonts w:ascii="Times New Roman" w:hAnsi="Times New Roman" w:cs="Times New Roman"/>
          <w:vertAlign w:val="superscript"/>
        </w:rPr>
        <w:instrText xml:space="preserve">up images) was 7 min (range 3–10).\n\nConclusions\nThe introduced tenosynovitis scoring system demonstrates a high degree of multireader reliability, is feasible, and may be used as an adjuvant to the existing OMERACT RAMRIS score, allowing improved quantification of inflammatory soft tissue changes in patients with rheumatoid arthritis.","DOI":"10.1136/ard.2006.068361","ISSN":"0003-4967","note":"PMID: 17392347\nPMCID: PMC1955157","shortTitle":"Introduction of a novel magnetic resonance imaging tenosynovitis score for rheumatoid arthritis","journalAbbreviation":"Ann Rheum Dis","author":[{"family":"Haavardsholm","given":"Espen A"},{"family":"?stergaard","given":"Mikkel"},{"family":"Ejbjerg","given":"Bo J"},{"family":"Kvan","given":"Nils P"},{"family":"Kvien","given":"Tore K"}],"issued":{"date-parts":[["2007",9]]},"PMID":"17392347","PMCID":"PMC1955157"}}],"schema":"https://github.com/citation-style-language/schema/raw/master/csl-citation.json"} </w:instrText>
      </w:r>
      <w:r w:rsidRPr="006E7383">
        <w:rPr>
          <w:rFonts w:ascii="Times New Roman" w:hAnsi="Times New Roman" w:cs="Times New Roman"/>
          <w:vertAlign w:val="superscript"/>
        </w:rPr>
        <w:fldChar w:fldCharType="separate"/>
      </w:r>
      <w:r w:rsidRPr="006E7383">
        <w:rPr>
          <w:rFonts w:ascii="Times New Roman" w:hAnsi="Times New Roman" w:cs="Times New Roman"/>
          <w:vertAlign w:val="superscript"/>
        </w:rPr>
        <w:t>4,5</w:t>
      </w:r>
      <w:r w:rsidRPr="006E7383">
        <w:rPr>
          <w:rFonts w:ascii="Times New Roman" w:hAnsi="Times New Roman" w:cs="Times New Roman"/>
        </w:rPr>
        <w:fldChar w:fldCharType="end"/>
      </w:r>
      <w:r w:rsidRPr="006E7383">
        <w:rPr>
          <w:rFonts w:ascii="Times New Roman" w:hAnsi="Times New Roman" w:cs="Times New Roman"/>
        </w:rPr>
        <w:t xml:space="preserve"> BME was depicted on a contrast enhanced T1-weigthed fat suppressed sequence</w:t>
      </w:r>
      <w:r w:rsidRPr="006E7383" w:rsidDel="00C974BA">
        <w:rPr>
          <w:rFonts w:ascii="Times New Roman" w:hAnsi="Times New Roman" w:cs="Times New Roman"/>
        </w:rPr>
        <w:t xml:space="preserve"> </w:t>
      </w:r>
      <w:r w:rsidRPr="006E7383">
        <w:rPr>
          <w:rFonts w:ascii="Times New Roman" w:hAnsi="Times New Roman" w:cs="Times New Roman"/>
        </w:rPr>
        <w:t>and also scored on a 0-3 scale based on the affected volume of the bone (no BME, &gt;0-33%, &gt;33-66%, &gt;66%)</w:t>
      </w:r>
      <w:r w:rsidR="0001352D">
        <w:rPr>
          <w:rFonts w:ascii="Times New Roman" w:hAnsi="Times New Roman" w:cs="Times New Roman"/>
        </w:rPr>
        <w:t>.</w:t>
      </w:r>
      <w:r w:rsidRPr="006E7383">
        <w:rPr>
          <w:rFonts w:ascii="Times New Roman" w:hAnsi="Times New Roman" w:cs="Times New Roman"/>
        </w:rPr>
        <w:t xml:space="preserve"> The scores of all joints were summed and the total BME, synovitis and tenosynovitis scored were summed as well, yielding the total MRI-inflammation-score. </w:t>
      </w:r>
    </w:p>
    <w:p w14:paraId="61EECB66" w14:textId="77777777" w:rsidR="00DB1DFA" w:rsidRPr="006E7383" w:rsidRDefault="00DB1DFA" w:rsidP="00DB1DFA">
      <w:pPr>
        <w:spacing w:after="0" w:line="480" w:lineRule="auto"/>
        <w:rPr>
          <w:rFonts w:ascii="Times New Roman" w:hAnsi="Times New Roman" w:cs="Times New Roman"/>
        </w:rPr>
      </w:pPr>
    </w:p>
    <w:p w14:paraId="20FDEDA9" w14:textId="77777777" w:rsidR="00DB1DFA" w:rsidRPr="006E7383" w:rsidRDefault="00DB1DFA" w:rsidP="00DB1DFA">
      <w:pPr>
        <w:spacing w:after="0" w:line="480" w:lineRule="auto"/>
        <w:outlineLvl w:val="1"/>
        <w:rPr>
          <w:rFonts w:ascii="Times New Roman" w:hAnsi="Times New Roman" w:cs="Times New Roman"/>
          <w:b/>
          <w:lang w:val="nl-NL"/>
        </w:rPr>
      </w:pPr>
      <w:r w:rsidRPr="006E7383">
        <w:rPr>
          <w:rFonts w:ascii="Times New Roman" w:hAnsi="Times New Roman" w:cs="Times New Roman"/>
          <w:b/>
          <w:lang w:val="nl-NL"/>
        </w:rPr>
        <w:t>References</w:t>
      </w:r>
    </w:p>
    <w:p w14:paraId="48932B8F" w14:textId="77777777" w:rsidR="00DB1DFA" w:rsidRPr="006E7383" w:rsidRDefault="00DB1DFA" w:rsidP="00DB1DFA">
      <w:pPr>
        <w:spacing w:after="240"/>
        <w:rPr>
          <w:rFonts w:ascii="Times New Roman" w:hAnsi="Times New Roman" w:cs="Times New Roman"/>
        </w:rPr>
      </w:pPr>
      <w:r w:rsidRPr="006E7383">
        <w:rPr>
          <w:rFonts w:ascii="Times New Roman" w:hAnsi="Times New Roman" w:cs="Times New Roman"/>
        </w:rPr>
        <w:fldChar w:fldCharType="begin"/>
      </w:r>
      <w:r w:rsidRPr="006E7383">
        <w:rPr>
          <w:rFonts w:ascii="Times New Roman" w:hAnsi="Times New Roman" w:cs="Times New Roman"/>
          <w:lang w:val="nl-NL"/>
        </w:rPr>
        <w:instrText xml:space="preserve"> ADDIN ZOTERO_BIBL {"custom":[]} CSL_BIBLIOGRAPHY </w:instrText>
      </w:r>
      <w:r w:rsidRPr="006E7383">
        <w:rPr>
          <w:rFonts w:ascii="Times New Roman" w:hAnsi="Times New Roman" w:cs="Times New Roman"/>
        </w:rPr>
        <w:fldChar w:fldCharType="separate"/>
      </w:r>
      <w:r w:rsidRPr="006E7383">
        <w:rPr>
          <w:rFonts w:ascii="Times New Roman" w:hAnsi="Times New Roman" w:cs="Times New Roman"/>
          <w:lang w:val="nl-NL"/>
        </w:rPr>
        <w:t xml:space="preserve">1. Stomp W, Krabben A, Heijde D van der, </w:t>
      </w:r>
      <w:r w:rsidRPr="006E7383">
        <w:rPr>
          <w:rFonts w:ascii="Times New Roman" w:hAnsi="Times New Roman" w:cs="Times New Roman"/>
          <w:i/>
          <w:iCs/>
          <w:lang w:val="nl-NL"/>
        </w:rPr>
        <w:t>et al.</w:t>
      </w:r>
      <w:r w:rsidRPr="006E7383">
        <w:rPr>
          <w:rFonts w:ascii="Times New Roman" w:hAnsi="Times New Roman" w:cs="Times New Roman"/>
          <w:lang w:val="nl-NL"/>
        </w:rPr>
        <w:t xml:space="preserve"> </w:t>
      </w:r>
      <w:r w:rsidRPr="006E7383">
        <w:rPr>
          <w:rFonts w:ascii="Times New Roman" w:hAnsi="Times New Roman" w:cs="Times New Roman"/>
        </w:rPr>
        <w:t xml:space="preserve">Aiming for a shorter rheumatoid arthritis MRI protocol: can contrast-enhanced MRI replace T2 for the detection of bone marrow oedema? </w:t>
      </w:r>
      <w:r w:rsidRPr="006E7383">
        <w:rPr>
          <w:rFonts w:ascii="Times New Roman" w:hAnsi="Times New Roman" w:cs="Times New Roman"/>
          <w:i/>
          <w:iCs/>
        </w:rPr>
        <w:t>Eur Radiol</w:t>
      </w:r>
      <w:r w:rsidRPr="006E7383">
        <w:rPr>
          <w:rFonts w:ascii="Times New Roman" w:hAnsi="Times New Roman" w:cs="Times New Roman"/>
        </w:rPr>
        <w:t xml:space="preserve"> 2014;</w:t>
      </w:r>
      <w:r w:rsidRPr="006E7383">
        <w:rPr>
          <w:rFonts w:ascii="Times New Roman" w:hAnsi="Times New Roman" w:cs="Times New Roman"/>
          <w:bCs/>
        </w:rPr>
        <w:t>24</w:t>
      </w:r>
      <w:r w:rsidRPr="006E7383">
        <w:rPr>
          <w:rFonts w:ascii="Times New Roman" w:hAnsi="Times New Roman" w:cs="Times New Roman"/>
        </w:rPr>
        <w:t xml:space="preserve">:2614–22. </w:t>
      </w:r>
    </w:p>
    <w:p w14:paraId="50FAEB82" w14:textId="77777777" w:rsidR="00DB1DFA" w:rsidRPr="006E7383" w:rsidRDefault="00DB1DFA" w:rsidP="00DB1DFA">
      <w:pPr>
        <w:spacing w:after="240"/>
        <w:rPr>
          <w:rFonts w:ascii="Times New Roman" w:hAnsi="Times New Roman" w:cs="Times New Roman"/>
        </w:rPr>
      </w:pPr>
      <w:r w:rsidRPr="006E7383">
        <w:rPr>
          <w:rFonts w:ascii="Times New Roman" w:hAnsi="Times New Roman" w:cs="Times New Roman"/>
        </w:rPr>
        <w:t xml:space="preserve">2. Schmid MR, Hodler J, Vienne P, </w:t>
      </w:r>
      <w:r w:rsidRPr="006E7383">
        <w:rPr>
          <w:rFonts w:ascii="Times New Roman" w:hAnsi="Times New Roman" w:cs="Times New Roman"/>
          <w:i/>
          <w:iCs/>
        </w:rPr>
        <w:t>et al.</w:t>
      </w:r>
      <w:r w:rsidRPr="006E7383">
        <w:rPr>
          <w:rFonts w:ascii="Times New Roman" w:hAnsi="Times New Roman" w:cs="Times New Roman"/>
        </w:rPr>
        <w:t xml:space="preserve"> Bone Marrow Abnormalities of Foot and Ankle: STIR versus T1-weighted Contrast-enhanced Fat-suppressed Spin-Echo MR Imaging. </w:t>
      </w:r>
      <w:r w:rsidRPr="006E7383">
        <w:rPr>
          <w:rFonts w:ascii="Times New Roman" w:hAnsi="Times New Roman" w:cs="Times New Roman"/>
          <w:i/>
          <w:iCs/>
        </w:rPr>
        <w:t>Radiology</w:t>
      </w:r>
      <w:r w:rsidRPr="006E7383">
        <w:rPr>
          <w:rFonts w:ascii="Times New Roman" w:hAnsi="Times New Roman" w:cs="Times New Roman"/>
        </w:rPr>
        <w:t xml:space="preserve"> 2002;</w:t>
      </w:r>
      <w:r w:rsidRPr="006E7383">
        <w:rPr>
          <w:rFonts w:ascii="Times New Roman" w:hAnsi="Times New Roman" w:cs="Times New Roman"/>
          <w:bCs/>
        </w:rPr>
        <w:t>224</w:t>
      </w:r>
      <w:r w:rsidRPr="006E7383">
        <w:rPr>
          <w:rFonts w:ascii="Times New Roman" w:hAnsi="Times New Roman" w:cs="Times New Roman"/>
        </w:rPr>
        <w:t xml:space="preserve">:463–9. </w:t>
      </w:r>
    </w:p>
    <w:p w14:paraId="4529BCE8" w14:textId="77777777" w:rsidR="00DB1DFA" w:rsidRPr="006E7383" w:rsidRDefault="00DB1DFA" w:rsidP="00DB1DFA">
      <w:pPr>
        <w:spacing w:after="240"/>
        <w:rPr>
          <w:rFonts w:ascii="Times New Roman" w:hAnsi="Times New Roman" w:cs="Times New Roman"/>
          <w:lang w:val="nl-NL"/>
        </w:rPr>
      </w:pPr>
      <w:r w:rsidRPr="006E7383">
        <w:rPr>
          <w:rFonts w:ascii="Times New Roman" w:hAnsi="Times New Roman" w:cs="Times New Roman"/>
        </w:rPr>
        <w:t xml:space="preserve">3. Mayerhoefer ME, Breitenseher MJ, Kramer J, </w:t>
      </w:r>
      <w:r w:rsidRPr="006E7383">
        <w:rPr>
          <w:rFonts w:ascii="Times New Roman" w:hAnsi="Times New Roman" w:cs="Times New Roman"/>
          <w:i/>
          <w:iCs/>
        </w:rPr>
        <w:t>et al.</w:t>
      </w:r>
      <w:r w:rsidRPr="006E7383">
        <w:rPr>
          <w:rFonts w:ascii="Times New Roman" w:hAnsi="Times New Roman" w:cs="Times New Roman"/>
        </w:rPr>
        <w:t xml:space="preserve"> STIR vs. T1-weighted fat-suppressed gadolinium-enhanced MRI of bone marrow edema of the knee: Computer-assisted quantitative comparison and influence of injected contrast media volume and acquisition parameters. </w:t>
      </w:r>
      <w:r w:rsidRPr="006E7383">
        <w:rPr>
          <w:rFonts w:ascii="Times New Roman" w:hAnsi="Times New Roman" w:cs="Times New Roman"/>
          <w:i/>
          <w:iCs/>
          <w:lang w:val="nl-NL"/>
        </w:rPr>
        <w:t>J Magn Reson Imaging</w:t>
      </w:r>
      <w:r w:rsidRPr="006E7383">
        <w:rPr>
          <w:rFonts w:ascii="Times New Roman" w:hAnsi="Times New Roman" w:cs="Times New Roman"/>
          <w:lang w:val="nl-NL"/>
        </w:rPr>
        <w:t xml:space="preserve"> 2005;</w:t>
      </w:r>
      <w:r w:rsidRPr="006E7383">
        <w:rPr>
          <w:rFonts w:ascii="Times New Roman" w:hAnsi="Times New Roman" w:cs="Times New Roman"/>
          <w:bCs/>
          <w:lang w:val="nl-NL"/>
        </w:rPr>
        <w:t>22</w:t>
      </w:r>
      <w:r w:rsidRPr="006E7383">
        <w:rPr>
          <w:rFonts w:ascii="Times New Roman" w:hAnsi="Times New Roman" w:cs="Times New Roman"/>
          <w:lang w:val="nl-NL"/>
        </w:rPr>
        <w:t xml:space="preserve">:788–93. </w:t>
      </w:r>
    </w:p>
    <w:p w14:paraId="6D40F296" w14:textId="77777777" w:rsidR="00DB1DFA" w:rsidRPr="006E7383" w:rsidRDefault="00DB1DFA" w:rsidP="00DB1DFA">
      <w:pPr>
        <w:spacing w:after="240"/>
        <w:rPr>
          <w:rFonts w:ascii="Times New Roman" w:hAnsi="Times New Roman" w:cs="Times New Roman"/>
          <w:lang w:val="nl-NL"/>
        </w:rPr>
      </w:pPr>
      <w:r w:rsidRPr="006E7383">
        <w:rPr>
          <w:rFonts w:ascii="Times New Roman" w:hAnsi="Times New Roman" w:cs="Times New Roman"/>
          <w:lang w:val="nl-NL"/>
        </w:rPr>
        <w:t xml:space="preserve">4. Østergaard M, Edmonds J, McQueen F, </w:t>
      </w:r>
      <w:r w:rsidRPr="006E7383">
        <w:rPr>
          <w:rFonts w:ascii="Times New Roman" w:hAnsi="Times New Roman" w:cs="Times New Roman"/>
          <w:i/>
          <w:iCs/>
          <w:lang w:val="nl-NL"/>
        </w:rPr>
        <w:t>et al.</w:t>
      </w:r>
      <w:r w:rsidRPr="006E7383">
        <w:rPr>
          <w:rFonts w:ascii="Times New Roman" w:hAnsi="Times New Roman" w:cs="Times New Roman"/>
          <w:lang w:val="nl-NL"/>
        </w:rPr>
        <w:t xml:space="preserve"> </w:t>
      </w:r>
      <w:r w:rsidRPr="006E7383">
        <w:rPr>
          <w:rFonts w:ascii="Times New Roman" w:hAnsi="Times New Roman" w:cs="Times New Roman"/>
        </w:rPr>
        <w:t xml:space="preserve">An introduction to the EULAR–OMERACT rheumatoid arthritis MRI reference image atlas. </w:t>
      </w:r>
      <w:r w:rsidRPr="006E7383">
        <w:rPr>
          <w:rFonts w:ascii="Times New Roman" w:hAnsi="Times New Roman" w:cs="Times New Roman"/>
          <w:i/>
          <w:iCs/>
          <w:lang w:val="nl-NL"/>
        </w:rPr>
        <w:t>Ann Rheum Dis</w:t>
      </w:r>
      <w:r w:rsidRPr="006E7383">
        <w:rPr>
          <w:rFonts w:ascii="Times New Roman" w:hAnsi="Times New Roman" w:cs="Times New Roman"/>
          <w:lang w:val="nl-NL"/>
        </w:rPr>
        <w:t xml:space="preserve"> 2005;</w:t>
      </w:r>
      <w:r w:rsidRPr="006E7383">
        <w:rPr>
          <w:rFonts w:ascii="Times New Roman" w:hAnsi="Times New Roman" w:cs="Times New Roman"/>
          <w:bCs/>
          <w:lang w:val="nl-NL"/>
        </w:rPr>
        <w:t>64</w:t>
      </w:r>
      <w:r w:rsidRPr="006E7383">
        <w:rPr>
          <w:rFonts w:ascii="Times New Roman" w:hAnsi="Times New Roman" w:cs="Times New Roman"/>
          <w:lang w:val="nl-NL"/>
        </w:rPr>
        <w:t xml:space="preserve">:i3–7. </w:t>
      </w:r>
    </w:p>
    <w:p w14:paraId="0F994D11" w14:textId="2EA76BF4" w:rsidR="00A75968" w:rsidRPr="00001D15" w:rsidRDefault="00DB1DFA" w:rsidP="00001D15">
      <w:pPr>
        <w:spacing w:after="240"/>
        <w:rPr>
          <w:rFonts w:ascii="Times New Roman" w:hAnsi="Times New Roman" w:cs="Times New Roman"/>
          <w:lang w:val="nl-NL"/>
        </w:rPr>
      </w:pPr>
      <w:r w:rsidRPr="006E7383">
        <w:rPr>
          <w:rFonts w:ascii="Times New Roman" w:hAnsi="Times New Roman" w:cs="Times New Roman"/>
          <w:lang w:val="nl-NL"/>
        </w:rPr>
        <w:t xml:space="preserve">5. Haavardsholm EA, Østergaard M, Ejbjerg BJ, </w:t>
      </w:r>
      <w:r w:rsidRPr="006E7383">
        <w:rPr>
          <w:rFonts w:ascii="Times New Roman" w:hAnsi="Times New Roman" w:cs="Times New Roman"/>
          <w:i/>
          <w:iCs/>
          <w:lang w:val="nl-NL"/>
        </w:rPr>
        <w:t>et al.</w:t>
      </w:r>
      <w:r w:rsidRPr="006E7383">
        <w:rPr>
          <w:rFonts w:ascii="Times New Roman" w:hAnsi="Times New Roman" w:cs="Times New Roman"/>
          <w:lang w:val="nl-NL"/>
        </w:rPr>
        <w:t xml:space="preserve"> </w:t>
      </w:r>
      <w:r w:rsidRPr="006E7383">
        <w:rPr>
          <w:rFonts w:ascii="Times New Roman" w:hAnsi="Times New Roman" w:cs="Times New Roman"/>
        </w:rPr>
        <w:t xml:space="preserve">Introduction of a novel magnetic resonance imaging tenosynovitis score for rheumatoid arthritis: reliability in a multireader longitudinal study. </w:t>
      </w:r>
      <w:r w:rsidRPr="006E7383">
        <w:rPr>
          <w:rFonts w:ascii="Times New Roman" w:hAnsi="Times New Roman" w:cs="Times New Roman"/>
          <w:i/>
          <w:iCs/>
          <w:lang w:val="nl-NL"/>
        </w:rPr>
        <w:t>Ann Rheum Dis</w:t>
      </w:r>
      <w:r w:rsidRPr="006E7383">
        <w:rPr>
          <w:rFonts w:ascii="Times New Roman" w:hAnsi="Times New Roman" w:cs="Times New Roman"/>
          <w:lang w:val="nl-NL"/>
        </w:rPr>
        <w:t xml:space="preserve"> 2007;</w:t>
      </w:r>
      <w:r w:rsidRPr="006E7383">
        <w:rPr>
          <w:rFonts w:ascii="Times New Roman" w:hAnsi="Times New Roman" w:cs="Times New Roman"/>
          <w:bCs/>
          <w:lang w:val="nl-NL"/>
        </w:rPr>
        <w:t>66</w:t>
      </w:r>
      <w:r w:rsidR="00001D15">
        <w:rPr>
          <w:rFonts w:ascii="Times New Roman" w:hAnsi="Times New Roman" w:cs="Times New Roman"/>
          <w:lang w:val="nl-NL"/>
        </w:rPr>
        <w:t>:1216–20</w:t>
      </w:r>
      <w:r w:rsidRPr="006E7383">
        <w:rPr>
          <w:rFonts w:ascii="Times New Roman" w:hAnsi="Times New Roman" w:cs="Times New Roman"/>
        </w:rPr>
        <w:t>.</w:t>
      </w:r>
      <w:r w:rsidRPr="006E7383">
        <w:rPr>
          <w:rFonts w:ascii="Times New Roman" w:hAnsi="Times New Roman" w:cs="Times New Roman"/>
        </w:rPr>
        <w:fldChar w:fldCharType="end"/>
      </w:r>
    </w:p>
    <w:sectPr w:rsidR="00A75968" w:rsidRPr="00001D15" w:rsidSect="00FB4F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F2AF4" w14:textId="77777777" w:rsidR="0068150E" w:rsidRDefault="0068150E" w:rsidP="00DB1DFA">
      <w:pPr>
        <w:spacing w:after="0" w:line="240" w:lineRule="auto"/>
      </w:pPr>
      <w:r>
        <w:separator/>
      </w:r>
    </w:p>
  </w:endnote>
  <w:endnote w:type="continuationSeparator" w:id="0">
    <w:p w14:paraId="45D7E4B4" w14:textId="77777777" w:rsidR="0068150E" w:rsidRDefault="0068150E" w:rsidP="00DB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87005"/>
      <w:docPartObj>
        <w:docPartGallery w:val="Page Numbers (Bottom of Page)"/>
        <w:docPartUnique/>
      </w:docPartObj>
    </w:sdtPr>
    <w:sdtEndPr>
      <w:rPr>
        <w:noProof/>
      </w:rPr>
    </w:sdtEndPr>
    <w:sdtContent>
      <w:p w14:paraId="5F603888" w14:textId="6649A29B" w:rsidR="00432A38" w:rsidRDefault="00432A38">
        <w:pPr>
          <w:pStyle w:val="Footer"/>
          <w:jc w:val="right"/>
        </w:pPr>
        <w:r>
          <w:fldChar w:fldCharType="begin"/>
        </w:r>
        <w:r>
          <w:instrText xml:space="preserve"> PAGE   \* MERGEFORMAT </w:instrText>
        </w:r>
        <w:r>
          <w:fldChar w:fldCharType="separate"/>
        </w:r>
        <w:r w:rsidR="00B922BA">
          <w:rPr>
            <w:noProof/>
          </w:rPr>
          <w:t>6</w:t>
        </w:r>
        <w:r>
          <w:rPr>
            <w:noProof/>
          </w:rPr>
          <w:fldChar w:fldCharType="end"/>
        </w:r>
      </w:p>
    </w:sdtContent>
  </w:sdt>
  <w:p w14:paraId="0965A8FA" w14:textId="77777777" w:rsidR="00432A38" w:rsidRDefault="00432A38">
    <w:pPr>
      <w:pStyle w:val="Footer"/>
    </w:pPr>
  </w:p>
  <w:p w14:paraId="2CDBF779" w14:textId="77777777" w:rsidR="006D7841" w:rsidRDefault="006D78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F488F" w14:textId="77777777" w:rsidR="0068150E" w:rsidRDefault="0068150E" w:rsidP="00DB1DFA">
      <w:pPr>
        <w:spacing w:after="0" w:line="240" w:lineRule="auto"/>
      </w:pPr>
      <w:r>
        <w:separator/>
      </w:r>
    </w:p>
  </w:footnote>
  <w:footnote w:type="continuationSeparator" w:id="0">
    <w:p w14:paraId="25424B05" w14:textId="77777777" w:rsidR="0068150E" w:rsidRDefault="0068150E" w:rsidP="00DB1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49B"/>
    <w:multiLevelType w:val="hybridMultilevel"/>
    <w:tmpl w:val="DBF25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711C1A"/>
    <w:multiLevelType w:val="hybridMultilevel"/>
    <w:tmpl w:val="B950B8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FC1EA0"/>
    <w:multiLevelType w:val="hybridMultilevel"/>
    <w:tmpl w:val="E74AB0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F63A57"/>
    <w:multiLevelType w:val="hybridMultilevel"/>
    <w:tmpl w:val="30185B00"/>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D6501AC"/>
    <w:multiLevelType w:val="hybridMultilevel"/>
    <w:tmpl w:val="944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9D32F5"/>
    <w:multiLevelType w:val="hybridMultilevel"/>
    <w:tmpl w:val="DE98EB3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CC15CE"/>
    <w:multiLevelType w:val="hybridMultilevel"/>
    <w:tmpl w:val="DE32A1FE"/>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65F33EB"/>
    <w:multiLevelType w:val="hybridMultilevel"/>
    <w:tmpl w:val="6FDE1E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734305"/>
    <w:multiLevelType w:val="hybridMultilevel"/>
    <w:tmpl w:val="B90487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2F02EB"/>
    <w:multiLevelType w:val="hybridMultilevel"/>
    <w:tmpl w:val="359044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0D389E"/>
    <w:multiLevelType w:val="hybridMultilevel"/>
    <w:tmpl w:val="55F02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80720D"/>
    <w:multiLevelType w:val="hybridMultilevel"/>
    <w:tmpl w:val="6B643F62"/>
    <w:lvl w:ilvl="0" w:tplc="7472DC92">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41205C"/>
    <w:multiLevelType w:val="hybridMultilevel"/>
    <w:tmpl w:val="C9BCC5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8C7913"/>
    <w:multiLevelType w:val="hybridMultilevel"/>
    <w:tmpl w:val="3D0EC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205B15"/>
    <w:multiLevelType w:val="hybridMultilevel"/>
    <w:tmpl w:val="6BFC1A00"/>
    <w:lvl w:ilvl="0" w:tplc="8A7C59A4">
      <w:start w:val="1"/>
      <w:numFmt w:val="upperLetter"/>
      <w:lvlText w:val="%1."/>
      <w:lvlJc w:val="left"/>
      <w:pPr>
        <w:ind w:left="720" w:hanging="360"/>
      </w:pPr>
      <w:rPr>
        <w:rFonts w:ascii="Times New Roman" w:hAnsi="Times New Roman" w:cs="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611D9D"/>
    <w:multiLevelType w:val="hybridMultilevel"/>
    <w:tmpl w:val="D5F6D2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num>
  <w:num w:numId="5">
    <w:abstractNumId w:val="1"/>
  </w:num>
  <w:num w:numId="6">
    <w:abstractNumId w:val="2"/>
  </w:num>
  <w:num w:numId="7">
    <w:abstractNumId w:val="12"/>
  </w:num>
  <w:num w:numId="8">
    <w:abstractNumId w:val="13"/>
  </w:num>
  <w:num w:numId="9">
    <w:abstractNumId w:val="14"/>
  </w:num>
  <w:num w:numId="10">
    <w:abstractNumId w:val="9"/>
  </w:num>
  <w:num w:numId="11">
    <w:abstractNumId w:val="10"/>
  </w:num>
  <w:num w:numId="12">
    <w:abstractNumId w:val="5"/>
  </w:num>
  <w:num w:numId="13">
    <w:abstractNumId w:val="6"/>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67"/>
  </w:docVars>
  <w:rsids>
    <w:rsidRoot w:val="000175CF"/>
    <w:rsid w:val="00001D15"/>
    <w:rsid w:val="0000280E"/>
    <w:rsid w:val="000032B1"/>
    <w:rsid w:val="00006369"/>
    <w:rsid w:val="00007E99"/>
    <w:rsid w:val="0001265A"/>
    <w:rsid w:val="00012667"/>
    <w:rsid w:val="0001352D"/>
    <w:rsid w:val="0001545F"/>
    <w:rsid w:val="000175CF"/>
    <w:rsid w:val="00017D6D"/>
    <w:rsid w:val="00020548"/>
    <w:rsid w:val="00020717"/>
    <w:rsid w:val="00022887"/>
    <w:rsid w:val="00022F5D"/>
    <w:rsid w:val="00024165"/>
    <w:rsid w:val="000254D7"/>
    <w:rsid w:val="000255B4"/>
    <w:rsid w:val="00030A3F"/>
    <w:rsid w:val="00030F46"/>
    <w:rsid w:val="00031049"/>
    <w:rsid w:val="0003124C"/>
    <w:rsid w:val="00033D8C"/>
    <w:rsid w:val="0003486E"/>
    <w:rsid w:val="00035003"/>
    <w:rsid w:val="00035590"/>
    <w:rsid w:val="0003590D"/>
    <w:rsid w:val="00040E3D"/>
    <w:rsid w:val="00044FB3"/>
    <w:rsid w:val="00045D70"/>
    <w:rsid w:val="00047569"/>
    <w:rsid w:val="000478F9"/>
    <w:rsid w:val="00047CFA"/>
    <w:rsid w:val="000508C1"/>
    <w:rsid w:val="00051B52"/>
    <w:rsid w:val="00051E91"/>
    <w:rsid w:val="00056548"/>
    <w:rsid w:val="00056D14"/>
    <w:rsid w:val="000572AA"/>
    <w:rsid w:val="000578B7"/>
    <w:rsid w:val="000618CD"/>
    <w:rsid w:val="0006235B"/>
    <w:rsid w:val="00062C06"/>
    <w:rsid w:val="000644C4"/>
    <w:rsid w:val="000656B3"/>
    <w:rsid w:val="00066C8C"/>
    <w:rsid w:val="000740B7"/>
    <w:rsid w:val="00077C93"/>
    <w:rsid w:val="0008086B"/>
    <w:rsid w:val="000834E1"/>
    <w:rsid w:val="0008361E"/>
    <w:rsid w:val="00084ECD"/>
    <w:rsid w:val="00086C01"/>
    <w:rsid w:val="0008789B"/>
    <w:rsid w:val="00090A37"/>
    <w:rsid w:val="0009195C"/>
    <w:rsid w:val="00092DAD"/>
    <w:rsid w:val="00093B2F"/>
    <w:rsid w:val="00093DA3"/>
    <w:rsid w:val="000A21E2"/>
    <w:rsid w:val="000A62A7"/>
    <w:rsid w:val="000B2EE0"/>
    <w:rsid w:val="000B3CDB"/>
    <w:rsid w:val="000B58E8"/>
    <w:rsid w:val="000B6583"/>
    <w:rsid w:val="000B6DFA"/>
    <w:rsid w:val="000B7FD6"/>
    <w:rsid w:val="000C36C8"/>
    <w:rsid w:val="000D69C3"/>
    <w:rsid w:val="000D6B54"/>
    <w:rsid w:val="000D71FA"/>
    <w:rsid w:val="000D7873"/>
    <w:rsid w:val="000E00D8"/>
    <w:rsid w:val="000E1229"/>
    <w:rsid w:val="000E1E12"/>
    <w:rsid w:val="000E1E56"/>
    <w:rsid w:val="000E7C3C"/>
    <w:rsid w:val="000F08FF"/>
    <w:rsid w:val="000F206E"/>
    <w:rsid w:val="000F5389"/>
    <w:rsid w:val="000F6583"/>
    <w:rsid w:val="000F722C"/>
    <w:rsid w:val="000F7809"/>
    <w:rsid w:val="001005EB"/>
    <w:rsid w:val="001036E6"/>
    <w:rsid w:val="001064F1"/>
    <w:rsid w:val="00112236"/>
    <w:rsid w:val="00117F28"/>
    <w:rsid w:val="0012056D"/>
    <w:rsid w:val="00120EB9"/>
    <w:rsid w:val="0012234D"/>
    <w:rsid w:val="00124295"/>
    <w:rsid w:val="00130F64"/>
    <w:rsid w:val="0013126D"/>
    <w:rsid w:val="00134C00"/>
    <w:rsid w:val="00135607"/>
    <w:rsid w:val="00137A69"/>
    <w:rsid w:val="00137C9D"/>
    <w:rsid w:val="00141721"/>
    <w:rsid w:val="00142E8B"/>
    <w:rsid w:val="00144506"/>
    <w:rsid w:val="00145320"/>
    <w:rsid w:val="00145C99"/>
    <w:rsid w:val="00150100"/>
    <w:rsid w:val="001519AC"/>
    <w:rsid w:val="001568E0"/>
    <w:rsid w:val="00160B4D"/>
    <w:rsid w:val="0016279B"/>
    <w:rsid w:val="00163704"/>
    <w:rsid w:val="00164655"/>
    <w:rsid w:val="00170C6C"/>
    <w:rsid w:val="0017128D"/>
    <w:rsid w:val="00172F70"/>
    <w:rsid w:val="0017385A"/>
    <w:rsid w:val="00174C4A"/>
    <w:rsid w:val="0017759D"/>
    <w:rsid w:val="001777CD"/>
    <w:rsid w:val="001822A2"/>
    <w:rsid w:val="00184344"/>
    <w:rsid w:val="001849E2"/>
    <w:rsid w:val="00187C59"/>
    <w:rsid w:val="00190EE7"/>
    <w:rsid w:val="001946AE"/>
    <w:rsid w:val="00196443"/>
    <w:rsid w:val="001A1CD1"/>
    <w:rsid w:val="001A2BB3"/>
    <w:rsid w:val="001A3CA4"/>
    <w:rsid w:val="001A4F98"/>
    <w:rsid w:val="001A6E96"/>
    <w:rsid w:val="001A6FE1"/>
    <w:rsid w:val="001A75E3"/>
    <w:rsid w:val="001B13C8"/>
    <w:rsid w:val="001B2104"/>
    <w:rsid w:val="001B36D5"/>
    <w:rsid w:val="001B7B65"/>
    <w:rsid w:val="001C091F"/>
    <w:rsid w:val="001C1B87"/>
    <w:rsid w:val="001C2CF2"/>
    <w:rsid w:val="001C3868"/>
    <w:rsid w:val="001C545E"/>
    <w:rsid w:val="001C58CB"/>
    <w:rsid w:val="001C6B76"/>
    <w:rsid w:val="001C76B8"/>
    <w:rsid w:val="001D52C3"/>
    <w:rsid w:val="001D7DFD"/>
    <w:rsid w:val="001E18B0"/>
    <w:rsid w:val="001E7667"/>
    <w:rsid w:val="001E7E75"/>
    <w:rsid w:val="001F1D81"/>
    <w:rsid w:val="001F3896"/>
    <w:rsid w:val="001F4139"/>
    <w:rsid w:val="001F41F1"/>
    <w:rsid w:val="001F4AC8"/>
    <w:rsid w:val="00201966"/>
    <w:rsid w:val="00202962"/>
    <w:rsid w:val="002115DF"/>
    <w:rsid w:val="00215C9E"/>
    <w:rsid w:val="00217760"/>
    <w:rsid w:val="00217B11"/>
    <w:rsid w:val="00225277"/>
    <w:rsid w:val="00225933"/>
    <w:rsid w:val="00226B3C"/>
    <w:rsid w:val="00232668"/>
    <w:rsid w:val="00233271"/>
    <w:rsid w:val="002342BD"/>
    <w:rsid w:val="00234616"/>
    <w:rsid w:val="00236266"/>
    <w:rsid w:val="00242CC4"/>
    <w:rsid w:val="00245356"/>
    <w:rsid w:val="00250671"/>
    <w:rsid w:val="002531DC"/>
    <w:rsid w:val="00253E68"/>
    <w:rsid w:val="00261E0E"/>
    <w:rsid w:val="0026348F"/>
    <w:rsid w:val="00266F54"/>
    <w:rsid w:val="002672EA"/>
    <w:rsid w:val="00267E29"/>
    <w:rsid w:val="00271491"/>
    <w:rsid w:val="002732A8"/>
    <w:rsid w:val="002732D0"/>
    <w:rsid w:val="002759D1"/>
    <w:rsid w:val="00283DCE"/>
    <w:rsid w:val="00285E1E"/>
    <w:rsid w:val="00287150"/>
    <w:rsid w:val="002911E2"/>
    <w:rsid w:val="00294499"/>
    <w:rsid w:val="00296226"/>
    <w:rsid w:val="00296727"/>
    <w:rsid w:val="00296ACF"/>
    <w:rsid w:val="002A1929"/>
    <w:rsid w:val="002A4337"/>
    <w:rsid w:val="002A6B6B"/>
    <w:rsid w:val="002A7AF6"/>
    <w:rsid w:val="002B0605"/>
    <w:rsid w:val="002B0AEF"/>
    <w:rsid w:val="002B0EF2"/>
    <w:rsid w:val="002B34E7"/>
    <w:rsid w:val="002B3C34"/>
    <w:rsid w:val="002B7227"/>
    <w:rsid w:val="002B7A33"/>
    <w:rsid w:val="002C04C3"/>
    <w:rsid w:val="002C14B6"/>
    <w:rsid w:val="002C1CFC"/>
    <w:rsid w:val="002C5B36"/>
    <w:rsid w:val="002C6353"/>
    <w:rsid w:val="002C6694"/>
    <w:rsid w:val="002D3341"/>
    <w:rsid w:val="002D452B"/>
    <w:rsid w:val="002D4895"/>
    <w:rsid w:val="002D520D"/>
    <w:rsid w:val="002D76C3"/>
    <w:rsid w:val="002E108F"/>
    <w:rsid w:val="002E1AA5"/>
    <w:rsid w:val="002E44C9"/>
    <w:rsid w:val="002E7FE0"/>
    <w:rsid w:val="002F0548"/>
    <w:rsid w:val="002F05A8"/>
    <w:rsid w:val="002F2354"/>
    <w:rsid w:val="002F2977"/>
    <w:rsid w:val="002F2C93"/>
    <w:rsid w:val="002F33DF"/>
    <w:rsid w:val="002F3660"/>
    <w:rsid w:val="002F5049"/>
    <w:rsid w:val="003022E8"/>
    <w:rsid w:val="00302E10"/>
    <w:rsid w:val="00305F8F"/>
    <w:rsid w:val="00310125"/>
    <w:rsid w:val="00310214"/>
    <w:rsid w:val="00317196"/>
    <w:rsid w:val="00321B57"/>
    <w:rsid w:val="0032350F"/>
    <w:rsid w:val="00323EA5"/>
    <w:rsid w:val="00325026"/>
    <w:rsid w:val="00326A64"/>
    <w:rsid w:val="0032762C"/>
    <w:rsid w:val="0033083D"/>
    <w:rsid w:val="00333105"/>
    <w:rsid w:val="00335B8A"/>
    <w:rsid w:val="003364AF"/>
    <w:rsid w:val="00337692"/>
    <w:rsid w:val="00337E1C"/>
    <w:rsid w:val="00341555"/>
    <w:rsid w:val="003420F4"/>
    <w:rsid w:val="00342323"/>
    <w:rsid w:val="00342C31"/>
    <w:rsid w:val="00346671"/>
    <w:rsid w:val="003479B6"/>
    <w:rsid w:val="00351C45"/>
    <w:rsid w:val="00352347"/>
    <w:rsid w:val="00352412"/>
    <w:rsid w:val="003526DB"/>
    <w:rsid w:val="0035300E"/>
    <w:rsid w:val="003540CB"/>
    <w:rsid w:val="003545F1"/>
    <w:rsid w:val="003561F7"/>
    <w:rsid w:val="0035637F"/>
    <w:rsid w:val="003603BC"/>
    <w:rsid w:val="00360C39"/>
    <w:rsid w:val="00362D00"/>
    <w:rsid w:val="003641BB"/>
    <w:rsid w:val="00365700"/>
    <w:rsid w:val="00366E0D"/>
    <w:rsid w:val="00367691"/>
    <w:rsid w:val="0037015D"/>
    <w:rsid w:val="00372165"/>
    <w:rsid w:val="0037395A"/>
    <w:rsid w:val="00375C00"/>
    <w:rsid w:val="0037784C"/>
    <w:rsid w:val="00380674"/>
    <w:rsid w:val="003809BC"/>
    <w:rsid w:val="0038349F"/>
    <w:rsid w:val="00385A73"/>
    <w:rsid w:val="00390177"/>
    <w:rsid w:val="003908F0"/>
    <w:rsid w:val="00390FE6"/>
    <w:rsid w:val="0039151F"/>
    <w:rsid w:val="00391F50"/>
    <w:rsid w:val="0039445A"/>
    <w:rsid w:val="0039570E"/>
    <w:rsid w:val="003A0BFD"/>
    <w:rsid w:val="003A4349"/>
    <w:rsid w:val="003A517A"/>
    <w:rsid w:val="003A6396"/>
    <w:rsid w:val="003A7271"/>
    <w:rsid w:val="003A7EBB"/>
    <w:rsid w:val="003B60A2"/>
    <w:rsid w:val="003B6DD4"/>
    <w:rsid w:val="003B6FFE"/>
    <w:rsid w:val="003B7386"/>
    <w:rsid w:val="003B7A83"/>
    <w:rsid w:val="003C0E5D"/>
    <w:rsid w:val="003C34EC"/>
    <w:rsid w:val="003C5718"/>
    <w:rsid w:val="003C64CC"/>
    <w:rsid w:val="003C6EF7"/>
    <w:rsid w:val="003D3948"/>
    <w:rsid w:val="003D543A"/>
    <w:rsid w:val="003D64D2"/>
    <w:rsid w:val="003D6DC2"/>
    <w:rsid w:val="003E0C55"/>
    <w:rsid w:val="003E181E"/>
    <w:rsid w:val="003E2604"/>
    <w:rsid w:val="003E26CC"/>
    <w:rsid w:val="003E685D"/>
    <w:rsid w:val="003F7BAE"/>
    <w:rsid w:val="00401165"/>
    <w:rsid w:val="00402882"/>
    <w:rsid w:val="00403D5F"/>
    <w:rsid w:val="00404383"/>
    <w:rsid w:val="00404FD2"/>
    <w:rsid w:val="004054D0"/>
    <w:rsid w:val="0040762B"/>
    <w:rsid w:val="00412657"/>
    <w:rsid w:val="004213B2"/>
    <w:rsid w:val="0042376D"/>
    <w:rsid w:val="0042388B"/>
    <w:rsid w:val="00425EE1"/>
    <w:rsid w:val="00426C19"/>
    <w:rsid w:val="00427949"/>
    <w:rsid w:val="0043052B"/>
    <w:rsid w:val="004325F1"/>
    <w:rsid w:val="004329CF"/>
    <w:rsid w:val="00432A38"/>
    <w:rsid w:val="004338E0"/>
    <w:rsid w:val="004339E0"/>
    <w:rsid w:val="00435802"/>
    <w:rsid w:val="00441B38"/>
    <w:rsid w:val="00446E17"/>
    <w:rsid w:val="00446E51"/>
    <w:rsid w:val="00447CE9"/>
    <w:rsid w:val="004536C5"/>
    <w:rsid w:val="00453B35"/>
    <w:rsid w:val="004561DE"/>
    <w:rsid w:val="0045636F"/>
    <w:rsid w:val="004668A8"/>
    <w:rsid w:val="00467350"/>
    <w:rsid w:val="00470627"/>
    <w:rsid w:val="004714C7"/>
    <w:rsid w:val="00471D80"/>
    <w:rsid w:val="00472E45"/>
    <w:rsid w:val="00473691"/>
    <w:rsid w:val="0047429E"/>
    <w:rsid w:val="0047688C"/>
    <w:rsid w:val="00480B62"/>
    <w:rsid w:val="0048134D"/>
    <w:rsid w:val="00481B6D"/>
    <w:rsid w:val="004838C6"/>
    <w:rsid w:val="004851C3"/>
    <w:rsid w:val="00487CB1"/>
    <w:rsid w:val="00487E49"/>
    <w:rsid w:val="00491404"/>
    <w:rsid w:val="00492C47"/>
    <w:rsid w:val="004932D1"/>
    <w:rsid w:val="00494390"/>
    <w:rsid w:val="00495768"/>
    <w:rsid w:val="00497A44"/>
    <w:rsid w:val="004A2E4E"/>
    <w:rsid w:val="004A33BB"/>
    <w:rsid w:val="004A3B29"/>
    <w:rsid w:val="004A469A"/>
    <w:rsid w:val="004A5EB3"/>
    <w:rsid w:val="004B076C"/>
    <w:rsid w:val="004B18A5"/>
    <w:rsid w:val="004B18EA"/>
    <w:rsid w:val="004B459C"/>
    <w:rsid w:val="004B4992"/>
    <w:rsid w:val="004B7F3E"/>
    <w:rsid w:val="004C02ED"/>
    <w:rsid w:val="004C28AD"/>
    <w:rsid w:val="004C2EB1"/>
    <w:rsid w:val="004C4036"/>
    <w:rsid w:val="004C4DAD"/>
    <w:rsid w:val="004C6463"/>
    <w:rsid w:val="004C6E3E"/>
    <w:rsid w:val="004D04CF"/>
    <w:rsid w:val="004D09FF"/>
    <w:rsid w:val="004D1168"/>
    <w:rsid w:val="004D71CA"/>
    <w:rsid w:val="004E26E9"/>
    <w:rsid w:val="004E2F1A"/>
    <w:rsid w:val="004E3DE3"/>
    <w:rsid w:val="004E51A4"/>
    <w:rsid w:val="004F6C4D"/>
    <w:rsid w:val="00500DC2"/>
    <w:rsid w:val="00502323"/>
    <w:rsid w:val="0050235B"/>
    <w:rsid w:val="0050398D"/>
    <w:rsid w:val="00503A9F"/>
    <w:rsid w:val="00506626"/>
    <w:rsid w:val="00506845"/>
    <w:rsid w:val="00507770"/>
    <w:rsid w:val="00510433"/>
    <w:rsid w:val="0051130A"/>
    <w:rsid w:val="005158EA"/>
    <w:rsid w:val="005158FE"/>
    <w:rsid w:val="00516735"/>
    <w:rsid w:val="005216AC"/>
    <w:rsid w:val="005216BE"/>
    <w:rsid w:val="005221BE"/>
    <w:rsid w:val="005256AE"/>
    <w:rsid w:val="00525913"/>
    <w:rsid w:val="00525B6C"/>
    <w:rsid w:val="00533CAA"/>
    <w:rsid w:val="005374F4"/>
    <w:rsid w:val="005401B4"/>
    <w:rsid w:val="00544B72"/>
    <w:rsid w:val="00551DE3"/>
    <w:rsid w:val="005522BD"/>
    <w:rsid w:val="00552CA7"/>
    <w:rsid w:val="00553898"/>
    <w:rsid w:val="0055522D"/>
    <w:rsid w:val="00556B2A"/>
    <w:rsid w:val="00564466"/>
    <w:rsid w:val="00565B59"/>
    <w:rsid w:val="00566BBD"/>
    <w:rsid w:val="00567250"/>
    <w:rsid w:val="005740E5"/>
    <w:rsid w:val="00575A8E"/>
    <w:rsid w:val="0057717E"/>
    <w:rsid w:val="00577896"/>
    <w:rsid w:val="00581D5E"/>
    <w:rsid w:val="005836AC"/>
    <w:rsid w:val="00583B7B"/>
    <w:rsid w:val="00584F69"/>
    <w:rsid w:val="00585AD2"/>
    <w:rsid w:val="005869B7"/>
    <w:rsid w:val="00586B59"/>
    <w:rsid w:val="00590515"/>
    <w:rsid w:val="0059188E"/>
    <w:rsid w:val="00591A03"/>
    <w:rsid w:val="00591AB6"/>
    <w:rsid w:val="00592D90"/>
    <w:rsid w:val="005932AD"/>
    <w:rsid w:val="00593678"/>
    <w:rsid w:val="005952C6"/>
    <w:rsid w:val="0059530A"/>
    <w:rsid w:val="00595865"/>
    <w:rsid w:val="005A2DE4"/>
    <w:rsid w:val="005A414C"/>
    <w:rsid w:val="005A433B"/>
    <w:rsid w:val="005A47CB"/>
    <w:rsid w:val="005A4B72"/>
    <w:rsid w:val="005A79F6"/>
    <w:rsid w:val="005B6024"/>
    <w:rsid w:val="005B66D1"/>
    <w:rsid w:val="005B7EA3"/>
    <w:rsid w:val="005C5C27"/>
    <w:rsid w:val="005C637B"/>
    <w:rsid w:val="005D05CE"/>
    <w:rsid w:val="005D18E2"/>
    <w:rsid w:val="005D2121"/>
    <w:rsid w:val="005D524B"/>
    <w:rsid w:val="005E0DCC"/>
    <w:rsid w:val="005E15F2"/>
    <w:rsid w:val="005E1619"/>
    <w:rsid w:val="005E278C"/>
    <w:rsid w:val="005E302F"/>
    <w:rsid w:val="005E4008"/>
    <w:rsid w:val="005E400F"/>
    <w:rsid w:val="005E463A"/>
    <w:rsid w:val="005E689E"/>
    <w:rsid w:val="005E72B2"/>
    <w:rsid w:val="005E759D"/>
    <w:rsid w:val="005F1E39"/>
    <w:rsid w:val="005F2CCA"/>
    <w:rsid w:val="005F34E0"/>
    <w:rsid w:val="005F3632"/>
    <w:rsid w:val="005F4FFB"/>
    <w:rsid w:val="005F5680"/>
    <w:rsid w:val="005F5FE5"/>
    <w:rsid w:val="006013BB"/>
    <w:rsid w:val="00601CD5"/>
    <w:rsid w:val="0060249C"/>
    <w:rsid w:val="006025C9"/>
    <w:rsid w:val="00602832"/>
    <w:rsid w:val="00607AC1"/>
    <w:rsid w:val="00610087"/>
    <w:rsid w:val="00611B8A"/>
    <w:rsid w:val="006121B6"/>
    <w:rsid w:val="006121D5"/>
    <w:rsid w:val="00615A68"/>
    <w:rsid w:val="00616A6D"/>
    <w:rsid w:val="00617BDA"/>
    <w:rsid w:val="006235A6"/>
    <w:rsid w:val="0062422B"/>
    <w:rsid w:val="00626890"/>
    <w:rsid w:val="006309CE"/>
    <w:rsid w:val="00632293"/>
    <w:rsid w:val="00632705"/>
    <w:rsid w:val="00632998"/>
    <w:rsid w:val="006338C8"/>
    <w:rsid w:val="00634730"/>
    <w:rsid w:val="00637255"/>
    <w:rsid w:val="00644BA0"/>
    <w:rsid w:val="006459EE"/>
    <w:rsid w:val="006500FA"/>
    <w:rsid w:val="006508DA"/>
    <w:rsid w:val="00650D68"/>
    <w:rsid w:val="00651C31"/>
    <w:rsid w:val="00654D54"/>
    <w:rsid w:val="0065572C"/>
    <w:rsid w:val="00657042"/>
    <w:rsid w:val="006576DB"/>
    <w:rsid w:val="00664B08"/>
    <w:rsid w:val="00671BC7"/>
    <w:rsid w:val="0067394C"/>
    <w:rsid w:val="00675F53"/>
    <w:rsid w:val="0067694C"/>
    <w:rsid w:val="006770C0"/>
    <w:rsid w:val="0068150E"/>
    <w:rsid w:val="0068711D"/>
    <w:rsid w:val="00692A74"/>
    <w:rsid w:val="006932BC"/>
    <w:rsid w:val="00693752"/>
    <w:rsid w:val="006976E4"/>
    <w:rsid w:val="006A1DBD"/>
    <w:rsid w:val="006A203F"/>
    <w:rsid w:val="006A42C1"/>
    <w:rsid w:val="006A4ABC"/>
    <w:rsid w:val="006A4E1E"/>
    <w:rsid w:val="006A56C6"/>
    <w:rsid w:val="006A575A"/>
    <w:rsid w:val="006A67B7"/>
    <w:rsid w:val="006B28E8"/>
    <w:rsid w:val="006B2BCC"/>
    <w:rsid w:val="006B340B"/>
    <w:rsid w:val="006B4243"/>
    <w:rsid w:val="006B4277"/>
    <w:rsid w:val="006B54B9"/>
    <w:rsid w:val="006B557E"/>
    <w:rsid w:val="006B59FE"/>
    <w:rsid w:val="006B625E"/>
    <w:rsid w:val="006B64B9"/>
    <w:rsid w:val="006C0077"/>
    <w:rsid w:val="006C2134"/>
    <w:rsid w:val="006C4D85"/>
    <w:rsid w:val="006C4D95"/>
    <w:rsid w:val="006C567F"/>
    <w:rsid w:val="006C798A"/>
    <w:rsid w:val="006D4DE6"/>
    <w:rsid w:val="006D5770"/>
    <w:rsid w:val="006D7841"/>
    <w:rsid w:val="006E3441"/>
    <w:rsid w:val="006E3645"/>
    <w:rsid w:val="006E446D"/>
    <w:rsid w:val="006E55E7"/>
    <w:rsid w:val="006E6789"/>
    <w:rsid w:val="006E7317"/>
    <w:rsid w:val="006E7383"/>
    <w:rsid w:val="006E75E5"/>
    <w:rsid w:val="006E7B30"/>
    <w:rsid w:val="006F0684"/>
    <w:rsid w:val="006F1E5F"/>
    <w:rsid w:val="006F1E9E"/>
    <w:rsid w:val="006F594D"/>
    <w:rsid w:val="006F6083"/>
    <w:rsid w:val="006F60FE"/>
    <w:rsid w:val="006F6BE5"/>
    <w:rsid w:val="0070033D"/>
    <w:rsid w:val="00701DC4"/>
    <w:rsid w:val="007021B8"/>
    <w:rsid w:val="007031B9"/>
    <w:rsid w:val="00704F49"/>
    <w:rsid w:val="0070507B"/>
    <w:rsid w:val="007063F2"/>
    <w:rsid w:val="00707690"/>
    <w:rsid w:val="00712790"/>
    <w:rsid w:val="0071720F"/>
    <w:rsid w:val="00720BD8"/>
    <w:rsid w:val="0072140B"/>
    <w:rsid w:val="007228DA"/>
    <w:rsid w:val="00723B90"/>
    <w:rsid w:val="00726FD4"/>
    <w:rsid w:val="00730510"/>
    <w:rsid w:val="00732770"/>
    <w:rsid w:val="00732C44"/>
    <w:rsid w:val="00734776"/>
    <w:rsid w:val="00735575"/>
    <w:rsid w:val="007356F2"/>
    <w:rsid w:val="00737671"/>
    <w:rsid w:val="00742334"/>
    <w:rsid w:val="00742ED2"/>
    <w:rsid w:val="00743549"/>
    <w:rsid w:val="00744014"/>
    <w:rsid w:val="0074428C"/>
    <w:rsid w:val="007443CC"/>
    <w:rsid w:val="00744854"/>
    <w:rsid w:val="007460CF"/>
    <w:rsid w:val="00747868"/>
    <w:rsid w:val="0075322F"/>
    <w:rsid w:val="00754A72"/>
    <w:rsid w:val="007565EA"/>
    <w:rsid w:val="0076059A"/>
    <w:rsid w:val="0076240B"/>
    <w:rsid w:val="00762572"/>
    <w:rsid w:val="00762B59"/>
    <w:rsid w:val="00762DD7"/>
    <w:rsid w:val="00762EA2"/>
    <w:rsid w:val="00763131"/>
    <w:rsid w:val="00764A02"/>
    <w:rsid w:val="00765F1C"/>
    <w:rsid w:val="007670E7"/>
    <w:rsid w:val="00772966"/>
    <w:rsid w:val="007729CD"/>
    <w:rsid w:val="00772CA6"/>
    <w:rsid w:val="00772EC6"/>
    <w:rsid w:val="00772F38"/>
    <w:rsid w:val="007761CC"/>
    <w:rsid w:val="00776B01"/>
    <w:rsid w:val="007774B6"/>
    <w:rsid w:val="0079032A"/>
    <w:rsid w:val="007908E3"/>
    <w:rsid w:val="00790BF4"/>
    <w:rsid w:val="0079342E"/>
    <w:rsid w:val="00795011"/>
    <w:rsid w:val="0079504C"/>
    <w:rsid w:val="0079650F"/>
    <w:rsid w:val="00796675"/>
    <w:rsid w:val="007A1CA7"/>
    <w:rsid w:val="007A234A"/>
    <w:rsid w:val="007A27C6"/>
    <w:rsid w:val="007A2E1C"/>
    <w:rsid w:val="007A51C8"/>
    <w:rsid w:val="007A549A"/>
    <w:rsid w:val="007A5B83"/>
    <w:rsid w:val="007A618A"/>
    <w:rsid w:val="007A6F66"/>
    <w:rsid w:val="007A75C0"/>
    <w:rsid w:val="007B1B86"/>
    <w:rsid w:val="007B34C7"/>
    <w:rsid w:val="007B401B"/>
    <w:rsid w:val="007B5B16"/>
    <w:rsid w:val="007B7DBD"/>
    <w:rsid w:val="007C06EF"/>
    <w:rsid w:val="007C0FAF"/>
    <w:rsid w:val="007C13EE"/>
    <w:rsid w:val="007C1C34"/>
    <w:rsid w:val="007C2655"/>
    <w:rsid w:val="007C2B6F"/>
    <w:rsid w:val="007C3B17"/>
    <w:rsid w:val="007C4146"/>
    <w:rsid w:val="007C4BB4"/>
    <w:rsid w:val="007C578A"/>
    <w:rsid w:val="007C6BA0"/>
    <w:rsid w:val="007C7078"/>
    <w:rsid w:val="007D02F0"/>
    <w:rsid w:val="007D167D"/>
    <w:rsid w:val="007D477F"/>
    <w:rsid w:val="007D5DF6"/>
    <w:rsid w:val="007D643A"/>
    <w:rsid w:val="007D6EAA"/>
    <w:rsid w:val="007D790A"/>
    <w:rsid w:val="007E1008"/>
    <w:rsid w:val="007E2047"/>
    <w:rsid w:val="007E357A"/>
    <w:rsid w:val="007E38D9"/>
    <w:rsid w:val="007E49ED"/>
    <w:rsid w:val="007E5A37"/>
    <w:rsid w:val="007E5B7A"/>
    <w:rsid w:val="007F0118"/>
    <w:rsid w:val="007F0917"/>
    <w:rsid w:val="007F1E4E"/>
    <w:rsid w:val="007F567D"/>
    <w:rsid w:val="007F645C"/>
    <w:rsid w:val="00801A47"/>
    <w:rsid w:val="00804521"/>
    <w:rsid w:val="00804EB0"/>
    <w:rsid w:val="00806791"/>
    <w:rsid w:val="008127F2"/>
    <w:rsid w:val="00812DC0"/>
    <w:rsid w:val="008167CC"/>
    <w:rsid w:val="00817E69"/>
    <w:rsid w:val="00821564"/>
    <w:rsid w:val="00821FB7"/>
    <w:rsid w:val="00822FA9"/>
    <w:rsid w:val="008268F8"/>
    <w:rsid w:val="00826A37"/>
    <w:rsid w:val="00826CAD"/>
    <w:rsid w:val="00826E62"/>
    <w:rsid w:val="00831E68"/>
    <w:rsid w:val="008321BB"/>
    <w:rsid w:val="00833BC6"/>
    <w:rsid w:val="00833D03"/>
    <w:rsid w:val="00834B92"/>
    <w:rsid w:val="008354A7"/>
    <w:rsid w:val="00835C6F"/>
    <w:rsid w:val="00836F0B"/>
    <w:rsid w:val="00837376"/>
    <w:rsid w:val="00845D50"/>
    <w:rsid w:val="00847EC9"/>
    <w:rsid w:val="008511DB"/>
    <w:rsid w:val="008533A1"/>
    <w:rsid w:val="00857A32"/>
    <w:rsid w:val="00857B7D"/>
    <w:rsid w:val="00860311"/>
    <w:rsid w:val="00862A9B"/>
    <w:rsid w:val="008638E7"/>
    <w:rsid w:val="00863A16"/>
    <w:rsid w:val="008652BF"/>
    <w:rsid w:val="00866F6F"/>
    <w:rsid w:val="00867EE7"/>
    <w:rsid w:val="00870C7B"/>
    <w:rsid w:val="00871BDC"/>
    <w:rsid w:val="00873FAD"/>
    <w:rsid w:val="00874C7B"/>
    <w:rsid w:val="00875A56"/>
    <w:rsid w:val="008771E9"/>
    <w:rsid w:val="008774D4"/>
    <w:rsid w:val="00881184"/>
    <w:rsid w:val="008827A5"/>
    <w:rsid w:val="00883372"/>
    <w:rsid w:val="00883497"/>
    <w:rsid w:val="0088443B"/>
    <w:rsid w:val="00884CDF"/>
    <w:rsid w:val="0088540A"/>
    <w:rsid w:val="008864CF"/>
    <w:rsid w:val="0088692D"/>
    <w:rsid w:val="00887BAD"/>
    <w:rsid w:val="008914D5"/>
    <w:rsid w:val="00894750"/>
    <w:rsid w:val="008963DF"/>
    <w:rsid w:val="00896F50"/>
    <w:rsid w:val="008A1087"/>
    <w:rsid w:val="008A20D6"/>
    <w:rsid w:val="008A5643"/>
    <w:rsid w:val="008A67BC"/>
    <w:rsid w:val="008B0347"/>
    <w:rsid w:val="008B29FF"/>
    <w:rsid w:val="008B3CAB"/>
    <w:rsid w:val="008B46F1"/>
    <w:rsid w:val="008B477D"/>
    <w:rsid w:val="008B5AF4"/>
    <w:rsid w:val="008C353B"/>
    <w:rsid w:val="008C4D57"/>
    <w:rsid w:val="008C6369"/>
    <w:rsid w:val="008D1039"/>
    <w:rsid w:val="008D36D1"/>
    <w:rsid w:val="008D5BF8"/>
    <w:rsid w:val="008E16E5"/>
    <w:rsid w:val="008E2083"/>
    <w:rsid w:val="008E41BB"/>
    <w:rsid w:val="008E4E89"/>
    <w:rsid w:val="008E7A85"/>
    <w:rsid w:val="008E7D9C"/>
    <w:rsid w:val="008E7F0A"/>
    <w:rsid w:val="008F03A9"/>
    <w:rsid w:val="008F1783"/>
    <w:rsid w:val="008F2244"/>
    <w:rsid w:val="008F2533"/>
    <w:rsid w:val="008F2D80"/>
    <w:rsid w:val="008F352C"/>
    <w:rsid w:val="008F36FE"/>
    <w:rsid w:val="008F7FD7"/>
    <w:rsid w:val="0090186C"/>
    <w:rsid w:val="00901A59"/>
    <w:rsid w:val="009038EF"/>
    <w:rsid w:val="0090392F"/>
    <w:rsid w:val="00912F5B"/>
    <w:rsid w:val="00913113"/>
    <w:rsid w:val="00914972"/>
    <w:rsid w:val="00916AA0"/>
    <w:rsid w:val="00917567"/>
    <w:rsid w:val="00920469"/>
    <w:rsid w:val="00923068"/>
    <w:rsid w:val="009267D5"/>
    <w:rsid w:val="00931B21"/>
    <w:rsid w:val="0093551B"/>
    <w:rsid w:val="009400CF"/>
    <w:rsid w:val="00942489"/>
    <w:rsid w:val="00943B2B"/>
    <w:rsid w:val="00945770"/>
    <w:rsid w:val="0094627A"/>
    <w:rsid w:val="0094638E"/>
    <w:rsid w:val="009507FB"/>
    <w:rsid w:val="009532BD"/>
    <w:rsid w:val="00955172"/>
    <w:rsid w:val="009567AF"/>
    <w:rsid w:val="00957EE4"/>
    <w:rsid w:val="0096347F"/>
    <w:rsid w:val="0096432B"/>
    <w:rsid w:val="0096645D"/>
    <w:rsid w:val="0096666A"/>
    <w:rsid w:val="00967944"/>
    <w:rsid w:val="00967D64"/>
    <w:rsid w:val="00970EEA"/>
    <w:rsid w:val="00973C9A"/>
    <w:rsid w:val="00973EFD"/>
    <w:rsid w:val="009824AA"/>
    <w:rsid w:val="009848C6"/>
    <w:rsid w:val="009854B6"/>
    <w:rsid w:val="0098645E"/>
    <w:rsid w:val="00990949"/>
    <w:rsid w:val="00992C5E"/>
    <w:rsid w:val="00995077"/>
    <w:rsid w:val="009954FB"/>
    <w:rsid w:val="009A0044"/>
    <w:rsid w:val="009A07A2"/>
    <w:rsid w:val="009A35E2"/>
    <w:rsid w:val="009A62D2"/>
    <w:rsid w:val="009B23AA"/>
    <w:rsid w:val="009B388F"/>
    <w:rsid w:val="009B48DB"/>
    <w:rsid w:val="009B4B1F"/>
    <w:rsid w:val="009B73BC"/>
    <w:rsid w:val="009C2EE9"/>
    <w:rsid w:val="009C3E08"/>
    <w:rsid w:val="009C5942"/>
    <w:rsid w:val="009C5AF3"/>
    <w:rsid w:val="009C7FF9"/>
    <w:rsid w:val="009D05C3"/>
    <w:rsid w:val="009D17E2"/>
    <w:rsid w:val="009D327D"/>
    <w:rsid w:val="009D437A"/>
    <w:rsid w:val="009D7D37"/>
    <w:rsid w:val="009E4154"/>
    <w:rsid w:val="009E6E9D"/>
    <w:rsid w:val="009E70BE"/>
    <w:rsid w:val="009E7598"/>
    <w:rsid w:val="009F1375"/>
    <w:rsid w:val="009F6562"/>
    <w:rsid w:val="00A01516"/>
    <w:rsid w:val="00A01C6C"/>
    <w:rsid w:val="00A020BD"/>
    <w:rsid w:val="00A05A24"/>
    <w:rsid w:val="00A05F17"/>
    <w:rsid w:val="00A06CC0"/>
    <w:rsid w:val="00A11DAB"/>
    <w:rsid w:val="00A14BF0"/>
    <w:rsid w:val="00A1799A"/>
    <w:rsid w:val="00A22650"/>
    <w:rsid w:val="00A22858"/>
    <w:rsid w:val="00A22C43"/>
    <w:rsid w:val="00A2512B"/>
    <w:rsid w:val="00A26210"/>
    <w:rsid w:val="00A2702B"/>
    <w:rsid w:val="00A273C9"/>
    <w:rsid w:val="00A278F7"/>
    <w:rsid w:val="00A27A85"/>
    <w:rsid w:val="00A308B8"/>
    <w:rsid w:val="00A314E9"/>
    <w:rsid w:val="00A31B85"/>
    <w:rsid w:val="00A321B3"/>
    <w:rsid w:val="00A32A4F"/>
    <w:rsid w:val="00A34B00"/>
    <w:rsid w:val="00A3624A"/>
    <w:rsid w:val="00A41D7B"/>
    <w:rsid w:val="00A45C5F"/>
    <w:rsid w:val="00A45F63"/>
    <w:rsid w:val="00A4767A"/>
    <w:rsid w:val="00A504DB"/>
    <w:rsid w:val="00A53BAE"/>
    <w:rsid w:val="00A546ED"/>
    <w:rsid w:val="00A548F8"/>
    <w:rsid w:val="00A55930"/>
    <w:rsid w:val="00A559E0"/>
    <w:rsid w:val="00A55B59"/>
    <w:rsid w:val="00A56296"/>
    <w:rsid w:val="00A5648D"/>
    <w:rsid w:val="00A57D3C"/>
    <w:rsid w:val="00A612B8"/>
    <w:rsid w:val="00A61764"/>
    <w:rsid w:val="00A676AF"/>
    <w:rsid w:val="00A67FD1"/>
    <w:rsid w:val="00A73186"/>
    <w:rsid w:val="00A75386"/>
    <w:rsid w:val="00A75968"/>
    <w:rsid w:val="00A76073"/>
    <w:rsid w:val="00A76106"/>
    <w:rsid w:val="00A811CF"/>
    <w:rsid w:val="00A83C66"/>
    <w:rsid w:val="00A83E7D"/>
    <w:rsid w:val="00A840DC"/>
    <w:rsid w:val="00A87276"/>
    <w:rsid w:val="00A87BD6"/>
    <w:rsid w:val="00A87EE1"/>
    <w:rsid w:val="00A9085F"/>
    <w:rsid w:val="00A90C9E"/>
    <w:rsid w:val="00A967C3"/>
    <w:rsid w:val="00A970F3"/>
    <w:rsid w:val="00AA01B1"/>
    <w:rsid w:val="00AA1276"/>
    <w:rsid w:val="00AA1710"/>
    <w:rsid w:val="00AA29B7"/>
    <w:rsid w:val="00AA3392"/>
    <w:rsid w:val="00AA7086"/>
    <w:rsid w:val="00AA79EC"/>
    <w:rsid w:val="00AB25BA"/>
    <w:rsid w:val="00AB2683"/>
    <w:rsid w:val="00AB56C1"/>
    <w:rsid w:val="00AC07BA"/>
    <w:rsid w:val="00AC122E"/>
    <w:rsid w:val="00AC2C71"/>
    <w:rsid w:val="00AC5CEB"/>
    <w:rsid w:val="00AC711B"/>
    <w:rsid w:val="00AC79EB"/>
    <w:rsid w:val="00AD123D"/>
    <w:rsid w:val="00AD2780"/>
    <w:rsid w:val="00AD4C2B"/>
    <w:rsid w:val="00AD561A"/>
    <w:rsid w:val="00AD6128"/>
    <w:rsid w:val="00AD77C0"/>
    <w:rsid w:val="00AE2180"/>
    <w:rsid w:val="00AE73F5"/>
    <w:rsid w:val="00AF02E1"/>
    <w:rsid w:val="00AF09A4"/>
    <w:rsid w:val="00AF0E16"/>
    <w:rsid w:val="00AF1182"/>
    <w:rsid w:val="00AF2152"/>
    <w:rsid w:val="00AF4E6D"/>
    <w:rsid w:val="00AF507D"/>
    <w:rsid w:val="00AF74DB"/>
    <w:rsid w:val="00B029C1"/>
    <w:rsid w:val="00B02C97"/>
    <w:rsid w:val="00B02EF9"/>
    <w:rsid w:val="00B03242"/>
    <w:rsid w:val="00B04721"/>
    <w:rsid w:val="00B07D6F"/>
    <w:rsid w:val="00B10477"/>
    <w:rsid w:val="00B121C8"/>
    <w:rsid w:val="00B168CA"/>
    <w:rsid w:val="00B172AE"/>
    <w:rsid w:val="00B203D5"/>
    <w:rsid w:val="00B20779"/>
    <w:rsid w:val="00B22097"/>
    <w:rsid w:val="00B23709"/>
    <w:rsid w:val="00B23843"/>
    <w:rsid w:val="00B24257"/>
    <w:rsid w:val="00B25CCC"/>
    <w:rsid w:val="00B2699C"/>
    <w:rsid w:val="00B26B04"/>
    <w:rsid w:val="00B26E2E"/>
    <w:rsid w:val="00B321B2"/>
    <w:rsid w:val="00B33D91"/>
    <w:rsid w:val="00B3585F"/>
    <w:rsid w:val="00B3695B"/>
    <w:rsid w:val="00B44126"/>
    <w:rsid w:val="00B459A9"/>
    <w:rsid w:val="00B460BE"/>
    <w:rsid w:val="00B4659C"/>
    <w:rsid w:val="00B46B00"/>
    <w:rsid w:val="00B50116"/>
    <w:rsid w:val="00B5237B"/>
    <w:rsid w:val="00B55F7D"/>
    <w:rsid w:val="00B57F96"/>
    <w:rsid w:val="00B62FFC"/>
    <w:rsid w:val="00B6443F"/>
    <w:rsid w:val="00B6639B"/>
    <w:rsid w:val="00B66513"/>
    <w:rsid w:val="00B6655E"/>
    <w:rsid w:val="00B715EA"/>
    <w:rsid w:val="00B72E19"/>
    <w:rsid w:val="00B73085"/>
    <w:rsid w:val="00B741D7"/>
    <w:rsid w:val="00B745C2"/>
    <w:rsid w:val="00B77FF9"/>
    <w:rsid w:val="00B82986"/>
    <w:rsid w:val="00B82F42"/>
    <w:rsid w:val="00B83574"/>
    <w:rsid w:val="00B84E79"/>
    <w:rsid w:val="00B878B3"/>
    <w:rsid w:val="00B90B23"/>
    <w:rsid w:val="00B90BE7"/>
    <w:rsid w:val="00B922BA"/>
    <w:rsid w:val="00B941B2"/>
    <w:rsid w:val="00B948A3"/>
    <w:rsid w:val="00B964C8"/>
    <w:rsid w:val="00BA0166"/>
    <w:rsid w:val="00BA0449"/>
    <w:rsid w:val="00BA1DF9"/>
    <w:rsid w:val="00BA2DC9"/>
    <w:rsid w:val="00BA4E06"/>
    <w:rsid w:val="00BA4ECF"/>
    <w:rsid w:val="00BA6547"/>
    <w:rsid w:val="00BB27B7"/>
    <w:rsid w:val="00BB360D"/>
    <w:rsid w:val="00BB4ACD"/>
    <w:rsid w:val="00BB52ED"/>
    <w:rsid w:val="00BB6227"/>
    <w:rsid w:val="00BC0249"/>
    <w:rsid w:val="00BC36C2"/>
    <w:rsid w:val="00BC7494"/>
    <w:rsid w:val="00BD1074"/>
    <w:rsid w:val="00BD14D6"/>
    <w:rsid w:val="00BD3AC7"/>
    <w:rsid w:val="00BD655C"/>
    <w:rsid w:val="00BD7E7F"/>
    <w:rsid w:val="00BE64AA"/>
    <w:rsid w:val="00BE712A"/>
    <w:rsid w:val="00BE751F"/>
    <w:rsid w:val="00BF0767"/>
    <w:rsid w:val="00BF14AE"/>
    <w:rsid w:val="00BF155C"/>
    <w:rsid w:val="00BF4770"/>
    <w:rsid w:val="00BF5FE3"/>
    <w:rsid w:val="00C0264F"/>
    <w:rsid w:val="00C033FE"/>
    <w:rsid w:val="00C07001"/>
    <w:rsid w:val="00C12587"/>
    <w:rsid w:val="00C1401C"/>
    <w:rsid w:val="00C14ACF"/>
    <w:rsid w:val="00C14B94"/>
    <w:rsid w:val="00C178E9"/>
    <w:rsid w:val="00C21184"/>
    <w:rsid w:val="00C243DB"/>
    <w:rsid w:val="00C24DAB"/>
    <w:rsid w:val="00C36230"/>
    <w:rsid w:val="00C366D0"/>
    <w:rsid w:val="00C37308"/>
    <w:rsid w:val="00C40885"/>
    <w:rsid w:val="00C424C4"/>
    <w:rsid w:val="00C44950"/>
    <w:rsid w:val="00C44999"/>
    <w:rsid w:val="00C44D0D"/>
    <w:rsid w:val="00C45353"/>
    <w:rsid w:val="00C47079"/>
    <w:rsid w:val="00C47284"/>
    <w:rsid w:val="00C47C22"/>
    <w:rsid w:val="00C51355"/>
    <w:rsid w:val="00C544AA"/>
    <w:rsid w:val="00C54C7B"/>
    <w:rsid w:val="00C55F53"/>
    <w:rsid w:val="00C56ACF"/>
    <w:rsid w:val="00C6098C"/>
    <w:rsid w:val="00C60E58"/>
    <w:rsid w:val="00C61454"/>
    <w:rsid w:val="00C62694"/>
    <w:rsid w:val="00C636A5"/>
    <w:rsid w:val="00C66E76"/>
    <w:rsid w:val="00C71262"/>
    <w:rsid w:val="00C7243A"/>
    <w:rsid w:val="00C72508"/>
    <w:rsid w:val="00C7553B"/>
    <w:rsid w:val="00C75560"/>
    <w:rsid w:val="00C7679C"/>
    <w:rsid w:val="00C76B39"/>
    <w:rsid w:val="00C805BF"/>
    <w:rsid w:val="00C833B5"/>
    <w:rsid w:val="00C8527F"/>
    <w:rsid w:val="00C85F6C"/>
    <w:rsid w:val="00C85FDF"/>
    <w:rsid w:val="00C86C81"/>
    <w:rsid w:val="00C9276B"/>
    <w:rsid w:val="00C93ED6"/>
    <w:rsid w:val="00C96BF7"/>
    <w:rsid w:val="00CA3B13"/>
    <w:rsid w:val="00CA5865"/>
    <w:rsid w:val="00CA5E07"/>
    <w:rsid w:val="00CA680A"/>
    <w:rsid w:val="00CA76FA"/>
    <w:rsid w:val="00CB0353"/>
    <w:rsid w:val="00CB2716"/>
    <w:rsid w:val="00CB4388"/>
    <w:rsid w:val="00CB5C09"/>
    <w:rsid w:val="00CB6B2A"/>
    <w:rsid w:val="00CB6B83"/>
    <w:rsid w:val="00CB70DB"/>
    <w:rsid w:val="00CB769C"/>
    <w:rsid w:val="00CB7C23"/>
    <w:rsid w:val="00CC0495"/>
    <w:rsid w:val="00CC5F83"/>
    <w:rsid w:val="00CD1FF9"/>
    <w:rsid w:val="00CD3146"/>
    <w:rsid w:val="00CD3BF3"/>
    <w:rsid w:val="00CD41F6"/>
    <w:rsid w:val="00CD448C"/>
    <w:rsid w:val="00CD4824"/>
    <w:rsid w:val="00CD5312"/>
    <w:rsid w:val="00CD6B7F"/>
    <w:rsid w:val="00CD6E68"/>
    <w:rsid w:val="00CD7294"/>
    <w:rsid w:val="00CD7300"/>
    <w:rsid w:val="00CE0385"/>
    <w:rsid w:val="00CE0E56"/>
    <w:rsid w:val="00CE2A30"/>
    <w:rsid w:val="00CE2FD9"/>
    <w:rsid w:val="00CE3F2E"/>
    <w:rsid w:val="00CE4039"/>
    <w:rsid w:val="00CF0599"/>
    <w:rsid w:val="00CF1CC3"/>
    <w:rsid w:val="00CF68A4"/>
    <w:rsid w:val="00CF74CC"/>
    <w:rsid w:val="00D034D0"/>
    <w:rsid w:val="00D107A6"/>
    <w:rsid w:val="00D10BA9"/>
    <w:rsid w:val="00D16FA2"/>
    <w:rsid w:val="00D17B70"/>
    <w:rsid w:val="00D2089C"/>
    <w:rsid w:val="00D20AB7"/>
    <w:rsid w:val="00D20AE1"/>
    <w:rsid w:val="00D222EF"/>
    <w:rsid w:val="00D250AA"/>
    <w:rsid w:val="00D27B32"/>
    <w:rsid w:val="00D27CAB"/>
    <w:rsid w:val="00D3271D"/>
    <w:rsid w:val="00D32B6E"/>
    <w:rsid w:val="00D32DB5"/>
    <w:rsid w:val="00D34566"/>
    <w:rsid w:val="00D35302"/>
    <w:rsid w:val="00D3580A"/>
    <w:rsid w:val="00D41137"/>
    <w:rsid w:val="00D43692"/>
    <w:rsid w:val="00D442DA"/>
    <w:rsid w:val="00D46756"/>
    <w:rsid w:val="00D479C8"/>
    <w:rsid w:val="00D50CED"/>
    <w:rsid w:val="00D5127B"/>
    <w:rsid w:val="00D51508"/>
    <w:rsid w:val="00D51FC9"/>
    <w:rsid w:val="00D52EE7"/>
    <w:rsid w:val="00D533DD"/>
    <w:rsid w:val="00D545B8"/>
    <w:rsid w:val="00D54FEE"/>
    <w:rsid w:val="00D57DFC"/>
    <w:rsid w:val="00D61338"/>
    <w:rsid w:val="00D66097"/>
    <w:rsid w:val="00D665A5"/>
    <w:rsid w:val="00D72137"/>
    <w:rsid w:val="00D72896"/>
    <w:rsid w:val="00D7411D"/>
    <w:rsid w:val="00D74166"/>
    <w:rsid w:val="00D749CE"/>
    <w:rsid w:val="00D74A17"/>
    <w:rsid w:val="00D76B84"/>
    <w:rsid w:val="00D81FFF"/>
    <w:rsid w:val="00D83609"/>
    <w:rsid w:val="00D839D0"/>
    <w:rsid w:val="00D86927"/>
    <w:rsid w:val="00D86E1C"/>
    <w:rsid w:val="00D87BEC"/>
    <w:rsid w:val="00D903E8"/>
    <w:rsid w:val="00D92294"/>
    <w:rsid w:val="00D94B69"/>
    <w:rsid w:val="00D9646B"/>
    <w:rsid w:val="00D96D40"/>
    <w:rsid w:val="00D96DF0"/>
    <w:rsid w:val="00D97258"/>
    <w:rsid w:val="00D9768A"/>
    <w:rsid w:val="00DA0957"/>
    <w:rsid w:val="00DA2B3E"/>
    <w:rsid w:val="00DA743D"/>
    <w:rsid w:val="00DB0029"/>
    <w:rsid w:val="00DB0F19"/>
    <w:rsid w:val="00DB1DFA"/>
    <w:rsid w:val="00DB212B"/>
    <w:rsid w:val="00DB2719"/>
    <w:rsid w:val="00DB27CE"/>
    <w:rsid w:val="00DB3E48"/>
    <w:rsid w:val="00DB503E"/>
    <w:rsid w:val="00DB78B9"/>
    <w:rsid w:val="00DC049D"/>
    <w:rsid w:val="00DC4D93"/>
    <w:rsid w:val="00DC6252"/>
    <w:rsid w:val="00DC7897"/>
    <w:rsid w:val="00DC7C1B"/>
    <w:rsid w:val="00DD2FC7"/>
    <w:rsid w:val="00DD650C"/>
    <w:rsid w:val="00DD728E"/>
    <w:rsid w:val="00DD7BFE"/>
    <w:rsid w:val="00DE164B"/>
    <w:rsid w:val="00DE6C70"/>
    <w:rsid w:val="00DF0C12"/>
    <w:rsid w:val="00DF2F15"/>
    <w:rsid w:val="00DF3B77"/>
    <w:rsid w:val="00DF5370"/>
    <w:rsid w:val="00DF59C6"/>
    <w:rsid w:val="00DF7031"/>
    <w:rsid w:val="00E0163D"/>
    <w:rsid w:val="00E01729"/>
    <w:rsid w:val="00E01924"/>
    <w:rsid w:val="00E03442"/>
    <w:rsid w:val="00E037D0"/>
    <w:rsid w:val="00E040FE"/>
    <w:rsid w:val="00E0479D"/>
    <w:rsid w:val="00E0577D"/>
    <w:rsid w:val="00E07C95"/>
    <w:rsid w:val="00E101E8"/>
    <w:rsid w:val="00E11206"/>
    <w:rsid w:val="00E11352"/>
    <w:rsid w:val="00E136C0"/>
    <w:rsid w:val="00E146A2"/>
    <w:rsid w:val="00E151D3"/>
    <w:rsid w:val="00E1692B"/>
    <w:rsid w:val="00E1728D"/>
    <w:rsid w:val="00E21369"/>
    <w:rsid w:val="00E22760"/>
    <w:rsid w:val="00E22C13"/>
    <w:rsid w:val="00E23D50"/>
    <w:rsid w:val="00E240E2"/>
    <w:rsid w:val="00E31161"/>
    <w:rsid w:val="00E32211"/>
    <w:rsid w:val="00E33F2A"/>
    <w:rsid w:val="00E35319"/>
    <w:rsid w:val="00E36791"/>
    <w:rsid w:val="00E37666"/>
    <w:rsid w:val="00E40C17"/>
    <w:rsid w:val="00E415A6"/>
    <w:rsid w:val="00E4197F"/>
    <w:rsid w:val="00E43C16"/>
    <w:rsid w:val="00E46C87"/>
    <w:rsid w:val="00E507D6"/>
    <w:rsid w:val="00E5158D"/>
    <w:rsid w:val="00E52419"/>
    <w:rsid w:val="00E5515E"/>
    <w:rsid w:val="00E56831"/>
    <w:rsid w:val="00E602A8"/>
    <w:rsid w:val="00E60DD4"/>
    <w:rsid w:val="00E61A37"/>
    <w:rsid w:val="00E634DE"/>
    <w:rsid w:val="00E656BB"/>
    <w:rsid w:val="00E65922"/>
    <w:rsid w:val="00E67F3C"/>
    <w:rsid w:val="00E709C3"/>
    <w:rsid w:val="00E7114F"/>
    <w:rsid w:val="00E7637C"/>
    <w:rsid w:val="00E81719"/>
    <w:rsid w:val="00E82836"/>
    <w:rsid w:val="00E82EDD"/>
    <w:rsid w:val="00E830CB"/>
    <w:rsid w:val="00E84146"/>
    <w:rsid w:val="00E86C71"/>
    <w:rsid w:val="00E87AEE"/>
    <w:rsid w:val="00E902BE"/>
    <w:rsid w:val="00E915B5"/>
    <w:rsid w:val="00E9176C"/>
    <w:rsid w:val="00E93E5E"/>
    <w:rsid w:val="00E947F2"/>
    <w:rsid w:val="00E94C3A"/>
    <w:rsid w:val="00E95211"/>
    <w:rsid w:val="00E96857"/>
    <w:rsid w:val="00E97893"/>
    <w:rsid w:val="00EA0E80"/>
    <w:rsid w:val="00EA17E2"/>
    <w:rsid w:val="00EA28E1"/>
    <w:rsid w:val="00EA37F8"/>
    <w:rsid w:val="00EB38DF"/>
    <w:rsid w:val="00EB4EF4"/>
    <w:rsid w:val="00EB5D21"/>
    <w:rsid w:val="00EC1D07"/>
    <w:rsid w:val="00EC21C2"/>
    <w:rsid w:val="00EC2D37"/>
    <w:rsid w:val="00EC48E4"/>
    <w:rsid w:val="00EC49E0"/>
    <w:rsid w:val="00EC6C0E"/>
    <w:rsid w:val="00EC7E78"/>
    <w:rsid w:val="00ED00AB"/>
    <w:rsid w:val="00ED204C"/>
    <w:rsid w:val="00ED2809"/>
    <w:rsid w:val="00ED2C65"/>
    <w:rsid w:val="00ED4331"/>
    <w:rsid w:val="00ED506F"/>
    <w:rsid w:val="00ED59AC"/>
    <w:rsid w:val="00ED6CA6"/>
    <w:rsid w:val="00EE3122"/>
    <w:rsid w:val="00EE7766"/>
    <w:rsid w:val="00EF0AC2"/>
    <w:rsid w:val="00EF3ED0"/>
    <w:rsid w:val="00EF6128"/>
    <w:rsid w:val="00EF6FB5"/>
    <w:rsid w:val="00EF7595"/>
    <w:rsid w:val="00F014E3"/>
    <w:rsid w:val="00F06EA1"/>
    <w:rsid w:val="00F14B3A"/>
    <w:rsid w:val="00F15812"/>
    <w:rsid w:val="00F159CC"/>
    <w:rsid w:val="00F15A9F"/>
    <w:rsid w:val="00F15E87"/>
    <w:rsid w:val="00F16AD7"/>
    <w:rsid w:val="00F2048A"/>
    <w:rsid w:val="00F21451"/>
    <w:rsid w:val="00F22B1A"/>
    <w:rsid w:val="00F2380C"/>
    <w:rsid w:val="00F23927"/>
    <w:rsid w:val="00F25B1A"/>
    <w:rsid w:val="00F26786"/>
    <w:rsid w:val="00F271C4"/>
    <w:rsid w:val="00F278D0"/>
    <w:rsid w:val="00F30746"/>
    <w:rsid w:val="00F30DE5"/>
    <w:rsid w:val="00F32C86"/>
    <w:rsid w:val="00F3319B"/>
    <w:rsid w:val="00F33285"/>
    <w:rsid w:val="00F35E2F"/>
    <w:rsid w:val="00F36722"/>
    <w:rsid w:val="00F36872"/>
    <w:rsid w:val="00F37C6B"/>
    <w:rsid w:val="00F40BA1"/>
    <w:rsid w:val="00F41993"/>
    <w:rsid w:val="00F42FA7"/>
    <w:rsid w:val="00F4694F"/>
    <w:rsid w:val="00F47BF2"/>
    <w:rsid w:val="00F50A0F"/>
    <w:rsid w:val="00F50EE8"/>
    <w:rsid w:val="00F50F70"/>
    <w:rsid w:val="00F5252F"/>
    <w:rsid w:val="00F5293C"/>
    <w:rsid w:val="00F544FB"/>
    <w:rsid w:val="00F54D9D"/>
    <w:rsid w:val="00F57173"/>
    <w:rsid w:val="00F60F73"/>
    <w:rsid w:val="00F60FF6"/>
    <w:rsid w:val="00F61322"/>
    <w:rsid w:val="00F613EC"/>
    <w:rsid w:val="00F61C3F"/>
    <w:rsid w:val="00F6355D"/>
    <w:rsid w:val="00F64354"/>
    <w:rsid w:val="00F647FB"/>
    <w:rsid w:val="00F671F5"/>
    <w:rsid w:val="00F714ED"/>
    <w:rsid w:val="00F727DA"/>
    <w:rsid w:val="00F72D50"/>
    <w:rsid w:val="00F75AAF"/>
    <w:rsid w:val="00F767FD"/>
    <w:rsid w:val="00F82507"/>
    <w:rsid w:val="00F82593"/>
    <w:rsid w:val="00F82C3B"/>
    <w:rsid w:val="00F82D98"/>
    <w:rsid w:val="00F8426C"/>
    <w:rsid w:val="00F87839"/>
    <w:rsid w:val="00F87DDD"/>
    <w:rsid w:val="00F903E9"/>
    <w:rsid w:val="00F90C01"/>
    <w:rsid w:val="00F930C3"/>
    <w:rsid w:val="00F93BA0"/>
    <w:rsid w:val="00F965C2"/>
    <w:rsid w:val="00FA0A2F"/>
    <w:rsid w:val="00FA2660"/>
    <w:rsid w:val="00FA2EB1"/>
    <w:rsid w:val="00FA34E2"/>
    <w:rsid w:val="00FA3E44"/>
    <w:rsid w:val="00FA6DF1"/>
    <w:rsid w:val="00FA6ECC"/>
    <w:rsid w:val="00FA7ED9"/>
    <w:rsid w:val="00FB28BB"/>
    <w:rsid w:val="00FB2A3B"/>
    <w:rsid w:val="00FB2D0B"/>
    <w:rsid w:val="00FB3BF0"/>
    <w:rsid w:val="00FB46D7"/>
    <w:rsid w:val="00FB4F71"/>
    <w:rsid w:val="00FB741B"/>
    <w:rsid w:val="00FC1B0E"/>
    <w:rsid w:val="00FC51F0"/>
    <w:rsid w:val="00FC5D22"/>
    <w:rsid w:val="00FC62F9"/>
    <w:rsid w:val="00FC70CB"/>
    <w:rsid w:val="00FD157F"/>
    <w:rsid w:val="00FD1DC8"/>
    <w:rsid w:val="00FD2F97"/>
    <w:rsid w:val="00FD53BB"/>
    <w:rsid w:val="00FD6561"/>
    <w:rsid w:val="00FD72C5"/>
    <w:rsid w:val="00FE119E"/>
    <w:rsid w:val="00FE16BB"/>
    <w:rsid w:val="00FE6B03"/>
    <w:rsid w:val="00FE6CBF"/>
    <w:rsid w:val="00FF119E"/>
    <w:rsid w:val="00FF1503"/>
    <w:rsid w:val="00FF1FE8"/>
    <w:rsid w:val="00FF524C"/>
    <w:rsid w:val="00FF53E1"/>
    <w:rsid w:val="00FF5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F2"/>
  </w:style>
  <w:style w:type="paragraph" w:styleId="Heading1">
    <w:name w:val="heading 1"/>
    <w:basedOn w:val="Normal"/>
    <w:next w:val="Normal"/>
    <w:link w:val="Heading1Char"/>
    <w:uiPriority w:val="9"/>
    <w:qFormat/>
    <w:rsid w:val="00CA76FA"/>
    <w:pPr>
      <w:spacing w:after="0" w:line="360" w:lineRule="auto"/>
      <w:outlineLvl w:val="0"/>
    </w:pPr>
    <w:rPr>
      <w:rFonts w:ascii="Times New Roman" w:hAnsi="Times New Roman" w:cs="Times New Roman"/>
      <w:b/>
      <w:kern w:val="22"/>
    </w:rPr>
  </w:style>
  <w:style w:type="paragraph" w:styleId="Heading2">
    <w:name w:val="heading 2"/>
    <w:basedOn w:val="Normal"/>
    <w:next w:val="Normal"/>
    <w:link w:val="Heading2Char"/>
    <w:uiPriority w:val="9"/>
    <w:unhideWhenUsed/>
    <w:qFormat/>
    <w:rsid w:val="00CD41F6"/>
    <w:pPr>
      <w:spacing w:after="0" w:line="480" w:lineRule="auto"/>
      <w:outlineLvl w:val="1"/>
    </w:pPr>
    <w:rPr>
      <w:rFonts w:ascii="Times New Roman" w:hAnsi="Times New Roman" w:cs="Times New Roman"/>
      <w:i/>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71"/>
    <w:rPr>
      <w:rFonts w:ascii="Tahoma" w:hAnsi="Tahoma" w:cs="Tahoma"/>
      <w:sz w:val="16"/>
      <w:szCs w:val="16"/>
    </w:rPr>
  </w:style>
  <w:style w:type="character" w:customStyle="1" w:styleId="Heading2Char">
    <w:name w:val="Heading 2 Char"/>
    <w:basedOn w:val="DefaultParagraphFont"/>
    <w:link w:val="Heading2"/>
    <w:uiPriority w:val="9"/>
    <w:rsid w:val="00CD41F6"/>
    <w:rPr>
      <w:rFonts w:ascii="Times New Roman" w:hAnsi="Times New Roman" w:cs="Times New Roman"/>
      <w:i/>
      <w:kern w:val="2"/>
    </w:rPr>
  </w:style>
  <w:style w:type="paragraph" w:styleId="ListParagraph">
    <w:name w:val="List Paragraph"/>
    <w:basedOn w:val="Normal"/>
    <w:uiPriority w:val="34"/>
    <w:qFormat/>
    <w:rsid w:val="007356F2"/>
    <w:pPr>
      <w:ind w:left="720"/>
      <w:contextualSpacing/>
    </w:pPr>
  </w:style>
  <w:style w:type="paragraph" w:styleId="Title">
    <w:name w:val="Title"/>
    <w:basedOn w:val="Normal"/>
    <w:next w:val="Normal"/>
    <w:link w:val="TitleChar"/>
    <w:uiPriority w:val="10"/>
    <w:qFormat/>
    <w:rsid w:val="00310214"/>
    <w:pPr>
      <w:spacing w:after="120" w:line="480" w:lineRule="auto"/>
    </w:pPr>
    <w:rPr>
      <w:rFonts w:ascii="Times New Roman" w:hAnsi="Times New Roman" w:cs="Times New Roman"/>
      <w:b/>
      <w:sz w:val="28"/>
    </w:rPr>
  </w:style>
  <w:style w:type="character" w:customStyle="1" w:styleId="TitleChar">
    <w:name w:val="Title Char"/>
    <w:basedOn w:val="DefaultParagraphFont"/>
    <w:link w:val="Title"/>
    <w:uiPriority w:val="10"/>
    <w:rsid w:val="00310214"/>
    <w:rPr>
      <w:rFonts w:ascii="Times New Roman" w:hAnsi="Times New Roman" w:cs="Times New Roman"/>
      <w:b/>
      <w:sz w:val="28"/>
    </w:rPr>
  </w:style>
  <w:style w:type="character" w:customStyle="1" w:styleId="Heading1Char">
    <w:name w:val="Heading 1 Char"/>
    <w:basedOn w:val="DefaultParagraphFont"/>
    <w:link w:val="Heading1"/>
    <w:uiPriority w:val="9"/>
    <w:rsid w:val="00CA76FA"/>
    <w:rPr>
      <w:rFonts w:ascii="Times New Roman" w:hAnsi="Times New Roman" w:cs="Times New Roman"/>
      <w:b/>
      <w:kern w:val="22"/>
    </w:rPr>
  </w:style>
  <w:style w:type="table" w:styleId="TableGrid">
    <w:name w:val="Table Grid"/>
    <w:basedOn w:val="TableNormal"/>
    <w:uiPriority w:val="59"/>
    <w:rsid w:val="0042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B1DFA"/>
  </w:style>
  <w:style w:type="paragraph" w:styleId="Header">
    <w:name w:val="header"/>
    <w:basedOn w:val="Normal"/>
    <w:link w:val="HeaderChar"/>
    <w:uiPriority w:val="99"/>
    <w:unhideWhenUsed/>
    <w:rsid w:val="00DB1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DFA"/>
  </w:style>
  <w:style w:type="paragraph" w:styleId="Footer">
    <w:name w:val="footer"/>
    <w:basedOn w:val="Normal"/>
    <w:link w:val="FooterChar"/>
    <w:uiPriority w:val="99"/>
    <w:unhideWhenUsed/>
    <w:rsid w:val="00DB1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DFA"/>
  </w:style>
  <w:style w:type="character" w:styleId="CommentReference">
    <w:name w:val="annotation reference"/>
    <w:basedOn w:val="DefaultParagraphFont"/>
    <w:uiPriority w:val="99"/>
    <w:semiHidden/>
    <w:unhideWhenUsed/>
    <w:rsid w:val="009B23AA"/>
    <w:rPr>
      <w:sz w:val="16"/>
      <w:szCs w:val="16"/>
    </w:rPr>
  </w:style>
  <w:style w:type="paragraph" w:styleId="CommentText">
    <w:name w:val="annotation text"/>
    <w:basedOn w:val="Normal"/>
    <w:link w:val="CommentTextChar"/>
    <w:uiPriority w:val="99"/>
    <w:unhideWhenUsed/>
    <w:rsid w:val="009B23AA"/>
    <w:pPr>
      <w:spacing w:line="240" w:lineRule="auto"/>
    </w:pPr>
    <w:rPr>
      <w:sz w:val="20"/>
      <w:szCs w:val="20"/>
    </w:rPr>
  </w:style>
  <w:style w:type="character" w:customStyle="1" w:styleId="CommentTextChar">
    <w:name w:val="Comment Text Char"/>
    <w:basedOn w:val="DefaultParagraphFont"/>
    <w:link w:val="CommentText"/>
    <w:uiPriority w:val="99"/>
    <w:rsid w:val="009B23AA"/>
    <w:rPr>
      <w:sz w:val="20"/>
      <w:szCs w:val="20"/>
    </w:rPr>
  </w:style>
  <w:style w:type="paragraph" w:styleId="CommentSubject">
    <w:name w:val="annotation subject"/>
    <w:basedOn w:val="CommentText"/>
    <w:next w:val="CommentText"/>
    <w:link w:val="CommentSubjectChar"/>
    <w:uiPriority w:val="99"/>
    <w:semiHidden/>
    <w:unhideWhenUsed/>
    <w:rsid w:val="009B23AA"/>
    <w:rPr>
      <w:b/>
      <w:bCs/>
    </w:rPr>
  </w:style>
  <w:style w:type="character" w:customStyle="1" w:styleId="CommentSubjectChar">
    <w:name w:val="Comment Subject Char"/>
    <w:basedOn w:val="CommentTextChar"/>
    <w:link w:val="CommentSubject"/>
    <w:uiPriority w:val="99"/>
    <w:semiHidden/>
    <w:rsid w:val="009B23AA"/>
    <w:rPr>
      <w:b/>
      <w:bCs/>
      <w:sz w:val="20"/>
      <w:szCs w:val="20"/>
    </w:rPr>
  </w:style>
  <w:style w:type="paragraph" w:styleId="Revision">
    <w:name w:val="Revision"/>
    <w:hidden/>
    <w:uiPriority w:val="99"/>
    <w:semiHidden/>
    <w:rsid w:val="003A43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F2"/>
  </w:style>
  <w:style w:type="paragraph" w:styleId="Heading1">
    <w:name w:val="heading 1"/>
    <w:basedOn w:val="Normal"/>
    <w:next w:val="Normal"/>
    <w:link w:val="Heading1Char"/>
    <w:uiPriority w:val="9"/>
    <w:qFormat/>
    <w:rsid w:val="00CA76FA"/>
    <w:pPr>
      <w:spacing w:after="0" w:line="360" w:lineRule="auto"/>
      <w:outlineLvl w:val="0"/>
    </w:pPr>
    <w:rPr>
      <w:rFonts w:ascii="Times New Roman" w:hAnsi="Times New Roman" w:cs="Times New Roman"/>
      <w:b/>
      <w:kern w:val="22"/>
    </w:rPr>
  </w:style>
  <w:style w:type="paragraph" w:styleId="Heading2">
    <w:name w:val="heading 2"/>
    <w:basedOn w:val="Normal"/>
    <w:next w:val="Normal"/>
    <w:link w:val="Heading2Char"/>
    <w:uiPriority w:val="9"/>
    <w:unhideWhenUsed/>
    <w:qFormat/>
    <w:rsid w:val="00CD41F6"/>
    <w:pPr>
      <w:spacing w:after="0" w:line="480" w:lineRule="auto"/>
      <w:outlineLvl w:val="1"/>
    </w:pPr>
    <w:rPr>
      <w:rFonts w:ascii="Times New Roman" w:hAnsi="Times New Roman" w:cs="Times New Roman"/>
      <w:i/>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71"/>
    <w:rPr>
      <w:rFonts w:ascii="Tahoma" w:hAnsi="Tahoma" w:cs="Tahoma"/>
      <w:sz w:val="16"/>
      <w:szCs w:val="16"/>
    </w:rPr>
  </w:style>
  <w:style w:type="character" w:customStyle="1" w:styleId="Heading2Char">
    <w:name w:val="Heading 2 Char"/>
    <w:basedOn w:val="DefaultParagraphFont"/>
    <w:link w:val="Heading2"/>
    <w:uiPriority w:val="9"/>
    <w:rsid w:val="00CD41F6"/>
    <w:rPr>
      <w:rFonts w:ascii="Times New Roman" w:hAnsi="Times New Roman" w:cs="Times New Roman"/>
      <w:i/>
      <w:kern w:val="2"/>
    </w:rPr>
  </w:style>
  <w:style w:type="paragraph" w:styleId="ListParagraph">
    <w:name w:val="List Paragraph"/>
    <w:basedOn w:val="Normal"/>
    <w:uiPriority w:val="34"/>
    <w:qFormat/>
    <w:rsid w:val="007356F2"/>
    <w:pPr>
      <w:ind w:left="720"/>
      <w:contextualSpacing/>
    </w:pPr>
  </w:style>
  <w:style w:type="paragraph" w:styleId="Title">
    <w:name w:val="Title"/>
    <w:basedOn w:val="Normal"/>
    <w:next w:val="Normal"/>
    <w:link w:val="TitleChar"/>
    <w:uiPriority w:val="10"/>
    <w:qFormat/>
    <w:rsid w:val="00310214"/>
    <w:pPr>
      <w:spacing w:after="120" w:line="480" w:lineRule="auto"/>
    </w:pPr>
    <w:rPr>
      <w:rFonts w:ascii="Times New Roman" w:hAnsi="Times New Roman" w:cs="Times New Roman"/>
      <w:b/>
      <w:sz w:val="28"/>
    </w:rPr>
  </w:style>
  <w:style w:type="character" w:customStyle="1" w:styleId="TitleChar">
    <w:name w:val="Title Char"/>
    <w:basedOn w:val="DefaultParagraphFont"/>
    <w:link w:val="Title"/>
    <w:uiPriority w:val="10"/>
    <w:rsid w:val="00310214"/>
    <w:rPr>
      <w:rFonts w:ascii="Times New Roman" w:hAnsi="Times New Roman" w:cs="Times New Roman"/>
      <w:b/>
      <w:sz w:val="28"/>
    </w:rPr>
  </w:style>
  <w:style w:type="character" w:customStyle="1" w:styleId="Heading1Char">
    <w:name w:val="Heading 1 Char"/>
    <w:basedOn w:val="DefaultParagraphFont"/>
    <w:link w:val="Heading1"/>
    <w:uiPriority w:val="9"/>
    <w:rsid w:val="00CA76FA"/>
    <w:rPr>
      <w:rFonts w:ascii="Times New Roman" w:hAnsi="Times New Roman" w:cs="Times New Roman"/>
      <w:b/>
      <w:kern w:val="22"/>
    </w:rPr>
  </w:style>
  <w:style w:type="table" w:styleId="TableGrid">
    <w:name w:val="Table Grid"/>
    <w:basedOn w:val="TableNormal"/>
    <w:uiPriority w:val="59"/>
    <w:rsid w:val="0042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B1DFA"/>
  </w:style>
  <w:style w:type="paragraph" w:styleId="Header">
    <w:name w:val="header"/>
    <w:basedOn w:val="Normal"/>
    <w:link w:val="HeaderChar"/>
    <w:uiPriority w:val="99"/>
    <w:unhideWhenUsed/>
    <w:rsid w:val="00DB1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DFA"/>
  </w:style>
  <w:style w:type="paragraph" w:styleId="Footer">
    <w:name w:val="footer"/>
    <w:basedOn w:val="Normal"/>
    <w:link w:val="FooterChar"/>
    <w:uiPriority w:val="99"/>
    <w:unhideWhenUsed/>
    <w:rsid w:val="00DB1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DFA"/>
  </w:style>
  <w:style w:type="character" w:styleId="CommentReference">
    <w:name w:val="annotation reference"/>
    <w:basedOn w:val="DefaultParagraphFont"/>
    <w:uiPriority w:val="99"/>
    <w:semiHidden/>
    <w:unhideWhenUsed/>
    <w:rsid w:val="009B23AA"/>
    <w:rPr>
      <w:sz w:val="16"/>
      <w:szCs w:val="16"/>
    </w:rPr>
  </w:style>
  <w:style w:type="paragraph" w:styleId="CommentText">
    <w:name w:val="annotation text"/>
    <w:basedOn w:val="Normal"/>
    <w:link w:val="CommentTextChar"/>
    <w:uiPriority w:val="99"/>
    <w:unhideWhenUsed/>
    <w:rsid w:val="009B23AA"/>
    <w:pPr>
      <w:spacing w:line="240" w:lineRule="auto"/>
    </w:pPr>
    <w:rPr>
      <w:sz w:val="20"/>
      <w:szCs w:val="20"/>
    </w:rPr>
  </w:style>
  <w:style w:type="character" w:customStyle="1" w:styleId="CommentTextChar">
    <w:name w:val="Comment Text Char"/>
    <w:basedOn w:val="DefaultParagraphFont"/>
    <w:link w:val="CommentText"/>
    <w:uiPriority w:val="99"/>
    <w:rsid w:val="009B23AA"/>
    <w:rPr>
      <w:sz w:val="20"/>
      <w:szCs w:val="20"/>
    </w:rPr>
  </w:style>
  <w:style w:type="paragraph" w:styleId="CommentSubject">
    <w:name w:val="annotation subject"/>
    <w:basedOn w:val="CommentText"/>
    <w:next w:val="CommentText"/>
    <w:link w:val="CommentSubjectChar"/>
    <w:uiPriority w:val="99"/>
    <w:semiHidden/>
    <w:unhideWhenUsed/>
    <w:rsid w:val="009B23AA"/>
    <w:rPr>
      <w:b/>
      <w:bCs/>
    </w:rPr>
  </w:style>
  <w:style w:type="character" w:customStyle="1" w:styleId="CommentSubjectChar">
    <w:name w:val="Comment Subject Char"/>
    <w:basedOn w:val="CommentTextChar"/>
    <w:link w:val="CommentSubject"/>
    <w:uiPriority w:val="99"/>
    <w:semiHidden/>
    <w:rsid w:val="009B23AA"/>
    <w:rPr>
      <w:b/>
      <w:bCs/>
      <w:sz w:val="20"/>
      <w:szCs w:val="20"/>
    </w:rPr>
  </w:style>
  <w:style w:type="paragraph" w:styleId="Revision">
    <w:name w:val="Revision"/>
    <w:hidden/>
    <w:uiPriority w:val="99"/>
    <w:semiHidden/>
    <w:rsid w:val="003A4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88321">
      <w:bodyDiv w:val="1"/>
      <w:marLeft w:val="0"/>
      <w:marRight w:val="0"/>
      <w:marTop w:val="0"/>
      <w:marBottom w:val="0"/>
      <w:divBdr>
        <w:top w:val="none" w:sz="0" w:space="0" w:color="auto"/>
        <w:left w:val="none" w:sz="0" w:space="0" w:color="auto"/>
        <w:bottom w:val="none" w:sz="0" w:space="0" w:color="auto"/>
        <w:right w:val="none" w:sz="0" w:space="0" w:color="auto"/>
      </w:divBdr>
    </w:div>
    <w:div w:id="628047140">
      <w:bodyDiv w:val="1"/>
      <w:marLeft w:val="0"/>
      <w:marRight w:val="0"/>
      <w:marTop w:val="0"/>
      <w:marBottom w:val="0"/>
      <w:divBdr>
        <w:top w:val="none" w:sz="0" w:space="0" w:color="auto"/>
        <w:left w:val="none" w:sz="0" w:space="0" w:color="auto"/>
        <w:bottom w:val="none" w:sz="0" w:space="0" w:color="auto"/>
        <w:right w:val="none" w:sz="0" w:space="0" w:color="auto"/>
      </w:divBdr>
    </w:div>
    <w:div w:id="643508649">
      <w:bodyDiv w:val="1"/>
      <w:marLeft w:val="0"/>
      <w:marRight w:val="0"/>
      <w:marTop w:val="0"/>
      <w:marBottom w:val="0"/>
      <w:divBdr>
        <w:top w:val="none" w:sz="0" w:space="0" w:color="auto"/>
        <w:left w:val="none" w:sz="0" w:space="0" w:color="auto"/>
        <w:bottom w:val="none" w:sz="0" w:space="0" w:color="auto"/>
        <w:right w:val="none" w:sz="0" w:space="0" w:color="auto"/>
      </w:divBdr>
    </w:div>
    <w:div w:id="949511911">
      <w:bodyDiv w:val="1"/>
      <w:marLeft w:val="0"/>
      <w:marRight w:val="0"/>
      <w:marTop w:val="0"/>
      <w:marBottom w:val="0"/>
      <w:divBdr>
        <w:top w:val="none" w:sz="0" w:space="0" w:color="auto"/>
        <w:left w:val="none" w:sz="0" w:space="0" w:color="auto"/>
        <w:bottom w:val="none" w:sz="0" w:space="0" w:color="auto"/>
        <w:right w:val="none" w:sz="0" w:space="0" w:color="auto"/>
      </w:divBdr>
    </w:div>
    <w:div w:id="198353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66BB-85D0-4DC1-9ACA-D48C1205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4154</Words>
  <Characters>22847</Characters>
  <Application>Microsoft Office Word</Application>
  <DocSecurity>0</DocSecurity>
  <Lines>951</Lines>
  <Paragraphs>613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26388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Brinck, R.M. ten (REUM)</dc:creator>
  <cp:lastModifiedBy>VKIRAM</cp:lastModifiedBy>
  <cp:revision>19</cp:revision>
  <cp:lastPrinted>2017-10-31T13:56:00Z</cp:lastPrinted>
  <dcterms:created xsi:type="dcterms:W3CDTF">2018-06-17T12:00:00Z</dcterms:created>
  <dcterms:modified xsi:type="dcterms:W3CDTF">2018-11-03T10:43:00Z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id="http://www.zotero.org/styles/vancouver-superscript" /&gt;&lt;format class="0" /&gt;&lt;count citations="0" publications="0" /&gt;&lt;/info&gt;PAPERS2_INFO_END</vt:lpwstr>
  </property>
</Properties>
</file>