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Model Evaluation: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Some popular metrics used in imbalanced domains that consider the user preferences and, thus, take into account the data distribution are </w:t>
      </w:r>
      <w:r>
        <w:rPr>
          <w:rFonts w:ascii="Arial" w:hAnsi="Arial"/>
          <w:i/>
          <w:iCs/>
          <w:sz w:val="24"/>
          <w:szCs w:val="24"/>
        </w:rPr>
        <w:t>Precision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) also known as </w:t>
      </w:r>
      <w:r>
        <w:rPr>
          <w:rFonts w:ascii="Arial" w:hAnsi="Arial"/>
          <w:i/>
          <w:iCs/>
          <w:sz w:val="24"/>
          <w:szCs w:val="24"/>
        </w:rPr>
        <w:t>Positive Predictive Value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PPV</w:t>
      </w:r>
      <w:r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i/>
          <w:iCs/>
          <w:sz w:val="24"/>
          <w:szCs w:val="24"/>
        </w:rPr>
        <w:t>Negative Predictive Value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NPV</w:t>
      </w:r>
      <w:r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i/>
          <w:iCs/>
          <w:sz w:val="24"/>
          <w:szCs w:val="24"/>
        </w:rPr>
        <w:t>Recall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) also known as </w:t>
      </w:r>
      <w:r>
        <w:rPr>
          <w:rFonts w:ascii="Arial" w:hAnsi="Arial"/>
          <w:i/>
          <w:iCs/>
          <w:sz w:val="24"/>
          <w:szCs w:val="24"/>
        </w:rPr>
        <w:t>True Positive Rate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TPR</w:t>
      </w:r>
      <w:r>
        <w:rPr>
          <w:rFonts w:ascii="Arial" w:hAnsi="Arial"/>
          <w:sz w:val="24"/>
          <w:szCs w:val="24"/>
        </w:rPr>
        <w:t xml:space="preserve">) or </w:t>
      </w:r>
      <w:r>
        <w:rPr>
          <w:rFonts w:ascii="Arial" w:hAnsi="Arial"/>
          <w:i/>
          <w:iCs/>
          <w:sz w:val="24"/>
          <w:szCs w:val="24"/>
        </w:rPr>
        <w:t>Sensitivity</w:t>
      </w:r>
      <w:r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i/>
          <w:iCs/>
          <w:sz w:val="24"/>
          <w:szCs w:val="24"/>
        </w:rPr>
        <w:t>True Negative Rate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TNR</w:t>
      </w:r>
      <w:r>
        <w:rPr>
          <w:rFonts w:ascii="Arial" w:hAnsi="Arial"/>
          <w:sz w:val="24"/>
          <w:szCs w:val="24"/>
        </w:rPr>
        <w:t xml:space="preserve">) also known as </w:t>
      </w:r>
      <w:r>
        <w:rPr>
          <w:rFonts w:ascii="Arial" w:hAnsi="Arial"/>
          <w:i/>
          <w:iCs/>
          <w:sz w:val="24"/>
          <w:szCs w:val="24"/>
        </w:rPr>
        <w:t>Specificity</w:t>
      </w:r>
      <w:r>
        <w:rPr>
          <w:rFonts w:ascii="Arial" w:hAnsi="Arial"/>
          <w:sz w:val="24"/>
          <w:szCs w:val="24"/>
        </w:rPr>
        <w:t>, defined as follows [2] [1]: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TP</m:t>
            </m:r>
          </m:num>
          <m:den>
            <m:r>
              <w:rPr>
                <w:rFonts w:ascii="Cambria Math" w:hAnsi="Cambria Math"/>
              </w:rPr>
              <m:t xml:space="preserve">TP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FP</m:t>
            </m:r>
          </m:den>
        </m:f>
      </m:oMath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Eq. (1)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NPV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TN</m:t>
            </m:r>
          </m:num>
          <m:den>
            <m:r>
              <w:rPr>
                <w:rFonts w:ascii="Cambria Math" w:hAnsi="Cambria Math"/>
              </w:rPr>
              <m:t xml:space="preserve">TN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FN</m:t>
            </m:r>
          </m:den>
        </m:f>
      </m:oMath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Eq. (2)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TP</m:t>
            </m:r>
          </m:num>
          <m:den>
            <m:r>
              <w:rPr>
                <w:rFonts w:ascii="Cambria Math" w:hAnsi="Cambria Math"/>
              </w:rPr>
              <m:t xml:space="preserve">TP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FN</m:t>
            </m:r>
          </m:den>
        </m:f>
      </m:oMath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Eq. (3)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TNR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TN</m:t>
            </m:r>
          </m:num>
          <m:den>
            <m:r>
              <w:rPr>
                <w:rFonts w:ascii="Cambria Math" w:hAnsi="Cambria Math"/>
              </w:rPr>
              <m:t xml:space="preserve">TN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FP</m:t>
            </m:r>
          </m:den>
        </m:f>
      </m:oMath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Eq. (4)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other words, the </w:t>
      </w:r>
      <w:r>
        <w:rPr>
          <w:rFonts w:ascii="Arial" w:hAnsi="Arial"/>
          <w:i/>
          <w:iCs/>
          <w:sz w:val="24"/>
          <w:szCs w:val="24"/>
        </w:rPr>
        <w:t>Precision</w:t>
      </w:r>
      <w:r>
        <w:rPr>
          <w:rFonts w:ascii="Arial" w:hAnsi="Arial"/>
          <w:sz w:val="24"/>
          <w:szCs w:val="24"/>
        </w:rPr>
        <w:t xml:space="preserve"> corresponds to the proportion of examples classified as positive that are truly positive (Eq. </w:t>
      </w:r>
      <w:r>
        <w:rPr>
          <w:rFonts w:ascii="Arial" w:hAnsi="Arial"/>
          <w:sz w:val="24"/>
          <w:szCs w:val="24"/>
        </w:rPr>
        <w:t>(1)</w:t>
      </w:r>
      <w:r>
        <w:rPr>
          <w:rFonts w:ascii="Arial" w:hAnsi="Arial"/>
          <w:sz w:val="24"/>
          <w:szCs w:val="24"/>
        </w:rPr>
        <w:t xml:space="preserve">), the </w:t>
      </w:r>
      <w:r>
        <w:rPr>
          <w:rFonts w:ascii="Arial" w:hAnsi="Arial"/>
          <w:i/>
          <w:iCs/>
          <w:sz w:val="24"/>
          <w:szCs w:val="24"/>
        </w:rPr>
        <w:t>Negative Predictive Value</w:t>
      </w:r>
      <w:r>
        <w:rPr>
          <w:rFonts w:ascii="Arial" w:hAnsi="Arial"/>
          <w:sz w:val="24"/>
          <w:szCs w:val="24"/>
        </w:rPr>
        <w:t xml:space="preserve"> corresponds to the proportion of examples classified as negative that are truly negative (Eq. </w:t>
      </w:r>
      <w:r>
        <w:rPr>
          <w:rFonts w:ascii="Arial" w:hAnsi="Arial"/>
          <w:sz w:val="24"/>
          <w:szCs w:val="24"/>
        </w:rPr>
        <w:t>(2)</w:t>
      </w:r>
      <w:r>
        <w:rPr>
          <w:rFonts w:ascii="Arial" w:hAnsi="Arial"/>
          <w:sz w:val="24"/>
          <w:szCs w:val="24"/>
        </w:rPr>
        <w:t xml:space="preserve">), the </w:t>
      </w:r>
      <w:r>
        <w:rPr>
          <w:rFonts w:ascii="Arial" w:hAnsi="Arial"/>
          <w:i/>
          <w:iCs/>
          <w:sz w:val="24"/>
          <w:szCs w:val="24"/>
        </w:rPr>
        <w:t>Recall</w:t>
      </w:r>
      <w:r>
        <w:rPr>
          <w:rFonts w:ascii="Arial" w:hAnsi="Arial"/>
          <w:sz w:val="24"/>
          <w:szCs w:val="24"/>
        </w:rPr>
        <w:t xml:space="preserve"> corresponds to the proportion of truly positive examples that are classified as positive (Eq. </w:t>
      </w:r>
      <w:r>
        <w:rPr>
          <w:rFonts w:ascii="Arial" w:hAnsi="Arial"/>
          <w:sz w:val="24"/>
          <w:szCs w:val="24"/>
        </w:rPr>
        <w:t>(3)</w:t>
      </w:r>
      <w:r>
        <w:rPr>
          <w:rFonts w:ascii="Arial" w:hAnsi="Arial"/>
          <w:sz w:val="24"/>
          <w:szCs w:val="24"/>
        </w:rPr>
        <w:t xml:space="preserve">) and the </w:t>
      </w:r>
      <w:r>
        <w:rPr>
          <w:rFonts w:ascii="Arial" w:hAnsi="Arial"/>
          <w:i/>
          <w:iCs/>
          <w:sz w:val="24"/>
          <w:szCs w:val="24"/>
        </w:rPr>
        <w:t>True Negative Rate</w:t>
      </w:r>
      <w:r>
        <w:rPr>
          <w:rFonts w:ascii="Arial" w:hAnsi="Arial"/>
          <w:sz w:val="24"/>
          <w:szCs w:val="24"/>
        </w:rPr>
        <w:t xml:space="preserve"> corresponds to the proportion of truly negative examples that are classified as negative (Eq. </w:t>
      </w:r>
      <w:r>
        <w:rPr>
          <w:rFonts w:ascii="Arial" w:hAnsi="Arial"/>
          <w:sz w:val="24"/>
          <w:szCs w:val="24"/>
        </w:rPr>
        <w:t>(4)</w:t>
      </w:r>
      <w:r>
        <w:rPr>
          <w:rFonts w:ascii="Arial" w:hAnsi="Arial"/>
          <w:sz w:val="24"/>
          <w:szCs w:val="24"/>
        </w:rPr>
        <w:t>) [3].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From the definition of the previous metrics we can see a clear relationship between </w:t>
      </w:r>
      <w:r>
        <w:rPr>
          <w:rFonts w:ascii="Arial" w:hAnsi="Arial"/>
          <w:i/>
          <w:iCs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i/>
          <w:iCs/>
          <w:sz w:val="24"/>
          <w:szCs w:val="24"/>
        </w:rPr>
        <w:t>NPV</w:t>
      </w:r>
      <w:r>
        <w:rPr>
          <w:rFonts w:ascii="Arial" w:hAnsi="Arial"/>
          <w:sz w:val="24"/>
          <w:szCs w:val="24"/>
        </w:rPr>
        <w:t xml:space="preserve"> and between </w:t>
      </w:r>
      <w:r>
        <w:rPr>
          <w:rFonts w:ascii="Arial" w:hAnsi="Arial"/>
          <w:i/>
          <w:iCs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i/>
          <w:iCs/>
          <w:sz w:val="24"/>
          <w:szCs w:val="24"/>
        </w:rPr>
        <w:t>TNR</w:t>
      </w:r>
      <w:r>
        <w:rPr>
          <w:rFonts w:ascii="Arial" w:hAnsi="Arial"/>
          <w:sz w:val="24"/>
          <w:szCs w:val="24"/>
        </w:rPr>
        <w:t xml:space="preserve">. They each measure the same metric with respect to a specific class.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e will refer to </w:t>
      </w:r>
      <w:r>
        <w:rPr>
          <w:rFonts w:ascii="Arial" w:hAnsi="Arial"/>
          <w:i/>
          <w:iCs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 as the </w:t>
      </w:r>
      <w:r>
        <w:rPr>
          <w:rFonts w:ascii="Arial" w:hAnsi="Arial"/>
          <w:i/>
          <w:iCs/>
          <w:sz w:val="24"/>
          <w:szCs w:val="24"/>
        </w:rPr>
        <w:t>Precision of class 1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Precision (1)</w:t>
      </w:r>
      <w:r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i/>
          <w:iCs/>
          <w:sz w:val="24"/>
          <w:szCs w:val="24"/>
        </w:rPr>
        <w:t>NPV</w:t>
      </w:r>
      <w:r>
        <w:rPr>
          <w:rFonts w:ascii="Arial" w:hAnsi="Arial"/>
          <w:sz w:val="24"/>
          <w:szCs w:val="24"/>
        </w:rPr>
        <w:t xml:space="preserve"> as the </w:t>
      </w:r>
      <w:r>
        <w:rPr>
          <w:rFonts w:ascii="Arial" w:hAnsi="Arial"/>
          <w:i/>
          <w:iCs/>
          <w:sz w:val="24"/>
          <w:szCs w:val="24"/>
        </w:rPr>
        <w:t>Precision of class 0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Precision (0)</w:t>
      </w:r>
      <w:r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i/>
          <w:iCs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as the </w:t>
      </w:r>
      <w:r>
        <w:rPr>
          <w:rFonts w:ascii="Arial" w:hAnsi="Arial"/>
          <w:i/>
          <w:iCs/>
          <w:sz w:val="24"/>
          <w:szCs w:val="24"/>
        </w:rPr>
        <w:t>Recall of class 1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Recall (1)</w:t>
      </w:r>
      <w:r>
        <w:rPr>
          <w:rFonts w:ascii="Arial" w:hAnsi="Arial"/>
          <w:sz w:val="24"/>
          <w:szCs w:val="24"/>
        </w:rPr>
        <w:t xml:space="preserve">) and </w:t>
      </w:r>
      <w:r>
        <w:rPr>
          <w:rFonts w:ascii="Arial" w:hAnsi="Arial"/>
          <w:i/>
          <w:iCs/>
          <w:sz w:val="24"/>
          <w:szCs w:val="24"/>
        </w:rPr>
        <w:t>TNR</w:t>
      </w:r>
      <w:r>
        <w:rPr>
          <w:rFonts w:ascii="Arial" w:hAnsi="Arial"/>
          <w:sz w:val="24"/>
          <w:szCs w:val="24"/>
        </w:rPr>
        <w:t xml:space="preserve"> as </w:t>
      </w:r>
      <w:r>
        <w:rPr>
          <w:rFonts w:ascii="Arial" w:hAnsi="Arial"/>
          <w:i/>
          <w:iCs/>
          <w:sz w:val="24"/>
          <w:szCs w:val="24"/>
        </w:rPr>
        <w:t>Recall of class 0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Recall (0)</w:t>
      </w:r>
      <w:r>
        <w:rPr>
          <w:rFonts w:ascii="Arial" w:hAnsi="Arial"/>
          <w:sz w:val="24"/>
          <w:szCs w:val="24"/>
        </w:rPr>
        <w:t>).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Another popular and practical metric, that simultaneously measures the impact of several measures is the </w:t>
      </w:r>
      <w:r>
        <w:rPr>
          <w:rFonts w:ascii="Arial" w:hAnsi="Arial"/>
          <w:i/>
          <w:iCs/>
          <w:sz w:val="24"/>
          <w:szCs w:val="24"/>
        </w:rPr>
        <w:t>F-measure</w:t>
      </w:r>
      <w:r>
        <w:rPr>
          <w:rFonts w:ascii="Arial" w:hAnsi="Arial"/>
          <w:sz w:val="24"/>
          <w:szCs w:val="24"/>
        </w:rPr>
        <w:t xml:space="preserve"> (F</w:t>
      </w:r>
      <w:r>
        <w:rPr>
          <w:rFonts w:ascii="Ubuntu" w:hAnsi="Ubuntu"/>
          <w:sz w:val="24"/>
          <w:szCs w:val="24"/>
          <w:vertAlign w:val="subscript"/>
        </w:rPr>
        <w:t>β</w:t>
      </w:r>
      <w:r>
        <w:rPr>
          <w:rFonts w:ascii="Arial" w:hAnsi="Arial"/>
          <w:sz w:val="24"/>
          <w:szCs w:val="24"/>
        </w:rPr>
        <w:t xml:space="preserve">). It combines the </w:t>
      </w:r>
      <w:r>
        <w:rPr>
          <w:rFonts w:ascii="Arial" w:hAnsi="Arial"/>
          <w:i/>
          <w:iCs/>
          <w:sz w:val="24"/>
          <w:szCs w:val="24"/>
        </w:rPr>
        <w:t>Precision</w:t>
      </w:r>
      <w:r>
        <w:rPr>
          <w:rFonts w:ascii="Arial" w:hAnsi="Arial"/>
          <w:sz w:val="24"/>
          <w:szCs w:val="24"/>
        </w:rPr>
        <w:t xml:space="preserve"> and the </w:t>
      </w:r>
      <w:r>
        <w:rPr>
          <w:rFonts w:ascii="Arial" w:hAnsi="Arial"/>
          <w:i/>
          <w:iCs/>
          <w:sz w:val="24"/>
          <w:szCs w:val="24"/>
        </w:rPr>
        <w:t>Recall</w:t>
      </w:r>
      <w:r>
        <w:rPr>
          <w:rFonts w:ascii="Arial" w:hAnsi="Arial"/>
          <w:sz w:val="24"/>
          <w:szCs w:val="24"/>
        </w:rPr>
        <w:t xml:space="preserve"> by a ratio specified by the </w:t>
      </w:r>
      <w:r>
        <w:rPr>
          <w:rFonts w:ascii="Ubuntu" w:hAnsi="Ubuntu"/>
          <w:i/>
          <w:iCs/>
          <w:sz w:val="24"/>
          <w:szCs w:val="24"/>
        </w:rPr>
        <w:t>β</w:t>
      </w:r>
      <w:r>
        <w:rPr>
          <w:rFonts w:ascii="Arial" w:hAnsi="Arial"/>
          <w:sz w:val="24"/>
          <w:szCs w:val="24"/>
        </w:rPr>
        <w:t xml:space="preserve"> parameter [3].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β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β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P</m:t>
            </m:r>
          </m:num>
          <m:den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β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P</m:t>
            </m:r>
          </m:den>
        </m:f>
      </m:oMath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Eq. (5)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Eq. </w:t>
      </w:r>
      <w:r>
        <w:rPr>
          <w:rFonts w:ascii="Arial" w:hAnsi="Arial"/>
          <w:sz w:val="24"/>
          <w:szCs w:val="24"/>
        </w:rPr>
        <w:t>(5)</w:t>
      </w:r>
      <w:r>
        <w:rPr>
          <w:rFonts w:ascii="Arial" w:hAnsi="Arial"/>
          <w:sz w:val="24"/>
          <w:szCs w:val="24"/>
        </w:rPr>
        <w:t xml:space="preserve">, if </w:t>
      </w:r>
      <w:r>
        <w:rPr>
          <w:rFonts w:ascii="Ubuntu" w:hAnsi="Ubuntu"/>
          <w:i/>
          <w:iCs/>
          <w:sz w:val="24"/>
          <w:szCs w:val="24"/>
        </w:rPr>
        <w:t>β</w:t>
      </w:r>
      <w:r>
        <w:rPr>
          <w:rFonts w:ascii="Arial" w:hAnsi="Arial"/>
          <w:sz w:val="24"/>
          <w:szCs w:val="24"/>
        </w:rPr>
        <w:t xml:space="preserve"> = 1, then </w:t>
      </w:r>
      <w:r>
        <w:rPr>
          <w:rFonts w:ascii="Arial" w:hAnsi="Arial"/>
          <w:i/>
          <w:iCs/>
          <w:sz w:val="24"/>
          <w:szCs w:val="24"/>
        </w:rPr>
        <w:t>Precision</w:t>
      </w:r>
      <w:r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i/>
          <w:iCs/>
          <w:sz w:val="24"/>
          <w:szCs w:val="24"/>
        </w:rPr>
        <w:t>Recall</w:t>
      </w:r>
      <w:r>
        <w:rPr>
          <w:rFonts w:ascii="Arial" w:hAnsi="Arial"/>
          <w:sz w:val="24"/>
          <w:szCs w:val="24"/>
        </w:rPr>
        <w:t xml:space="preserve"> are considered as being equally important. If </w:t>
      </w:r>
      <w:r>
        <w:rPr>
          <w:rFonts w:ascii="Ubuntu" w:hAnsi="Ubuntu"/>
          <w:i/>
          <w:iCs/>
          <w:sz w:val="24"/>
          <w:szCs w:val="24"/>
        </w:rPr>
        <w:t>β</w:t>
      </w:r>
      <w:r>
        <w:rPr>
          <w:rFonts w:ascii="Arial" w:hAnsi="Arial"/>
          <w:sz w:val="24"/>
          <w:szCs w:val="24"/>
        </w:rPr>
        <w:t xml:space="preserve"> = 2, then </w:t>
      </w:r>
      <w:r>
        <w:rPr>
          <w:rFonts w:ascii="Arial" w:hAnsi="Arial"/>
          <w:i/>
          <w:iCs/>
          <w:sz w:val="24"/>
          <w:szCs w:val="24"/>
        </w:rPr>
        <w:t>Recall</w:t>
      </w:r>
      <w:r>
        <w:rPr>
          <w:rFonts w:ascii="Arial" w:hAnsi="Arial"/>
          <w:sz w:val="24"/>
          <w:szCs w:val="24"/>
        </w:rPr>
        <w:t xml:space="preserve"> is considered to be twice as important as </w:t>
      </w:r>
      <w:r>
        <w:rPr>
          <w:rFonts w:ascii="Arial" w:hAnsi="Arial"/>
          <w:i/>
          <w:iCs/>
          <w:sz w:val="24"/>
          <w:szCs w:val="24"/>
        </w:rPr>
        <w:t>Precision</w:t>
      </w:r>
      <w:r>
        <w:rPr>
          <w:rFonts w:ascii="Arial" w:hAnsi="Arial"/>
          <w:sz w:val="24"/>
          <w:szCs w:val="24"/>
        </w:rPr>
        <w:t xml:space="preserve">. If </w:t>
      </w:r>
      <w:r>
        <w:rPr>
          <w:rFonts w:ascii="Ubuntu" w:hAnsi="Ubuntu"/>
          <w:i/>
          <w:iCs/>
          <w:sz w:val="24"/>
          <w:szCs w:val="24"/>
        </w:rPr>
        <w:t>β</w:t>
      </w:r>
      <w:r>
        <w:rPr>
          <w:rFonts w:ascii="Arial" w:hAnsi="Arial"/>
          <w:sz w:val="24"/>
          <w:szCs w:val="24"/>
        </w:rPr>
        <w:t xml:space="preserve"> = 0.5, then </w:t>
      </w:r>
      <w:r>
        <w:rPr>
          <w:rFonts w:ascii="Arial" w:hAnsi="Arial"/>
          <w:i/>
          <w:iCs/>
          <w:sz w:val="24"/>
          <w:szCs w:val="24"/>
        </w:rPr>
        <w:t>Precision</w:t>
      </w:r>
      <w:r>
        <w:rPr>
          <w:rFonts w:ascii="Arial" w:hAnsi="Arial"/>
          <w:sz w:val="24"/>
          <w:szCs w:val="24"/>
        </w:rPr>
        <w:t xml:space="preserve"> is considered to be twice as important as </w:t>
      </w:r>
      <w:r>
        <w:rPr>
          <w:rFonts w:ascii="Arial" w:hAnsi="Arial"/>
          <w:i/>
          <w:iCs/>
          <w:sz w:val="24"/>
          <w:szCs w:val="24"/>
        </w:rPr>
        <w:t>Recall</w:t>
      </w:r>
      <w:r>
        <w:rPr>
          <w:rFonts w:ascii="Arial" w:hAnsi="Arial"/>
          <w:sz w:val="24"/>
          <w:szCs w:val="24"/>
        </w:rPr>
        <w:t xml:space="preserve"> [3]. In this study we'll use the </w:t>
      </w:r>
      <w:r>
        <w:rPr>
          <w:rFonts w:ascii="Arial" w:hAnsi="Arial"/>
          <w:i/>
          <w:iCs/>
          <w:sz w:val="24"/>
          <w:szCs w:val="24"/>
        </w:rPr>
        <w:t>F-measure</w:t>
      </w:r>
      <w:r>
        <w:rPr>
          <w:rFonts w:ascii="Arial" w:hAnsi="Arial"/>
          <w:sz w:val="24"/>
          <w:szCs w:val="24"/>
        </w:rPr>
        <w:t xml:space="preserve"> with </w:t>
      </w:r>
      <w:r>
        <w:rPr>
          <w:rFonts w:ascii="Ubuntu" w:hAnsi="Ubuntu"/>
          <w:i/>
          <w:iCs/>
          <w:sz w:val="24"/>
          <w:szCs w:val="24"/>
        </w:rPr>
        <w:t>β</w:t>
      </w:r>
      <w:r>
        <w:rPr>
          <w:rFonts w:ascii="Arial" w:hAnsi="Arial"/>
          <w:sz w:val="24"/>
          <w:szCs w:val="24"/>
        </w:rPr>
        <w:t xml:space="preserve"> = 1 denoted from now on as </w:t>
      </w:r>
      <w:r>
        <w:rPr>
          <w:rFonts w:ascii="Arial" w:hAnsi="Arial"/>
          <w:i/>
          <w:iCs/>
          <w:sz w:val="24"/>
          <w:szCs w:val="24"/>
        </w:rPr>
        <w:t>F1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Using </w:t>
      </w:r>
      <w:r>
        <w:rPr>
          <w:rFonts w:ascii="Arial" w:hAnsi="Arial"/>
          <w:i/>
          <w:iCs/>
          <w:sz w:val="24"/>
          <w:szCs w:val="24"/>
        </w:rPr>
        <w:t>Precision (1)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i/>
          <w:iCs/>
          <w:sz w:val="24"/>
          <w:szCs w:val="24"/>
        </w:rPr>
        <w:t>Recall (1)</w:t>
      </w:r>
      <w:r>
        <w:rPr>
          <w:rFonts w:ascii="Arial" w:hAnsi="Arial"/>
          <w:sz w:val="24"/>
          <w:szCs w:val="24"/>
        </w:rPr>
        <w:t xml:space="preserve"> and the F</w:t>
      </w:r>
      <w:r>
        <w:rPr>
          <w:rFonts w:ascii="Ubuntu" w:hAnsi="Ubuntu"/>
          <w:sz w:val="24"/>
          <w:szCs w:val="24"/>
          <w:vertAlign w:val="subscript"/>
        </w:rPr>
        <w:t>β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Eq. (5)</w:t>
      </w:r>
      <w:r>
        <w:rPr>
          <w:rFonts w:ascii="Arial" w:hAnsi="Arial"/>
          <w:sz w:val="24"/>
          <w:szCs w:val="24"/>
        </w:rPr>
        <w:t xml:space="preserve">, we define the </w:t>
      </w:r>
      <w:r>
        <w:rPr>
          <w:rFonts w:ascii="Arial" w:hAnsi="Arial"/>
          <w:i/>
          <w:iCs/>
          <w:sz w:val="24"/>
          <w:szCs w:val="24"/>
        </w:rPr>
        <w:t>F1 of class 1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F1 (1)</w:t>
      </w:r>
      <w:r>
        <w:rPr>
          <w:rFonts w:ascii="Arial" w:hAnsi="Arial"/>
          <w:sz w:val="24"/>
          <w:szCs w:val="24"/>
        </w:rPr>
        <w:t xml:space="preserve">), and applying the same logic using the class 0 measures we obtain the </w:t>
      </w:r>
      <w:r>
        <w:rPr>
          <w:rFonts w:ascii="Arial" w:hAnsi="Arial"/>
          <w:i/>
          <w:iCs/>
          <w:sz w:val="24"/>
          <w:szCs w:val="24"/>
        </w:rPr>
        <w:t>F1 of class 0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i/>
          <w:iCs/>
          <w:sz w:val="24"/>
          <w:szCs w:val="24"/>
        </w:rPr>
        <w:t>F1 (0)</w:t>
      </w:r>
      <w:r>
        <w:rPr>
          <w:rFonts w:ascii="Arial" w:hAnsi="Arial"/>
          <w:sz w:val="24"/>
          <w:szCs w:val="24"/>
        </w:rPr>
        <w:t>).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define the weighted version of any measure </w:t>
      </w:r>
      <w:r>
        <w:rPr>
          <w:rFonts w:ascii="Arial" w:hAnsi="Arial"/>
          <w:i/>
          <w:iCs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 as the average of the measure </w:t>
      </w:r>
      <w:r>
        <w:rPr>
          <w:rFonts w:ascii="Arial" w:hAnsi="Arial"/>
          <w:i/>
          <w:iCs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 for each class, weighted by the support, i.e. the number of true instances for each class </w:t>
      </w:r>
      <w:r>
        <w:rPr>
          <w:rFonts w:ascii="Arial" w:hAnsi="Arial"/>
          <w:sz w:val="24"/>
          <w:szCs w:val="24"/>
        </w:rPr>
        <w:t>[4]</w:t>
      </w:r>
      <w:r>
        <w:rPr>
          <w:rFonts w:ascii="Arial" w:hAnsi="Arial"/>
          <w:sz w:val="24"/>
          <w:szCs w:val="24"/>
        </w:rPr>
        <w:t>. Given the number of observations of class 1 and class 0, denoted as n</w:t>
      </w:r>
      <w:r>
        <w:rPr>
          <w:rFonts w:ascii="Arial" w:hAnsi="Arial"/>
          <w:sz w:val="24"/>
          <w:szCs w:val="24"/>
          <w:vertAlign w:val="subscript"/>
        </w:rPr>
        <w:t>1</w:t>
      </w:r>
      <w:r>
        <w:rPr>
          <w:rFonts w:ascii="Arial" w:hAnsi="Arial"/>
          <w:sz w:val="24"/>
          <w:szCs w:val="24"/>
        </w:rPr>
        <w:t>, n</w:t>
      </w:r>
      <w:r>
        <w:rPr>
          <w:rFonts w:ascii="Arial" w:hAnsi="Arial"/>
          <w:sz w:val="24"/>
          <w:szCs w:val="24"/>
          <w:vertAlign w:val="subscript"/>
        </w:rPr>
        <w:t>0</w:t>
      </w:r>
      <w:r>
        <w:rPr>
          <w:rFonts w:ascii="Arial" w:hAnsi="Arial"/>
          <w:sz w:val="24"/>
          <w:szCs w:val="24"/>
        </w:rPr>
        <w:t xml:space="preserve"> respectively, and using the previously defined measures we define the weighted versions of the </w:t>
      </w:r>
      <w:r>
        <w:rPr>
          <w:rFonts w:ascii="Arial" w:hAnsi="Arial"/>
          <w:i/>
          <w:iCs/>
          <w:sz w:val="24"/>
          <w:szCs w:val="24"/>
        </w:rPr>
        <w:t>Precision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i/>
          <w:iCs/>
          <w:sz w:val="24"/>
          <w:szCs w:val="24"/>
        </w:rPr>
        <w:t>Recall</w:t>
      </w:r>
      <w:r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i/>
          <w:iCs/>
          <w:sz w:val="24"/>
          <w:szCs w:val="24"/>
        </w:rPr>
        <w:t>F1</w:t>
      </w:r>
      <w:r>
        <w:rPr>
          <w:rFonts w:ascii="Arial" w:hAnsi="Arial"/>
          <w:sz w:val="24"/>
          <w:szCs w:val="24"/>
        </w:rPr>
        <w:t>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F</m:t>
                </m:r>
                <m:r>
                  <w:rPr>
                    <w:rFonts w:ascii="Cambria Math" w:hAnsi="Cambria Math"/>
                  </w:rPr>
                  <m:t xml:space="preserve">1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F</m:t>
                </m:r>
                <m:r>
                  <w:rPr>
                    <w:rFonts w:ascii="Cambria Math" w:hAnsi="Cambria Math"/>
                  </w:rPr>
                  <m:t xml:space="preserve">1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d>
              </m:e>
            </m:d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den>
        </m:f>
      </m:oMath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Eq. (6)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Precision</m:t>
        </m:r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Precision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Precision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d>
              </m:e>
            </m:d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den>
        </m:f>
      </m:oMath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Eq. (7)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Recall</m:t>
        </m:r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Recall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Recall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d>
              </m:e>
            </m:d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den>
        </m:f>
      </m:oMath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Eq. (8)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References: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[1] Paula Branco, Luis Torgo, and Rita Ribeiro. A survey of predictive modelling </w:t>
      </w:r>
      <w:r>
        <w:rPr>
          <w:rFonts w:ascii="Arial" w:hAnsi="Arial"/>
          <w:sz w:val="24"/>
          <w:szCs w:val="24"/>
        </w:rPr>
        <w:t>under imbalanced distributions. arXiv preprint arXiv:1505.01658, 2015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[2] Verónica Bolón-Canedo, Noelia Sánchez-Maroño, Amparo Alonso-Betanzos, </w:t>
      </w:r>
      <w:r>
        <w:rPr>
          <w:rFonts w:ascii="Arial" w:hAnsi="Arial"/>
          <w:sz w:val="24"/>
          <w:szCs w:val="24"/>
        </w:rPr>
        <w:t>Jos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Manuel Ben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tez, and Francisco Herrera. A review of microarray datasets and applied feature selection methods. Information Sciences, 282:111-135, 2014.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[3] Andrew Estabrooks and Nathalie Japkowicz. A mixture-of-experts framework for </w:t>
      </w:r>
      <w:r>
        <w:rPr>
          <w:rFonts w:ascii="Arial" w:hAnsi="Arial"/>
          <w:sz w:val="24"/>
          <w:szCs w:val="24"/>
        </w:rPr>
        <w:t>learning from imbalanced data sets. In International Symposium on Intelligent Data Analysis, pages 34–43. Springer, 2001.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[4] </w:t>
      </w:r>
      <w:r>
        <w:rPr>
          <w:rFonts w:ascii="Arial" w:hAnsi="Arial"/>
          <w:sz w:val="24"/>
          <w:szCs w:val="24"/>
        </w:rPr>
        <w:t>Wikipedia. Weighted arithmetic mean, 2017. URL https://en.wikipedia.org/wiki/Weighted_arithmetic_mean.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Ubuntu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Illustration">
    <w:name w:val="Illustration"/>
    <w:basedOn w:val="Caption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LibreOffice/5.1.6.2$Linux_X86_64 LibreOffice_project/10m0$Build-2</Application>
  <Pages>2</Pages>
  <Words>513</Words>
  <Characters>2620</Characters>
  <CharactersWithSpaces>3119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2017-12-09T12:04:30Z</dcterms:created>
  <dc:creator/>
  <dc:description/>
  <dc:language>en-US</dc:language>
  <cp:lastModifiedBy/>
  <dcterms:modified xsi:type="dcterms:W3CDTF">2017-12-09T13:49:45Z</dcterms:modified>
  <cp:revision>13</cp:revision>
  <dc:subject/>
  <dc:title/>
</cp:coreProperties>
</file>