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6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43"/>
        <w:gridCol w:w="1730"/>
        <w:gridCol w:w="1327"/>
        <w:gridCol w:w="1608"/>
        <w:gridCol w:w="1363"/>
      </w:tblGrid>
      <w:tr w:rsidR="007D55E0" w:rsidRPr="007D55E0" w:rsidTr="004B69F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8A4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8A4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Rhinitis</w:t>
            </w:r>
          </w:p>
          <w:p w:rsidR="007D55E0" w:rsidRPr="007D55E0" w:rsidRDefault="007D55E0" w:rsidP="004B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(J30)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8A4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Acute Bronchitis</w:t>
            </w:r>
          </w:p>
          <w:p w:rsidR="007D55E0" w:rsidRPr="007D55E0" w:rsidRDefault="007D55E0" w:rsidP="004B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(J20)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8A4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COPD</w:t>
            </w:r>
          </w:p>
          <w:p w:rsidR="007D55E0" w:rsidRPr="007D55E0" w:rsidRDefault="007D55E0" w:rsidP="004B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(J44)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8A4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Atopic Eczema</w:t>
            </w:r>
          </w:p>
          <w:p w:rsidR="007D55E0" w:rsidRPr="007D55E0" w:rsidRDefault="007D55E0" w:rsidP="004B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(L20, L23)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8A4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Emphysema</w:t>
            </w:r>
          </w:p>
          <w:p w:rsidR="007D55E0" w:rsidRPr="007D55E0" w:rsidRDefault="007D55E0" w:rsidP="004B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(J43)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5E0" w:rsidRPr="004B69F2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vertAlign w:val="superscript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1,209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2,223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71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  <w:t>Age group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5E0" w:rsidRPr="004B69F2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n (%)</w:t>
            </w:r>
            <w:r w:rsidR="008F3C5B">
              <w:rPr>
                <w:rFonts w:ascii="Arial" w:eastAsia="Times New Roman" w:hAnsi="Arial" w:cs="Arial"/>
                <w:color w:val="000000"/>
                <w:vertAlign w:val="superscript"/>
                <w:lang w:val="en-US" w:eastAsia="es-CO"/>
              </w:rPr>
              <w:t>a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0-4y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424 (35.1)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96 (27.4)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val="en-US" w:eastAsia="es-CO"/>
              </w:rPr>
              <w:t>202 (9</w:t>
            </w: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302 (45.2)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8 (11.2)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5-9y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346 (28.6)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46 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135 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141 (21.1)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11 (15.4)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10-14y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159 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20 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69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44 (6.6)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5 (7.0)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15-19y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70 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4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37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10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3 (4.2)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20-44y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87 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25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224 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33 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7 (9.8)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45-59y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74 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34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428 (19.2)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52 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13 (18.3)</w:t>
            </w:r>
          </w:p>
        </w:tc>
      </w:tr>
      <w:tr w:rsidR="007D55E0" w:rsidRPr="007D55E0" w:rsidTr="004B69F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&gt;60y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49 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125 (35.7)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1,128 (50.7)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85 (12.7)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0" w:rsidRPr="007D55E0" w:rsidRDefault="007D55E0" w:rsidP="007D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5E0">
              <w:rPr>
                <w:rFonts w:ascii="Arial" w:eastAsia="Times New Roman" w:hAnsi="Arial" w:cs="Arial"/>
                <w:color w:val="000000"/>
                <w:lang w:eastAsia="es-CO"/>
              </w:rPr>
              <w:t>24 (33.8)</w:t>
            </w:r>
          </w:p>
        </w:tc>
      </w:tr>
    </w:tbl>
    <w:p w:rsidR="005C465A" w:rsidRPr="005C465A" w:rsidRDefault="004A58FD" w:rsidP="005C465A">
      <w:pPr>
        <w:spacing w:after="0" w:line="480" w:lineRule="auto"/>
        <w:jc w:val="center"/>
        <w:rPr>
          <w:rFonts w:ascii="Arial" w:eastAsiaTheme="majorEastAsia" w:hAnsi="Arial" w:cs="Arial"/>
          <w:bCs/>
          <w:lang w:val="en-US"/>
        </w:rPr>
      </w:pPr>
      <w:r w:rsidRPr="00B62249">
        <w:rPr>
          <w:rFonts w:ascii="Arial" w:hAnsi="Arial" w:cs="Arial"/>
          <w:b/>
          <w:szCs w:val="24"/>
          <w:lang w:val="en-US"/>
        </w:rPr>
        <w:t>Supplementary Table 2</w:t>
      </w:r>
      <w:r w:rsidR="005C465A" w:rsidRPr="004A58FD">
        <w:rPr>
          <w:rFonts w:ascii="Arial" w:hAnsi="Arial" w:cs="Arial"/>
          <w:b/>
          <w:iCs/>
          <w:color w:val="000000" w:themeColor="text1"/>
          <w:lang w:val="en-US"/>
        </w:rPr>
        <w:t xml:space="preserve">. </w:t>
      </w:r>
      <w:bookmarkStart w:id="0" w:name="_GoBack"/>
      <w:r w:rsidR="007D55E0">
        <w:rPr>
          <w:rFonts w:ascii="Arial" w:hAnsi="Arial" w:cs="Arial"/>
          <w:iCs/>
          <w:color w:val="000000" w:themeColor="text1"/>
          <w:lang w:val="en-US"/>
        </w:rPr>
        <w:t>Distribution</w:t>
      </w:r>
      <w:r w:rsidR="007D55E0" w:rsidRPr="004A58FD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5C465A" w:rsidRPr="005C465A">
        <w:rPr>
          <w:rFonts w:ascii="Arial" w:hAnsi="Arial" w:cs="Arial"/>
          <w:iCs/>
          <w:color w:val="000000" w:themeColor="text1"/>
          <w:lang w:val="en-US"/>
        </w:rPr>
        <w:t>of comorbid</w:t>
      </w:r>
      <w:r w:rsidR="007D55E0">
        <w:rPr>
          <w:rFonts w:ascii="Arial" w:hAnsi="Arial" w:cs="Arial"/>
          <w:iCs/>
          <w:color w:val="000000" w:themeColor="text1"/>
          <w:lang w:val="en-US"/>
        </w:rPr>
        <w:t>ities</w:t>
      </w:r>
      <w:r w:rsidR="005C465A" w:rsidRPr="005C465A">
        <w:rPr>
          <w:rFonts w:ascii="Arial" w:hAnsi="Arial" w:cs="Arial"/>
          <w:iCs/>
          <w:color w:val="000000" w:themeColor="text1"/>
          <w:lang w:val="en-US"/>
        </w:rPr>
        <w:t xml:space="preserve"> according to age</w:t>
      </w:r>
      <w:bookmarkEnd w:id="0"/>
    </w:p>
    <w:p w:rsidR="00C95A56" w:rsidRPr="004B69F2" w:rsidRDefault="008F3C5B" w:rsidP="004B69F2">
      <w:pPr>
        <w:tabs>
          <w:tab w:val="left" w:pos="7655"/>
          <w:tab w:val="left" w:pos="7797"/>
        </w:tabs>
        <w:spacing w:after="0"/>
        <w:rPr>
          <w:lang w:val="en-US"/>
        </w:rPr>
      </w:pPr>
      <w:proofErr w:type="spellStart"/>
      <w:proofErr w:type="gramStart"/>
      <w:r w:rsidRPr="008F3C5B">
        <w:rPr>
          <w:rFonts w:ascii="Arial" w:eastAsiaTheme="majorEastAsia" w:hAnsi="Arial" w:cs="Arial"/>
          <w:bCs/>
          <w:sz w:val="20"/>
          <w:szCs w:val="28"/>
          <w:vertAlign w:val="superscript"/>
          <w:lang w:val="en-US"/>
        </w:rPr>
        <w:t>a</w:t>
      </w:r>
      <w:proofErr w:type="spellEnd"/>
      <w:proofErr w:type="gramEnd"/>
      <w:r>
        <w:rPr>
          <w:rFonts w:ascii="Arial" w:eastAsiaTheme="majorEastAsia" w:hAnsi="Arial" w:cs="Arial"/>
          <w:bCs/>
          <w:sz w:val="20"/>
          <w:szCs w:val="28"/>
          <w:vertAlign w:val="superscript"/>
          <w:lang w:val="en-US"/>
        </w:rPr>
        <w:t xml:space="preserve"> </w:t>
      </w:r>
      <w:r>
        <w:rPr>
          <w:rFonts w:ascii="Arial" w:eastAsiaTheme="majorEastAsia" w:hAnsi="Arial" w:cs="Arial"/>
          <w:bCs/>
          <w:sz w:val="20"/>
          <w:szCs w:val="28"/>
          <w:lang w:val="en-US"/>
        </w:rPr>
        <w:t>The number of events in each age category and its respective frequency rate in parenthesis</w:t>
      </w:r>
      <w:r w:rsidRPr="008F3C5B">
        <w:rPr>
          <w:rFonts w:ascii="Arial" w:eastAsiaTheme="majorEastAsia" w:hAnsi="Arial" w:cs="Arial"/>
          <w:bCs/>
          <w:sz w:val="20"/>
          <w:szCs w:val="28"/>
          <w:lang w:val="en-US"/>
        </w:rPr>
        <w:t xml:space="preserve"> </w:t>
      </w:r>
      <w:r>
        <w:rPr>
          <w:rFonts w:ascii="Arial" w:eastAsiaTheme="majorEastAsia" w:hAnsi="Arial" w:cs="Arial"/>
          <w:bCs/>
          <w:sz w:val="20"/>
          <w:szCs w:val="28"/>
          <w:lang w:val="en-US"/>
        </w:rPr>
        <w:t xml:space="preserve">are shown. </w:t>
      </w:r>
      <w:r w:rsidR="007D55E0" w:rsidRPr="004B69F2">
        <w:rPr>
          <w:rFonts w:ascii="Arial" w:eastAsiaTheme="majorEastAsia" w:hAnsi="Arial" w:cs="Arial"/>
          <w:bCs/>
          <w:sz w:val="20"/>
          <w:szCs w:val="28"/>
          <w:lang w:val="en-US"/>
        </w:rPr>
        <w:t xml:space="preserve">Relative frequencies were calculated as the proportion </w:t>
      </w:r>
      <w:r>
        <w:rPr>
          <w:rFonts w:ascii="Arial" w:eastAsiaTheme="majorEastAsia" w:hAnsi="Arial" w:cs="Arial"/>
          <w:bCs/>
          <w:sz w:val="20"/>
          <w:szCs w:val="28"/>
          <w:lang w:val="en-US"/>
        </w:rPr>
        <w:t>between</w:t>
      </w:r>
      <w:r w:rsidR="007D55E0" w:rsidRPr="004B69F2">
        <w:rPr>
          <w:rFonts w:ascii="Arial" w:eastAsiaTheme="majorEastAsia" w:hAnsi="Arial" w:cs="Arial"/>
          <w:bCs/>
          <w:sz w:val="20"/>
          <w:szCs w:val="28"/>
          <w:lang w:val="en-US"/>
        </w:rPr>
        <w:t xml:space="preserve"> cases </w:t>
      </w:r>
      <w:r>
        <w:rPr>
          <w:rFonts w:ascii="Arial" w:eastAsiaTheme="majorEastAsia" w:hAnsi="Arial" w:cs="Arial"/>
          <w:bCs/>
          <w:sz w:val="20"/>
          <w:szCs w:val="28"/>
          <w:lang w:val="en-US"/>
        </w:rPr>
        <w:t>and the</w:t>
      </w:r>
      <w:r w:rsidR="007D55E0" w:rsidRPr="004B69F2">
        <w:rPr>
          <w:rFonts w:ascii="Arial" w:eastAsiaTheme="majorEastAsia" w:hAnsi="Arial" w:cs="Arial"/>
          <w:bCs/>
          <w:sz w:val="20"/>
          <w:szCs w:val="28"/>
          <w:lang w:val="en-US"/>
        </w:rPr>
        <w:t xml:space="preserve"> total number of</w:t>
      </w:r>
      <w:r w:rsidR="007D55E0">
        <w:rPr>
          <w:rFonts w:ascii="Arial" w:eastAsiaTheme="majorEastAsia" w:hAnsi="Arial" w:cs="Arial"/>
          <w:bCs/>
          <w:sz w:val="20"/>
          <w:szCs w:val="28"/>
          <w:lang w:val="en-US"/>
        </w:rPr>
        <w:t xml:space="preserve"> the respective co-morbidity (N</w:t>
      </w:r>
      <w:r>
        <w:rPr>
          <w:rFonts w:ascii="Arial" w:eastAsiaTheme="majorEastAsia" w:hAnsi="Arial" w:cs="Arial"/>
          <w:bCs/>
          <w:sz w:val="20"/>
          <w:szCs w:val="28"/>
          <w:lang w:val="en-US"/>
        </w:rPr>
        <w:t>).</w:t>
      </w:r>
    </w:p>
    <w:sectPr w:rsidR="00C95A56" w:rsidRPr="004B6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5A"/>
    <w:rsid w:val="001E2D26"/>
    <w:rsid w:val="002B0B27"/>
    <w:rsid w:val="004A58FD"/>
    <w:rsid w:val="004B69F2"/>
    <w:rsid w:val="00516672"/>
    <w:rsid w:val="005C465A"/>
    <w:rsid w:val="007D55E0"/>
    <w:rsid w:val="008A4FAA"/>
    <w:rsid w:val="008F3C5B"/>
    <w:rsid w:val="00B62249"/>
    <w:rsid w:val="00CD590B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E8247-C3DA-4C45-9D0D-89226F2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5A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672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AnaLuis</dc:creator>
  <cp:lastModifiedBy>Buxco</cp:lastModifiedBy>
  <cp:revision>14</cp:revision>
  <dcterms:created xsi:type="dcterms:W3CDTF">2018-02-19T18:25:00Z</dcterms:created>
  <dcterms:modified xsi:type="dcterms:W3CDTF">2018-07-10T22:26:00Z</dcterms:modified>
</cp:coreProperties>
</file>