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15FD" w14:textId="3E723E0A" w:rsidR="00FF755C" w:rsidRPr="001362A8" w:rsidRDefault="00AB5364" w:rsidP="00F03661">
      <w:pPr>
        <w:spacing w:beforeLines="50" w:before="120" w:after="0" w:line="360" w:lineRule="auto"/>
        <w:rPr>
          <w:rFonts w:ascii="Times New Roman" w:eastAsia="Times New Roman" w:hAnsi="Times New Roman" w:cs="Times New Roman"/>
          <w:color w:val="000000" w:themeColor="text1"/>
          <w:sz w:val="24"/>
          <w:szCs w:val="20"/>
        </w:rPr>
      </w:pPr>
      <w:r w:rsidRPr="001362A8">
        <w:rPr>
          <w:rFonts w:ascii="Times New Roman" w:eastAsia="Times New Roman" w:hAnsi="Times New Roman" w:cs="Times New Roman"/>
          <w:b/>
          <w:color w:val="000000" w:themeColor="text1"/>
          <w:sz w:val="24"/>
          <w:szCs w:val="20"/>
        </w:rPr>
        <w:t>Table</w:t>
      </w:r>
      <w:r w:rsidR="007863D9" w:rsidRPr="001362A8">
        <w:rPr>
          <w:rFonts w:ascii="Times New Roman" w:eastAsia="Times New Roman" w:hAnsi="Times New Roman" w:cs="Times New Roman"/>
          <w:b/>
          <w:color w:val="000000" w:themeColor="text1"/>
          <w:sz w:val="24"/>
          <w:szCs w:val="20"/>
        </w:rPr>
        <w:t xml:space="preserve"> </w:t>
      </w:r>
      <w:r w:rsidR="00744DFD" w:rsidRPr="001362A8">
        <w:rPr>
          <w:rFonts w:ascii="Times New Roman" w:eastAsia="Times New Roman" w:hAnsi="Times New Roman" w:cs="Times New Roman"/>
          <w:b/>
          <w:color w:val="000000" w:themeColor="text1"/>
          <w:sz w:val="24"/>
          <w:szCs w:val="20"/>
        </w:rPr>
        <w:t>S</w:t>
      </w:r>
      <w:r w:rsidR="007863D9" w:rsidRPr="001362A8">
        <w:rPr>
          <w:rFonts w:ascii="Times New Roman" w:eastAsia="Times New Roman" w:hAnsi="Times New Roman" w:cs="Times New Roman"/>
          <w:b/>
          <w:color w:val="000000" w:themeColor="text1"/>
          <w:sz w:val="24"/>
          <w:szCs w:val="20"/>
        </w:rPr>
        <w:t>2</w:t>
      </w:r>
      <w:r w:rsidR="003F274E" w:rsidRPr="001362A8">
        <w:rPr>
          <w:rFonts w:ascii="Times New Roman" w:eastAsia="Times New Roman" w:hAnsi="Times New Roman" w:cs="Times New Roman"/>
          <w:b/>
          <w:color w:val="000000" w:themeColor="text1"/>
          <w:sz w:val="24"/>
          <w:szCs w:val="20"/>
        </w:rPr>
        <w:t xml:space="preserve">. </w:t>
      </w:r>
      <w:r w:rsidR="00AA2D45" w:rsidRPr="001362A8">
        <w:rPr>
          <w:rFonts w:ascii="Times New Roman" w:eastAsia="Times New Roman" w:hAnsi="Times New Roman" w:cs="Times New Roman"/>
          <w:color w:val="000000" w:themeColor="text1"/>
          <w:sz w:val="24"/>
          <w:szCs w:val="20"/>
        </w:rPr>
        <w:t>National infection</w:t>
      </w:r>
      <w:r w:rsidR="00A6740D" w:rsidRPr="001362A8">
        <w:rPr>
          <w:rFonts w:ascii="Times New Roman" w:eastAsia="Times New Roman" w:hAnsi="Times New Roman" w:cs="Times New Roman"/>
          <w:color w:val="000000" w:themeColor="text1"/>
          <w:sz w:val="24"/>
          <w:szCs w:val="20"/>
        </w:rPr>
        <w:t xml:space="preserve"> prevention and</w:t>
      </w:r>
      <w:r w:rsidR="00AA2D45" w:rsidRPr="001362A8">
        <w:rPr>
          <w:rFonts w:ascii="Times New Roman" w:eastAsia="Times New Roman" w:hAnsi="Times New Roman" w:cs="Times New Roman"/>
          <w:color w:val="000000" w:themeColor="text1"/>
          <w:sz w:val="24"/>
          <w:szCs w:val="20"/>
        </w:rPr>
        <w:t xml:space="preserve"> control policies and programs initiated</w:t>
      </w:r>
      <w:r w:rsidR="00633D91" w:rsidRPr="001362A8">
        <w:rPr>
          <w:rFonts w:ascii="Times New Roman" w:eastAsia="Times New Roman" w:hAnsi="Times New Roman" w:cs="Times New Roman"/>
          <w:color w:val="000000" w:themeColor="text1"/>
          <w:sz w:val="24"/>
          <w:szCs w:val="20"/>
        </w:rPr>
        <w:t>,</w:t>
      </w:r>
      <w:r w:rsidR="00AA2D45" w:rsidRPr="001362A8">
        <w:rPr>
          <w:rFonts w:ascii="Times New Roman" w:eastAsia="Times New Roman" w:hAnsi="Times New Roman" w:cs="Times New Roman"/>
          <w:color w:val="000000" w:themeColor="text1"/>
          <w:sz w:val="24"/>
          <w:szCs w:val="20"/>
        </w:rPr>
        <w:t xml:space="preserve"> implemented </w:t>
      </w:r>
      <w:r w:rsidR="00633D91" w:rsidRPr="001362A8">
        <w:rPr>
          <w:rFonts w:ascii="Times New Roman" w:eastAsia="Times New Roman" w:hAnsi="Times New Roman" w:cs="Times New Roman"/>
          <w:color w:val="000000" w:themeColor="text1"/>
          <w:sz w:val="24"/>
          <w:szCs w:val="20"/>
        </w:rPr>
        <w:t xml:space="preserve">or extended </w:t>
      </w:r>
      <w:r w:rsidR="00AA2D45" w:rsidRPr="001362A8">
        <w:rPr>
          <w:rFonts w:ascii="Times New Roman" w:eastAsia="Times New Roman" w:hAnsi="Times New Roman" w:cs="Times New Roman"/>
          <w:color w:val="000000" w:themeColor="text1"/>
          <w:sz w:val="24"/>
          <w:szCs w:val="20"/>
        </w:rPr>
        <w:t>in Taiwan, South Korea</w:t>
      </w:r>
      <w:r w:rsidR="00A0509E">
        <w:rPr>
          <w:rFonts w:asciiTheme="minorEastAsia" w:hAnsiTheme="minorEastAsia" w:cs="Times New Roman" w:hint="eastAsia"/>
          <w:color w:val="000000" w:themeColor="text1"/>
          <w:sz w:val="24"/>
          <w:szCs w:val="20"/>
        </w:rPr>
        <w:t>,</w:t>
      </w:r>
      <w:r w:rsidR="00AA2D45" w:rsidRPr="001362A8">
        <w:rPr>
          <w:rFonts w:ascii="Times New Roman" w:eastAsia="Times New Roman" w:hAnsi="Times New Roman" w:cs="Times New Roman"/>
          <w:color w:val="000000" w:themeColor="text1"/>
          <w:sz w:val="24"/>
          <w:szCs w:val="20"/>
        </w:rPr>
        <w:t xml:space="preserve"> and Japan.</w:t>
      </w:r>
      <w:bookmarkStart w:id="0" w:name="_GoBack"/>
      <w:bookmarkEnd w:id="0"/>
    </w:p>
    <w:tbl>
      <w:tblPr>
        <w:tblStyle w:val="TableGrid"/>
        <w:tblpPr w:leftFromText="180" w:rightFromText="180" w:vertAnchor="text" w:horzAnchor="margin" w:tblpXSpec="center" w:tblpY="894"/>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126"/>
        <w:gridCol w:w="6696"/>
      </w:tblGrid>
      <w:tr w:rsidR="001362A8" w:rsidRPr="001362A8" w14:paraId="76774927" w14:textId="77777777" w:rsidTr="001A1D4B">
        <w:trPr>
          <w:trHeight w:val="416"/>
        </w:trPr>
        <w:tc>
          <w:tcPr>
            <w:tcW w:w="1101" w:type="dxa"/>
            <w:tcBorders>
              <w:top w:val="single" w:sz="4" w:space="0" w:color="auto"/>
              <w:bottom w:val="single" w:sz="4" w:space="0" w:color="auto"/>
            </w:tcBorders>
          </w:tcPr>
          <w:p w14:paraId="18604F3F" w14:textId="77777777" w:rsidR="00D92BE6" w:rsidRPr="001362A8" w:rsidRDefault="00D92BE6" w:rsidP="001A1D4B">
            <w:pPr>
              <w:spacing w:beforeLines="50" w:before="120" w:afterLines="50" w:after="120" w:line="360" w:lineRule="auto"/>
              <w:rPr>
                <w:rFonts w:ascii="Times New Roman" w:hAnsi="Times New Roman" w:cs="Times New Roman"/>
                <w:b/>
                <w:color w:val="000000" w:themeColor="text1"/>
                <w:sz w:val="20"/>
                <w:szCs w:val="20"/>
              </w:rPr>
            </w:pPr>
            <w:r w:rsidRPr="001362A8">
              <w:rPr>
                <w:rFonts w:ascii="Times New Roman" w:hAnsi="Times New Roman" w:cs="Times New Roman"/>
                <w:b/>
                <w:color w:val="000000" w:themeColor="text1"/>
                <w:sz w:val="20"/>
                <w:szCs w:val="20"/>
              </w:rPr>
              <w:t>Country</w:t>
            </w:r>
          </w:p>
        </w:tc>
        <w:tc>
          <w:tcPr>
            <w:tcW w:w="2126" w:type="dxa"/>
            <w:tcBorders>
              <w:top w:val="single" w:sz="4" w:space="0" w:color="auto"/>
              <w:bottom w:val="single" w:sz="4" w:space="0" w:color="auto"/>
            </w:tcBorders>
          </w:tcPr>
          <w:p w14:paraId="41CCF08A" w14:textId="77777777" w:rsidR="00D92BE6" w:rsidRPr="001362A8" w:rsidRDefault="00D92BE6" w:rsidP="001A1D4B">
            <w:pPr>
              <w:spacing w:beforeLines="50" w:before="120" w:afterLines="50" w:after="120" w:line="360" w:lineRule="auto"/>
              <w:jc w:val="both"/>
              <w:rPr>
                <w:rFonts w:ascii="Times New Roman" w:eastAsia="PMingLiU" w:hAnsi="Times New Roman" w:cs="Times New Roman"/>
                <w:b/>
                <w:bCs/>
                <w:color w:val="000000" w:themeColor="text1"/>
                <w:sz w:val="20"/>
                <w:szCs w:val="20"/>
              </w:rPr>
            </w:pPr>
            <w:r w:rsidRPr="001362A8">
              <w:rPr>
                <w:rFonts w:ascii="Times New Roman" w:eastAsia="PMingLiU" w:hAnsi="Times New Roman" w:cs="Times New Roman"/>
                <w:b/>
                <w:bCs/>
                <w:color w:val="000000" w:themeColor="text1"/>
                <w:sz w:val="20"/>
                <w:szCs w:val="20"/>
              </w:rPr>
              <w:t xml:space="preserve"> </w:t>
            </w:r>
            <w:r w:rsidR="0076044D" w:rsidRPr="001362A8">
              <w:rPr>
                <w:rFonts w:ascii="Times New Roman" w:eastAsia="PMingLiU" w:hAnsi="Times New Roman" w:cs="Times New Roman"/>
                <w:b/>
                <w:bCs/>
                <w:color w:val="000000" w:themeColor="text1"/>
                <w:sz w:val="20"/>
                <w:szCs w:val="20"/>
              </w:rPr>
              <w:t>Intervention</w:t>
            </w:r>
            <w:r w:rsidRPr="001362A8">
              <w:rPr>
                <w:rFonts w:ascii="Times New Roman" w:eastAsia="PMingLiU" w:hAnsi="Times New Roman" w:cs="Times New Roman"/>
                <w:b/>
                <w:bCs/>
                <w:color w:val="000000" w:themeColor="text1"/>
                <w:sz w:val="20"/>
                <w:szCs w:val="20"/>
              </w:rPr>
              <w:t xml:space="preserve">   </w:t>
            </w:r>
          </w:p>
        </w:tc>
        <w:tc>
          <w:tcPr>
            <w:tcW w:w="6696" w:type="dxa"/>
            <w:tcBorders>
              <w:top w:val="single" w:sz="4" w:space="0" w:color="auto"/>
              <w:bottom w:val="single" w:sz="4" w:space="0" w:color="auto"/>
            </w:tcBorders>
          </w:tcPr>
          <w:p w14:paraId="6E34B100" w14:textId="77777777" w:rsidR="00D92BE6" w:rsidRPr="001362A8" w:rsidRDefault="00D92BE6" w:rsidP="001A1D4B">
            <w:pPr>
              <w:spacing w:beforeLines="50" w:before="120" w:afterLines="50" w:after="120" w:line="360" w:lineRule="auto"/>
              <w:jc w:val="both"/>
              <w:rPr>
                <w:rFonts w:ascii="Times New Roman" w:eastAsia="PMingLiU" w:hAnsi="Times New Roman" w:cs="Times New Roman"/>
                <w:b/>
                <w:bCs/>
                <w:color w:val="000000" w:themeColor="text1"/>
                <w:sz w:val="20"/>
                <w:szCs w:val="20"/>
              </w:rPr>
            </w:pPr>
            <w:r w:rsidRPr="001362A8">
              <w:rPr>
                <w:rFonts w:ascii="Times New Roman" w:eastAsia="PMingLiU" w:hAnsi="Times New Roman" w:cs="Times New Roman"/>
                <w:b/>
                <w:bCs/>
                <w:color w:val="000000" w:themeColor="text1"/>
                <w:sz w:val="20"/>
                <w:szCs w:val="20"/>
              </w:rPr>
              <w:t>Description</w:t>
            </w:r>
          </w:p>
        </w:tc>
      </w:tr>
      <w:tr w:rsidR="001362A8" w:rsidRPr="001362A8" w14:paraId="03EF8E53" w14:textId="77777777" w:rsidTr="001A1D4B">
        <w:trPr>
          <w:trHeight w:val="665"/>
        </w:trPr>
        <w:tc>
          <w:tcPr>
            <w:tcW w:w="1101" w:type="dxa"/>
            <w:vMerge w:val="restart"/>
            <w:tcBorders>
              <w:top w:val="single" w:sz="4" w:space="0" w:color="auto"/>
            </w:tcBorders>
          </w:tcPr>
          <w:p w14:paraId="593E5C9F" w14:textId="77777777" w:rsidR="00530733" w:rsidRPr="001362A8" w:rsidRDefault="00530733" w:rsidP="001A1D4B">
            <w:pPr>
              <w:spacing w:beforeLines="50" w:before="120" w:afterLines="50" w:after="120" w:line="360" w:lineRule="auto"/>
              <w:rPr>
                <w:rFonts w:ascii="Times New Roman" w:eastAsia="PMingLiU" w:hAnsi="Times New Roman" w:cs="Times New Roman"/>
                <w:b/>
                <w:bCs/>
                <w:color w:val="000000" w:themeColor="text1"/>
                <w:sz w:val="20"/>
                <w:szCs w:val="20"/>
              </w:rPr>
            </w:pPr>
            <w:r w:rsidRPr="001362A8">
              <w:rPr>
                <w:rFonts w:ascii="Times New Roman" w:eastAsia="PMingLiU" w:hAnsi="Times New Roman" w:cs="Times New Roman"/>
                <w:b/>
                <w:bCs/>
                <w:color w:val="000000" w:themeColor="text1"/>
                <w:sz w:val="20"/>
                <w:szCs w:val="20"/>
              </w:rPr>
              <w:t xml:space="preserve">Taiwan </w:t>
            </w:r>
          </w:p>
        </w:tc>
        <w:tc>
          <w:tcPr>
            <w:tcW w:w="2126" w:type="dxa"/>
            <w:tcBorders>
              <w:top w:val="single" w:sz="4" w:space="0" w:color="auto"/>
              <w:bottom w:val="nil"/>
            </w:tcBorders>
          </w:tcPr>
          <w:p w14:paraId="4874188D" w14:textId="77777777" w:rsidR="00530733" w:rsidRPr="001362A8" w:rsidRDefault="00CF7FD5"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Policy for n</w:t>
            </w:r>
            <w:r w:rsidR="008678C2" w:rsidRPr="001362A8">
              <w:rPr>
                <w:rFonts w:ascii="Times New Roman" w:eastAsia="PMingLiU" w:hAnsi="Times New Roman" w:cs="Times New Roman"/>
                <w:color w:val="000000" w:themeColor="text1"/>
                <w:sz w:val="20"/>
                <w:szCs w:val="20"/>
              </w:rPr>
              <w:t xml:space="preserve">ational </w:t>
            </w:r>
            <w:r w:rsidRPr="001362A8">
              <w:rPr>
                <w:rFonts w:ascii="Times New Roman" w:eastAsia="PMingLiU" w:hAnsi="Times New Roman" w:cs="Times New Roman"/>
                <w:color w:val="000000" w:themeColor="text1"/>
                <w:sz w:val="20"/>
                <w:szCs w:val="20"/>
              </w:rPr>
              <w:t>infection</w:t>
            </w:r>
            <w:r w:rsidR="00244AF8" w:rsidRPr="001362A8">
              <w:rPr>
                <w:rFonts w:ascii="Times New Roman" w:eastAsia="PMingLiU" w:hAnsi="Times New Roman" w:cs="Times New Roman"/>
                <w:color w:val="000000" w:themeColor="text1"/>
                <w:sz w:val="20"/>
                <w:szCs w:val="20"/>
              </w:rPr>
              <w:t xml:space="preserve"> prevention and </w:t>
            </w:r>
            <w:r w:rsidR="008678C2" w:rsidRPr="001362A8">
              <w:rPr>
                <w:rFonts w:ascii="Times New Roman" w:eastAsia="PMingLiU" w:hAnsi="Times New Roman" w:cs="Times New Roman"/>
                <w:color w:val="000000" w:themeColor="text1"/>
                <w:sz w:val="20"/>
                <w:szCs w:val="20"/>
              </w:rPr>
              <w:t>control</w:t>
            </w:r>
            <w:r w:rsidR="009829DF" w:rsidRPr="001362A8">
              <w:rPr>
                <w:rFonts w:ascii="Times New Roman" w:eastAsia="PMingLiU" w:hAnsi="Times New Roman" w:cs="Times New Roman"/>
                <w:color w:val="000000" w:themeColor="text1"/>
                <w:sz w:val="20"/>
                <w:szCs w:val="20"/>
              </w:rPr>
              <w:t xml:space="preserve"> </w:t>
            </w:r>
            <w:r w:rsidR="008678C2" w:rsidRPr="001362A8">
              <w:rPr>
                <w:rFonts w:ascii="Times New Roman" w:eastAsia="PMingLiU" w:hAnsi="Times New Roman" w:cs="Times New Roman"/>
                <w:color w:val="000000" w:themeColor="text1"/>
                <w:sz w:val="20"/>
                <w:szCs w:val="20"/>
              </w:rPr>
              <w:t>program</w:t>
            </w:r>
          </w:p>
        </w:tc>
        <w:tc>
          <w:tcPr>
            <w:tcW w:w="6696" w:type="dxa"/>
            <w:tcBorders>
              <w:top w:val="single" w:sz="4" w:space="0" w:color="auto"/>
              <w:bottom w:val="nil"/>
            </w:tcBorders>
          </w:tcPr>
          <w:p w14:paraId="28DEBC6E" w14:textId="05471A0B" w:rsidR="00530733" w:rsidRPr="001362A8" w:rsidRDefault="001274F3"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Since 1984</w:t>
            </w:r>
            <w:r w:rsidR="00F35381" w:rsidRPr="001362A8">
              <w:rPr>
                <w:rFonts w:ascii="Times New Roman" w:eastAsia="PMingLiU" w:hAnsi="Times New Roman" w:cs="Times New Roman"/>
                <w:color w:val="000000" w:themeColor="text1"/>
                <w:sz w:val="20"/>
                <w:szCs w:val="20"/>
              </w:rPr>
              <w:t>,</w:t>
            </w:r>
            <w:r w:rsidRPr="001362A8">
              <w:rPr>
                <w:rFonts w:ascii="Times New Roman" w:eastAsia="PMingLiU" w:hAnsi="Times New Roman" w:cs="Times New Roman"/>
                <w:color w:val="000000" w:themeColor="text1"/>
                <w:sz w:val="20"/>
                <w:szCs w:val="20"/>
              </w:rPr>
              <w:t xml:space="preserve"> t</w:t>
            </w:r>
            <w:r w:rsidR="00BE331C" w:rsidRPr="001362A8">
              <w:rPr>
                <w:rFonts w:ascii="Times New Roman" w:eastAsia="PMingLiU" w:hAnsi="Times New Roman" w:cs="Times New Roman"/>
                <w:color w:val="000000" w:themeColor="text1"/>
                <w:sz w:val="20"/>
                <w:szCs w:val="20"/>
              </w:rPr>
              <w:t xml:space="preserve">he </w:t>
            </w:r>
            <w:r w:rsidR="00010F07" w:rsidRPr="001362A8">
              <w:rPr>
                <w:rFonts w:ascii="Times New Roman" w:eastAsia="PMingLiU" w:hAnsi="Times New Roman" w:cs="Times New Roman"/>
                <w:color w:val="000000" w:themeColor="text1"/>
                <w:sz w:val="20"/>
                <w:szCs w:val="20"/>
              </w:rPr>
              <w:t>Minist</w:t>
            </w:r>
            <w:r w:rsidR="00254BBD" w:rsidRPr="001362A8">
              <w:rPr>
                <w:rFonts w:ascii="Times New Roman" w:eastAsia="PMingLiU" w:hAnsi="Times New Roman" w:cs="Times New Roman"/>
                <w:color w:val="000000" w:themeColor="text1"/>
                <w:sz w:val="20"/>
                <w:szCs w:val="20"/>
              </w:rPr>
              <w:t>ry</w:t>
            </w:r>
            <w:r w:rsidR="00010F07" w:rsidRPr="001362A8">
              <w:rPr>
                <w:rFonts w:ascii="Times New Roman" w:eastAsia="PMingLiU" w:hAnsi="Times New Roman" w:cs="Times New Roman"/>
                <w:color w:val="000000" w:themeColor="text1"/>
                <w:sz w:val="20"/>
                <w:szCs w:val="20"/>
              </w:rPr>
              <w:t xml:space="preserve"> of Health </w:t>
            </w:r>
            <w:r w:rsidR="00C95702" w:rsidRPr="001362A8">
              <w:rPr>
                <w:rFonts w:ascii="Times New Roman" w:eastAsia="PMingLiU" w:hAnsi="Times New Roman" w:cs="Times New Roman"/>
                <w:color w:val="000000" w:themeColor="text1"/>
                <w:sz w:val="20"/>
                <w:szCs w:val="20"/>
              </w:rPr>
              <w:t xml:space="preserve">(now Ministry of Health and Welfare) </w:t>
            </w:r>
            <w:r w:rsidR="00010F07" w:rsidRPr="001362A8">
              <w:rPr>
                <w:rFonts w:ascii="Times New Roman" w:eastAsia="PMingLiU" w:hAnsi="Times New Roman" w:cs="Times New Roman"/>
                <w:color w:val="000000" w:themeColor="text1"/>
                <w:sz w:val="20"/>
                <w:szCs w:val="20"/>
              </w:rPr>
              <w:t>i</w:t>
            </w:r>
            <w:r w:rsidR="000B0C66" w:rsidRPr="001362A8">
              <w:rPr>
                <w:rFonts w:ascii="Times New Roman" w:eastAsia="PMingLiU" w:hAnsi="Times New Roman" w:cs="Times New Roman"/>
                <w:color w:val="000000" w:themeColor="text1"/>
                <w:sz w:val="20"/>
                <w:szCs w:val="20"/>
              </w:rPr>
              <w:t xml:space="preserve">nitiated </w:t>
            </w:r>
            <w:r w:rsidR="00D63494" w:rsidRPr="001362A8">
              <w:rPr>
                <w:rFonts w:ascii="Times New Roman" w:eastAsia="PMingLiU" w:hAnsi="Times New Roman" w:cs="Times New Roman"/>
                <w:color w:val="000000" w:themeColor="text1"/>
                <w:sz w:val="20"/>
                <w:szCs w:val="20"/>
              </w:rPr>
              <w:t xml:space="preserve">the </w:t>
            </w:r>
            <w:r w:rsidR="00010F07" w:rsidRPr="001362A8">
              <w:rPr>
                <w:rFonts w:ascii="Times New Roman" w:eastAsia="PMingLiU" w:hAnsi="Times New Roman" w:cs="Times New Roman"/>
                <w:color w:val="000000" w:themeColor="text1"/>
                <w:sz w:val="20"/>
                <w:szCs w:val="20"/>
              </w:rPr>
              <w:t xml:space="preserve">national </w:t>
            </w:r>
            <w:r w:rsidR="00B97EED" w:rsidRPr="001362A8">
              <w:rPr>
                <w:rFonts w:ascii="Times New Roman" w:eastAsia="PMingLiU" w:hAnsi="Times New Roman" w:cs="Times New Roman"/>
                <w:color w:val="000000" w:themeColor="text1"/>
                <w:sz w:val="20"/>
                <w:szCs w:val="20"/>
              </w:rPr>
              <w:t>IPC</w:t>
            </w:r>
            <w:r w:rsidR="00A6740D" w:rsidRPr="001362A8">
              <w:rPr>
                <w:rFonts w:ascii="Times New Roman" w:eastAsia="PMingLiU" w:hAnsi="Times New Roman" w:cs="Times New Roman"/>
                <w:color w:val="000000" w:themeColor="text1"/>
                <w:sz w:val="20"/>
                <w:szCs w:val="20"/>
              </w:rPr>
              <w:t xml:space="preserve"> </w:t>
            </w:r>
            <w:r w:rsidR="00010F07" w:rsidRPr="001362A8">
              <w:rPr>
                <w:rFonts w:ascii="Times New Roman" w:eastAsia="PMingLiU" w:hAnsi="Times New Roman" w:cs="Times New Roman"/>
                <w:color w:val="000000" w:themeColor="text1"/>
                <w:sz w:val="20"/>
                <w:szCs w:val="20"/>
              </w:rPr>
              <w:t>program</w:t>
            </w:r>
            <w:r w:rsidR="00A77C19" w:rsidRPr="001362A8">
              <w:rPr>
                <w:rFonts w:ascii="Times New Roman" w:eastAsia="PMingLiU" w:hAnsi="Times New Roman" w:cs="Times New Roman"/>
                <w:color w:val="000000" w:themeColor="text1"/>
                <w:sz w:val="20"/>
                <w:szCs w:val="20"/>
              </w:rPr>
              <w:t>,</w:t>
            </w:r>
            <w:r w:rsidR="00010F07" w:rsidRPr="001362A8">
              <w:rPr>
                <w:rFonts w:ascii="Times New Roman" w:eastAsia="PMingLiU" w:hAnsi="Times New Roman" w:cs="Times New Roman"/>
                <w:color w:val="000000" w:themeColor="text1"/>
                <w:sz w:val="20"/>
                <w:szCs w:val="20"/>
              </w:rPr>
              <w:t xml:space="preserve"> </w:t>
            </w:r>
            <w:r w:rsidR="00B37A78" w:rsidRPr="001362A8">
              <w:rPr>
                <w:rFonts w:ascii="Times New Roman" w:eastAsia="PMingLiU" w:hAnsi="Times New Roman" w:cs="Times New Roman"/>
                <w:color w:val="000000" w:themeColor="text1"/>
                <w:sz w:val="20"/>
                <w:szCs w:val="20"/>
              </w:rPr>
              <w:t>which included healthcare staff training</w:t>
            </w:r>
            <w:r w:rsidR="00B05BF7" w:rsidRPr="001362A8">
              <w:rPr>
                <w:rFonts w:ascii="Times New Roman" w:eastAsia="PMingLiU" w:hAnsi="Times New Roman" w:cs="Times New Roman"/>
                <w:color w:val="000000" w:themeColor="text1"/>
                <w:sz w:val="20"/>
                <w:szCs w:val="20"/>
              </w:rPr>
              <w:t>, infection control committee and hospital policies</w:t>
            </w:r>
            <w:r w:rsidR="00C9294B" w:rsidRPr="001362A8">
              <w:rPr>
                <w:rFonts w:ascii="Times New Roman" w:eastAsia="PMingLiU" w:hAnsi="Times New Roman" w:cs="Times New Roman"/>
                <w:color w:val="000000" w:themeColor="text1"/>
                <w:sz w:val="20"/>
                <w:szCs w:val="20"/>
              </w:rPr>
              <w:t xml:space="preserve"> </w:t>
            </w:r>
            <w:r w:rsidR="00C9294B" w:rsidRPr="001362A8">
              <w:rPr>
                <w:rFonts w:ascii="Times New Roman" w:eastAsia="PMingLiU" w:hAnsi="Times New Roman" w:cs="Times New Roman"/>
                <w:color w:val="000000" w:themeColor="text1"/>
                <w:sz w:val="20"/>
                <w:szCs w:val="20"/>
              </w:rPr>
              <w:fldChar w:fldCharType="begin"/>
            </w:r>
            <w:r w:rsidR="00C23E66" w:rsidRPr="001362A8">
              <w:rPr>
                <w:rFonts w:ascii="Times New Roman" w:eastAsia="PMingLiU" w:hAnsi="Times New Roman" w:cs="Times New Roman"/>
                <w:color w:val="000000" w:themeColor="text1"/>
                <w:sz w:val="20"/>
                <w:szCs w:val="20"/>
              </w:rPr>
              <w:instrText xml:space="preserve"> ADDIN EN.CITE &lt;EndNote&gt;&lt;Cite&gt;&lt;Author&gt;CDC&lt;/Author&gt;&lt;Year&gt;2014&lt;/Year&gt;&lt;RecNum&gt;122&lt;/RecNum&gt;&lt;DisplayText&gt;[1]&lt;/DisplayText&gt;&lt;record&gt;&lt;rec-number&gt;122&lt;/rec-number&gt;&lt;foreign-keys&gt;&lt;key app="EN" db-id="zewpdw50fw9pfdepetsv0fej2pvv2fspdsaf" timestamp="1521899902"&gt;122&lt;/key&gt;&lt;/foreign-keys&gt;&lt;ref-type name="Web Page"&gt;12&lt;/ref-type&gt;&lt;contributors&gt;&lt;authors&gt;&lt;author&gt;Taiwan CDC&lt;/author&gt;&lt;/authors&gt;&lt;/contributors&gt;&lt;titles&gt;&lt;title&gt;Infection Control Manual for Medical Care Facilities&lt;/title&gt;&lt;/titles&gt;&lt;volume&gt;2018&lt;/volume&gt;&lt;number&gt;3/24&lt;/number&gt;&lt;dates&gt;&lt;year&gt;2014&lt;/year&gt;&lt;/dates&gt;&lt;urls&gt;&lt;related-urls&gt;&lt;url&gt;https://www.cdc.gov.tw/professional/list.aspx?treeid=beac9c103df952c4&amp;amp;nowtreeid=52e2faab2576d7b1&lt;/url&gt;&lt;/related-urls&gt;&lt;/urls&gt;&lt;language&gt;Mandarin&lt;/language&gt;&lt;/record&gt;&lt;/Cite&gt;&lt;/EndNote&gt;</w:instrText>
            </w:r>
            <w:r w:rsidR="00C9294B" w:rsidRPr="001362A8">
              <w:rPr>
                <w:rFonts w:ascii="Times New Roman" w:eastAsia="PMingLiU" w:hAnsi="Times New Roman" w:cs="Times New Roman"/>
                <w:color w:val="000000" w:themeColor="text1"/>
                <w:sz w:val="20"/>
                <w:szCs w:val="20"/>
              </w:rPr>
              <w:fldChar w:fldCharType="separate"/>
            </w:r>
            <w:r w:rsidR="00C9294B" w:rsidRPr="001362A8">
              <w:rPr>
                <w:rFonts w:ascii="Times New Roman" w:eastAsia="PMingLiU" w:hAnsi="Times New Roman" w:cs="Times New Roman"/>
                <w:noProof/>
                <w:color w:val="000000" w:themeColor="text1"/>
                <w:sz w:val="20"/>
                <w:szCs w:val="20"/>
              </w:rPr>
              <w:t>[1]</w:t>
            </w:r>
            <w:r w:rsidR="00C9294B" w:rsidRPr="001362A8">
              <w:rPr>
                <w:rFonts w:ascii="Times New Roman" w:eastAsia="PMingLiU" w:hAnsi="Times New Roman" w:cs="Times New Roman"/>
                <w:color w:val="000000" w:themeColor="text1"/>
                <w:sz w:val="20"/>
                <w:szCs w:val="20"/>
              </w:rPr>
              <w:fldChar w:fldCharType="end"/>
            </w:r>
            <w:r w:rsidR="00010F07" w:rsidRPr="001362A8">
              <w:rPr>
                <w:rFonts w:ascii="Times New Roman" w:eastAsia="PMingLiU" w:hAnsi="Times New Roman" w:cs="Times New Roman"/>
                <w:color w:val="000000" w:themeColor="text1"/>
                <w:sz w:val="20"/>
                <w:szCs w:val="20"/>
              </w:rPr>
              <w:t>.</w:t>
            </w:r>
            <w:r w:rsidR="00B37A78" w:rsidRPr="001362A8">
              <w:rPr>
                <w:rFonts w:ascii="Times New Roman" w:eastAsia="PMingLiU" w:hAnsi="Times New Roman" w:cs="Times New Roman"/>
                <w:color w:val="000000" w:themeColor="text1"/>
                <w:sz w:val="20"/>
                <w:szCs w:val="20"/>
              </w:rPr>
              <w:t xml:space="preserve"> </w:t>
            </w:r>
            <w:r w:rsidR="009C2B50" w:rsidRPr="001362A8">
              <w:rPr>
                <w:rFonts w:ascii="Times New Roman" w:eastAsia="PMingLiU" w:hAnsi="Times New Roman" w:cs="Times New Roman"/>
                <w:color w:val="000000" w:themeColor="text1"/>
                <w:sz w:val="20"/>
                <w:szCs w:val="20"/>
              </w:rPr>
              <w:t>Since 2004</w:t>
            </w:r>
            <w:r w:rsidR="00F35381" w:rsidRPr="001362A8">
              <w:rPr>
                <w:rFonts w:ascii="Times New Roman" w:eastAsia="PMingLiU" w:hAnsi="Times New Roman" w:cs="Times New Roman"/>
                <w:color w:val="000000" w:themeColor="text1"/>
                <w:sz w:val="20"/>
                <w:szCs w:val="20"/>
              </w:rPr>
              <w:t>,</w:t>
            </w:r>
            <w:r w:rsidR="009C2B50" w:rsidRPr="001362A8">
              <w:rPr>
                <w:rFonts w:ascii="Times New Roman" w:eastAsia="PMingLiU" w:hAnsi="Times New Roman" w:cs="Times New Roman"/>
                <w:color w:val="000000" w:themeColor="text1"/>
                <w:sz w:val="20"/>
                <w:szCs w:val="20"/>
              </w:rPr>
              <w:t xml:space="preserve"> </w:t>
            </w:r>
            <w:r w:rsidR="00CF7FD5" w:rsidRPr="001362A8">
              <w:rPr>
                <w:rFonts w:ascii="Times New Roman" w:eastAsia="PMingLiU" w:hAnsi="Times New Roman" w:cs="Times New Roman"/>
                <w:color w:val="000000" w:themeColor="text1"/>
                <w:sz w:val="20"/>
                <w:szCs w:val="20"/>
              </w:rPr>
              <w:t xml:space="preserve">national </w:t>
            </w:r>
            <w:r w:rsidR="009C2B50" w:rsidRPr="001362A8">
              <w:rPr>
                <w:rFonts w:ascii="Times New Roman" w:eastAsia="PMingLiU" w:hAnsi="Times New Roman" w:cs="Times New Roman"/>
                <w:color w:val="000000" w:themeColor="text1"/>
                <w:sz w:val="20"/>
                <w:szCs w:val="20"/>
              </w:rPr>
              <w:t>actions to enhance</w:t>
            </w:r>
            <w:r w:rsidR="00CF7FD5" w:rsidRPr="001362A8">
              <w:rPr>
                <w:rFonts w:ascii="Times New Roman" w:eastAsia="PMingLiU" w:hAnsi="Times New Roman" w:cs="Times New Roman"/>
                <w:color w:val="000000" w:themeColor="text1"/>
                <w:sz w:val="20"/>
                <w:szCs w:val="20"/>
              </w:rPr>
              <w:t xml:space="preserve"> </w:t>
            </w:r>
            <w:r w:rsidR="00A6740D" w:rsidRPr="001362A8">
              <w:rPr>
                <w:rFonts w:ascii="Times New Roman" w:eastAsia="PMingLiU" w:hAnsi="Times New Roman" w:cs="Times New Roman"/>
                <w:color w:val="000000" w:themeColor="text1"/>
                <w:sz w:val="20"/>
                <w:szCs w:val="20"/>
              </w:rPr>
              <w:t>IPC</w:t>
            </w:r>
            <w:r w:rsidR="00F931C2" w:rsidRPr="001362A8">
              <w:rPr>
                <w:rFonts w:ascii="Times New Roman" w:eastAsia="PMingLiU" w:hAnsi="Times New Roman" w:cs="Times New Roman"/>
                <w:color w:val="000000" w:themeColor="text1"/>
                <w:sz w:val="20"/>
                <w:szCs w:val="20"/>
              </w:rPr>
              <w:t xml:space="preserve"> activities</w:t>
            </w:r>
            <w:r w:rsidR="009C2B50" w:rsidRPr="001362A8">
              <w:rPr>
                <w:rFonts w:ascii="Times New Roman" w:eastAsia="PMingLiU" w:hAnsi="Times New Roman" w:cs="Times New Roman"/>
                <w:color w:val="000000" w:themeColor="text1"/>
                <w:sz w:val="20"/>
                <w:szCs w:val="20"/>
              </w:rPr>
              <w:t xml:space="preserve"> include</w:t>
            </w:r>
            <w:r w:rsidR="00A6740D" w:rsidRPr="001362A8">
              <w:rPr>
                <w:rFonts w:ascii="Times New Roman" w:eastAsia="PMingLiU" w:hAnsi="Times New Roman" w:cs="Times New Roman"/>
                <w:color w:val="000000" w:themeColor="text1"/>
                <w:sz w:val="20"/>
                <w:szCs w:val="20"/>
              </w:rPr>
              <w:t>d</w:t>
            </w:r>
            <w:r w:rsidR="009C2B50" w:rsidRPr="001362A8">
              <w:rPr>
                <w:rFonts w:ascii="Times New Roman" w:eastAsia="PMingLiU" w:hAnsi="Times New Roman" w:cs="Times New Roman"/>
                <w:color w:val="000000" w:themeColor="text1"/>
                <w:sz w:val="20"/>
                <w:szCs w:val="20"/>
              </w:rPr>
              <w:t xml:space="preserve"> organizational changes and incentives</w:t>
            </w:r>
            <w:r w:rsidR="00CF7FD5" w:rsidRPr="001362A8">
              <w:rPr>
                <w:rFonts w:ascii="Times New Roman" w:eastAsia="PMingLiU" w:hAnsi="Times New Roman" w:cs="Times New Roman"/>
                <w:color w:val="000000" w:themeColor="text1"/>
                <w:sz w:val="20"/>
                <w:szCs w:val="20"/>
              </w:rPr>
              <w:t xml:space="preserve"> provided by the national health insurance program</w:t>
            </w:r>
            <w:r w:rsidR="009C2B50" w:rsidRPr="001362A8">
              <w:rPr>
                <w:rFonts w:ascii="Times New Roman" w:eastAsia="PMingLiU" w:hAnsi="Times New Roman" w:cs="Times New Roman"/>
                <w:color w:val="000000" w:themeColor="text1"/>
                <w:sz w:val="20"/>
                <w:szCs w:val="20"/>
              </w:rPr>
              <w:t xml:space="preserve">, enhanced </w:t>
            </w:r>
            <w:r w:rsidR="00A6740D" w:rsidRPr="001362A8">
              <w:rPr>
                <w:rFonts w:ascii="Times New Roman" w:eastAsia="PMingLiU" w:hAnsi="Times New Roman" w:cs="Times New Roman"/>
                <w:color w:val="000000" w:themeColor="text1"/>
                <w:sz w:val="20"/>
                <w:szCs w:val="20"/>
              </w:rPr>
              <w:t>IPC</w:t>
            </w:r>
            <w:r w:rsidR="009C2B50" w:rsidRPr="001362A8">
              <w:rPr>
                <w:rFonts w:ascii="Times New Roman" w:eastAsia="PMingLiU" w:hAnsi="Times New Roman" w:cs="Times New Roman"/>
                <w:color w:val="000000" w:themeColor="text1"/>
                <w:sz w:val="20"/>
                <w:szCs w:val="20"/>
              </w:rPr>
              <w:t xml:space="preserve"> and strengthening the </w:t>
            </w:r>
            <w:r w:rsidR="00CF7FD5" w:rsidRPr="001362A8">
              <w:rPr>
                <w:rFonts w:ascii="Times New Roman" w:eastAsia="PMingLiU" w:hAnsi="Times New Roman" w:cs="Times New Roman"/>
                <w:color w:val="000000" w:themeColor="text1"/>
                <w:sz w:val="20"/>
                <w:szCs w:val="20"/>
              </w:rPr>
              <w:t>preparedness of emerging infectious diseases in</w:t>
            </w:r>
            <w:r w:rsidR="009C2B50" w:rsidRPr="001362A8">
              <w:rPr>
                <w:rFonts w:ascii="Times New Roman" w:eastAsia="PMingLiU" w:hAnsi="Times New Roman" w:cs="Times New Roman"/>
                <w:color w:val="000000" w:themeColor="text1"/>
                <w:sz w:val="20"/>
                <w:szCs w:val="20"/>
              </w:rPr>
              <w:t xml:space="preserve"> frontline healthcare facilities</w:t>
            </w:r>
            <w:r w:rsidR="00D13232" w:rsidRPr="001362A8">
              <w:rPr>
                <w:rFonts w:ascii="Times New Roman" w:eastAsia="PMingLiU" w:hAnsi="Times New Roman" w:cs="Times New Roman"/>
                <w:color w:val="000000" w:themeColor="text1"/>
                <w:sz w:val="20"/>
                <w:szCs w:val="20"/>
              </w:rPr>
              <w:t xml:space="preserve"> </w:t>
            </w:r>
            <w:r w:rsidR="00D13232" w:rsidRPr="001362A8">
              <w:rPr>
                <w:rFonts w:ascii="Times New Roman" w:eastAsia="PMingLiU" w:hAnsi="Times New Roman" w:cs="Times New Roman"/>
                <w:color w:val="000000" w:themeColor="text1"/>
                <w:sz w:val="20"/>
                <w:szCs w:val="20"/>
              </w:rPr>
              <w:fldChar w:fldCharType="begin"/>
            </w:r>
            <w:r w:rsidR="00C23E66" w:rsidRPr="001362A8">
              <w:rPr>
                <w:rFonts w:ascii="Times New Roman" w:eastAsia="PMingLiU" w:hAnsi="Times New Roman" w:cs="Times New Roman"/>
                <w:color w:val="000000" w:themeColor="text1"/>
                <w:sz w:val="20"/>
                <w:szCs w:val="20"/>
              </w:rPr>
              <w:instrText xml:space="preserve"> ADDIN EN.CITE &lt;EndNote&gt;&lt;Cite&gt;&lt;Author&gt;CDC&lt;/Author&gt;&lt;Year&gt;2008&lt;/Year&gt;&lt;RecNum&gt;120&lt;/RecNum&gt;&lt;DisplayText&gt;[2]&lt;/DisplayText&gt;&lt;record&gt;&lt;rec-number&gt;120&lt;/rec-number&gt;&lt;foreign-keys&gt;&lt;key app="EN" db-id="zewpdw50fw9pfdepetsv0fej2pvv2fspdsaf" timestamp="1521888029"&gt;120&lt;/key&gt;&lt;/foreign-keys&gt;&lt;ref-type name="Web Page"&gt;12&lt;/ref-type&gt;&lt;contributors&gt;&lt;authors&gt;&lt;author&gt;CDC, Taiwan&lt;/author&gt;&lt;/authors&gt;&lt;/contributors&gt;&lt;titles&gt;&lt;title&gt;Regulation of infection control in medical facilities&lt;/title&gt;&lt;/titles&gt;&lt;volume&gt;2018&lt;/volume&gt;&lt;number&gt;3/24&lt;/number&gt;&lt;dates&gt;&lt;year&gt;2008&lt;/year&gt;&lt;/dates&gt;&lt;urls&gt;&lt;related-urls&gt;&lt;url&gt;www.cdc.gov.tw/professional/downloadfile.aspx?fid=9F265771F1EE004E&lt;/url&gt;&lt;/related-urls&gt;&lt;/urls&gt;&lt;/record&gt;&lt;/Cite&gt;&lt;/EndNote&gt;</w:instrText>
            </w:r>
            <w:r w:rsidR="00D13232" w:rsidRPr="001362A8">
              <w:rPr>
                <w:rFonts w:ascii="Times New Roman" w:eastAsia="PMingLiU" w:hAnsi="Times New Roman" w:cs="Times New Roman"/>
                <w:color w:val="000000" w:themeColor="text1"/>
                <w:sz w:val="20"/>
                <w:szCs w:val="20"/>
              </w:rPr>
              <w:fldChar w:fldCharType="separate"/>
            </w:r>
            <w:r w:rsidR="00D13232" w:rsidRPr="001362A8">
              <w:rPr>
                <w:rFonts w:ascii="Times New Roman" w:eastAsia="PMingLiU" w:hAnsi="Times New Roman" w:cs="Times New Roman"/>
                <w:noProof/>
                <w:color w:val="000000" w:themeColor="text1"/>
                <w:sz w:val="20"/>
                <w:szCs w:val="20"/>
              </w:rPr>
              <w:t>[2]</w:t>
            </w:r>
            <w:r w:rsidR="00D13232" w:rsidRPr="001362A8">
              <w:rPr>
                <w:rFonts w:ascii="Times New Roman" w:eastAsia="PMingLiU" w:hAnsi="Times New Roman" w:cs="Times New Roman"/>
                <w:color w:val="000000" w:themeColor="text1"/>
                <w:sz w:val="20"/>
                <w:szCs w:val="20"/>
              </w:rPr>
              <w:fldChar w:fldCharType="end"/>
            </w:r>
            <w:r w:rsidR="009C2B50" w:rsidRPr="001362A8">
              <w:rPr>
                <w:rFonts w:ascii="Times New Roman" w:eastAsia="PMingLiU" w:hAnsi="Times New Roman" w:cs="Times New Roman"/>
                <w:color w:val="000000" w:themeColor="text1"/>
                <w:sz w:val="20"/>
                <w:szCs w:val="20"/>
              </w:rPr>
              <w:t>.</w:t>
            </w:r>
          </w:p>
        </w:tc>
      </w:tr>
      <w:tr w:rsidR="001362A8" w:rsidRPr="001362A8" w14:paraId="5DD6261F" w14:textId="77777777" w:rsidTr="001A1D4B">
        <w:trPr>
          <w:trHeight w:val="665"/>
        </w:trPr>
        <w:tc>
          <w:tcPr>
            <w:tcW w:w="1101" w:type="dxa"/>
            <w:vMerge/>
            <w:tcBorders>
              <w:top w:val="single" w:sz="4" w:space="0" w:color="auto"/>
            </w:tcBorders>
          </w:tcPr>
          <w:p w14:paraId="1833A8C6"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10DE6443" w14:textId="634D25DF"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Infectious Disease Prevention Act on </w:t>
            </w:r>
            <w:r w:rsidR="003718DC" w:rsidRPr="001362A8">
              <w:rPr>
                <w:rFonts w:ascii="Times New Roman" w:eastAsia="PMingLiU" w:hAnsi="Times New Roman" w:cs="Times New Roman"/>
                <w:color w:val="000000" w:themeColor="text1"/>
                <w:sz w:val="20"/>
                <w:szCs w:val="20"/>
              </w:rPr>
              <w:t xml:space="preserve">ICP </w:t>
            </w:r>
            <w:r w:rsidRPr="001362A8">
              <w:rPr>
                <w:rFonts w:ascii="Times New Roman" w:eastAsia="PMingLiU" w:hAnsi="Times New Roman" w:cs="Times New Roman"/>
                <w:color w:val="000000" w:themeColor="text1"/>
                <w:sz w:val="20"/>
                <w:szCs w:val="20"/>
              </w:rPr>
              <w:t>staffing</w:t>
            </w:r>
          </w:p>
        </w:tc>
        <w:tc>
          <w:tcPr>
            <w:tcW w:w="6696" w:type="dxa"/>
            <w:tcBorders>
              <w:top w:val="single" w:sz="4" w:space="0" w:color="auto"/>
              <w:bottom w:val="nil"/>
            </w:tcBorders>
          </w:tcPr>
          <w:p w14:paraId="3EB917E3" w14:textId="351558CD"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hAnsi="Times New Roman" w:cs="Times New Roman"/>
                <w:color w:val="000000" w:themeColor="text1"/>
                <w:sz w:val="20"/>
                <w:szCs w:val="20"/>
              </w:rPr>
              <w:t>Since 1984, e</w:t>
            </w:r>
            <w:r w:rsidR="002C5627" w:rsidRPr="001362A8">
              <w:rPr>
                <w:rFonts w:ascii="Times New Roman" w:hAnsi="Times New Roman" w:cs="Times New Roman"/>
                <w:color w:val="000000" w:themeColor="text1"/>
                <w:sz w:val="20"/>
                <w:szCs w:val="20"/>
              </w:rPr>
              <w:t>very</w:t>
            </w:r>
            <w:r w:rsidRPr="001362A8">
              <w:rPr>
                <w:rFonts w:ascii="Times New Roman" w:hAnsi="Times New Roman" w:cs="Times New Roman"/>
                <w:color w:val="000000" w:themeColor="text1"/>
                <w:sz w:val="20"/>
                <w:szCs w:val="20"/>
              </w:rPr>
              <w:t xml:space="preserve"> </w:t>
            </w:r>
            <w:r w:rsidR="00F0319E" w:rsidRPr="001362A8">
              <w:rPr>
                <w:rFonts w:ascii="Times New Roman" w:hAnsi="Times New Roman" w:cs="Times New Roman"/>
                <w:color w:val="000000" w:themeColor="text1"/>
                <w:sz w:val="20"/>
                <w:szCs w:val="20"/>
              </w:rPr>
              <w:t xml:space="preserve">teaching </w:t>
            </w:r>
            <w:r w:rsidRPr="001362A8">
              <w:rPr>
                <w:rFonts w:ascii="Times New Roman" w:hAnsi="Times New Roman" w:cs="Times New Roman"/>
                <w:color w:val="000000" w:themeColor="text1"/>
                <w:sz w:val="20"/>
                <w:szCs w:val="20"/>
              </w:rPr>
              <w:t>hospital is required to have one full-time equivalent</w:t>
            </w:r>
            <w:r w:rsidR="001274F3" w:rsidRPr="001362A8">
              <w:rPr>
                <w:rFonts w:ascii="Times New Roman" w:hAnsi="Times New Roman" w:cs="Times New Roman"/>
                <w:color w:val="000000" w:themeColor="text1"/>
                <w:sz w:val="20"/>
                <w:szCs w:val="20"/>
              </w:rPr>
              <w:t xml:space="preserve"> </w:t>
            </w:r>
            <w:r w:rsidR="00B97EED" w:rsidRPr="001362A8">
              <w:rPr>
                <w:rFonts w:ascii="Times New Roman" w:hAnsi="Times New Roman" w:cs="Times New Roman"/>
                <w:color w:val="000000" w:themeColor="text1"/>
                <w:sz w:val="20"/>
                <w:szCs w:val="20"/>
              </w:rPr>
              <w:t xml:space="preserve">ICN </w:t>
            </w:r>
            <w:r w:rsidRPr="001362A8">
              <w:rPr>
                <w:rFonts w:ascii="Times New Roman" w:hAnsi="Times New Roman" w:cs="Times New Roman"/>
                <w:color w:val="000000" w:themeColor="text1"/>
                <w:sz w:val="20"/>
                <w:szCs w:val="20"/>
              </w:rPr>
              <w:t>per 300 hospital beds</w:t>
            </w:r>
            <w:r w:rsidRPr="001362A8">
              <w:rPr>
                <w:rFonts w:ascii="Times New Roman" w:eastAsia="PMingLiU"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fldChar w:fldCharType="begin"/>
            </w:r>
            <w:r w:rsidRPr="001362A8">
              <w:rPr>
                <w:rFonts w:ascii="Times New Roman" w:eastAsia="PMingLiU" w:hAnsi="Times New Roman" w:cs="Times New Roman"/>
                <w:color w:val="000000" w:themeColor="text1"/>
                <w:sz w:val="20"/>
                <w:szCs w:val="20"/>
              </w:rPr>
              <w:instrText xml:space="preserve"> ADDIN EN.CITE &lt;EndNote&gt;&lt;Cite&gt;&lt;Author&gt;CDC&lt;/Author&gt;&lt;Year&gt;2014&lt;/Year&gt;&lt;RecNum&gt;122&lt;/RecNum&gt;&lt;DisplayText&gt;[1]&lt;/DisplayText&gt;&lt;record&gt;&lt;rec-number&gt;122&lt;/rec-number&gt;&lt;foreign-keys&gt;&lt;key app="EN" db-id="zewpdw50fw9pfdepetsv0fej2pvv2fspdsaf" timestamp="1521899902"&gt;122&lt;/key&gt;&lt;/foreign-keys&gt;&lt;ref-type name="Web Page"&gt;12&lt;/ref-type&gt;&lt;contributors&gt;&lt;authors&gt;&lt;author&gt;Taiwan CDC&lt;/author&gt;&lt;/authors&gt;&lt;/contributors&gt;&lt;titles&gt;&lt;title&gt;Infection Control Manual for Medical Care Facilities&lt;/title&gt;&lt;/titles&gt;&lt;volume&gt;2018&lt;/volume&gt;&lt;number&gt;3/24&lt;/number&gt;&lt;dates&gt;&lt;year&gt;2014&lt;/year&gt;&lt;/dates&gt;&lt;urls&gt;&lt;related-urls&gt;&lt;url&gt;https://www.cdc.gov.tw/professional/list.aspx?treeid=beac9c103df952c4&amp;amp;nowtreeid=52e2faab2576d7b1&lt;/url&gt;&lt;/related-urls&gt;&lt;/urls&gt;&lt;language&gt;Mandarin&lt;/language&gt;&lt;/record&gt;&lt;/Cite&gt;&lt;/EndNote&gt;</w:instrText>
            </w:r>
            <w:r w:rsidRPr="001362A8">
              <w:rPr>
                <w:rFonts w:ascii="Times New Roman" w:eastAsia="PMingLiU" w:hAnsi="Times New Roman" w:cs="Times New Roman"/>
                <w:color w:val="000000" w:themeColor="text1"/>
                <w:sz w:val="20"/>
                <w:szCs w:val="20"/>
              </w:rPr>
              <w:fldChar w:fldCharType="separate"/>
            </w:r>
            <w:r w:rsidRPr="001362A8">
              <w:rPr>
                <w:rFonts w:ascii="Times New Roman" w:eastAsia="PMingLiU" w:hAnsi="Times New Roman" w:cs="Times New Roman"/>
                <w:noProof/>
                <w:color w:val="000000" w:themeColor="text1"/>
                <w:sz w:val="20"/>
                <w:szCs w:val="20"/>
              </w:rPr>
              <w:t>[1]</w:t>
            </w:r>
            <w:r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w:t>
            </w:r>
            <w:r w:rsidRPr="001362A8">
              <w:rPr>
                <w:rFonts w:ascii="Times New Roman" w:hAnsi="Times New Roman" w:cs="Times New Roman"/>
                <w:color w:val="000000" w:themeColor="text1"/>
                <w:sz w:val="20"/>
                <w:szCs w:val="20"/>
              </w:rPr>
              <w:t xml:space="preserve"> </w:t>
            </w:r>
            <w:r w:rsidR="007E1BE1" w:rsidRPr="001362A8">
              <w:rPr>
                <w:rFonts w:ascii="Times New Roman" w:hAnsi="Times New Roman" w:cs="Times New Roman"/>
                <w:color w:val="000000" w:themeColor="text1"/>
                <w:sz w:val="20"/>
                <w:szCs w:val="20"/>
              </w:rPr>
              <w:t>Since 2004</w:t>
            </w:r>
            <w:r w:rsidRPr="001362A8">
              <w:rPr>
                <w:rFonts w:ascii="Times New Roman" w:hAnsi="Times New Roman" w:cs="Times New Roman"/>
                <w:color w:val="000000" w:themeColor="text1"/>
                <w:sz w:val="20"/>
                <w:szCs w:val="20"/>
              </w:rPr>
              <w:t xml:space="preserve">, hospitals with more than 500 beds are required to have at least one </w:t>
            </w:r>
            <w:r w:rsidR="00B97EED" w:rsidRPr="001362A8">
              <w:rPr>
                <w:rFonts w:ascii="Times New Roman" w:hAnsi="Times New Roman" w:cs="Times New Roman"/>
                <w:color w:val="000000" w:themeColor="text1"/>
                <w:sz w:val="20"/>
                <w:szCs w:val="20"/>
              </w:rPr>
              <w:t>ICD</w:t>
            </w:r>
            <w:r w:rsidRPr="001362A8">
              <w:rPr>
                <w:rFonts w:ascii="Times New Roman" w:hAnsi="Times New Roman" w:cs="Times New Roman"/>
                <w:color w:val="000000" w:themeColor="text1"/>
                <w:sz w:val="20"/>
                <w:szCs w:val="20"/>
              </w:rPr>
              <w:t>, and hospitals with more than 300 beds are required to have at least one ICN</w:t>
            </w:r>
            <w:r w:rsidR="00237068" w:rsidRPr="001362A8">
              <w:rPr>
                <w:rFonts w:ascii="Times New Roman" w:hAnsi="Times New Roman" w:cs="Times New Roman"/>
                <w:color w:val="000000" w:themeColor="text1"/>
                <w:sz w:val="20"/>
                <w:szCs w:val="20"/>
              </w:rPr>
              <w:t xml:space="preserve"> per 250 beds</w:t>
            </w:r>
            <w:r w:rsidRPr="001362A8">
              <w:rPr>
                <w:rFonts w:ascii="Times New Roman" w:hAnsi="Times New Roman" w:cs="Times New Roman"/>
                <w:color w:val="000000" w:themeColor="text1"/>
                <w:sz w:val="20"/>
                <w:szCs w:val="20"/>
              </w:rPr>
              <w:t xml:space="preserve"> </w:t>
            </w:r>
            <w:r w:rsidRPr="001362A8">
              <w:rPr>
                <w:rFonts w:ascii="Times New Roman" w:hAnsi="Times New Roman" w:cs="Times New Roman"/>
                <w:color w:val="000000" w:themeColor="text1"/>
                <w:sz w:val="20"/>
                <w:szCs w:val="20"/>
              </w:rPr>
              <w:fldChar w:fldCharType="begin"/>
            </w:r>
            <w:r w:rsidR="0061401A" w:rsidRPr="001362A8">
              <w:rPr>
                <w:rFonts w:ascii="Times New Roman" w:hAnsi="Times New Roman" w:cs="Times New Roman"/>
                <w:color w:val="000000" w:themeColor="text1"/>
                <w:sz w:val="20"/>
                <w:szCs w:val="20"/>
              </w:rPr>
              <w:instrText xml:space="preserve"> ADDIN EN.CITE &lt;EndNote&gt;&lt;Cite&gt;&lt;Author&gt;CDC&lt;/Author&gt;&lt;Year&gt;2008&lt;/Year&gt;&lt;RecNum&gt;120&lt;/RecNum&gt;&lt;DisplayText&gt;[2]&lt;/DisplayText&gt;&lt;record&gt;&lt;rec-number&gt;120&lt;/rec-number&gt;&lt;foreign-keys&gt;&lt;key app="EN" db-id="zewpdw50fw9pfdepetsv0fej2pvv2fspdsaf" timestamp="1521888029"&gt;120&lt;/key&gt;&lt;/foreign-keys&gt;&lt;ref-type name="Web Page"&gt;12&lt;/ref-type&gt;&lt;contributors&gt;&lt;authors&gt;&lt;author&gt;CDC, Taiwan&lt;/author&gt;&lt;/authors&gt;&lt;/contributors&gt;&lt;titles&gt;&lt;title&gt;Regulation of infection control in medical facilities&lt;/title&gt;&lt;/titles&gt;&lt;volume&gt;2018&lt;/volume&gt;&lt;number&gt;3/24&lt;/number&gt;&lt;dates&gt;&lt;year&gt;2008&lt;/year&gt;&lt;/dates&gt;&lt;urls&gt;&lt;related-urls&gt;&lt;url&gt;www.cdc.gov.tw/professional/downloadfile.aspx?fid=9F265771F1EE004E&lt;/url&gt;&lt;/related-urls&gt;&lt;/urls&gt;&lt;/record&gt;&lt;/Cite&gt;&lt;/EndNote&gt;</w:instrText>
            </w:r>
            <w:r w:rsidRPr="001362A8">
              <w:rPr>
                <w:rFonts w:ascii="Times New Roman" w:hAnsi="Times New Roman" w:cs="Times New Roman"/>
                <w:color w:val="000000" w:themeColor="text1"/>
                <w:sz w:val="20"/>
                <w:szCs w:val="20"/>
              </w:rPr>
              <w:fldChar w:fldCharType="separate"/>
            </w:r>
            <w:r w:rsidR="0061401A" w:rsidRPr="001362A8">
              <w:rPr>
                <w:rFonts w:ascii="Times New Roman" w:hAnsi="Times New Roman" w:cs="Times New Roman"/>
                <w:noProof/>
                <w:color w:val="000000" w:themeColor="text1"/>
                <w:sz w:val="20"/>
                <w:szCs w:val="20"/>
              </w:rPr>
              <w:t>[2]</w:t>
            </w:r>
            <w:r w:rsidRPr="001362A8">
              <w:rPr>
                <w:rFonts w:ascii="Times New Roman" w:hAnsi="Times New Roman" w:cs="Times New Roman"/>
                <w:color w:val="000000" w:themeColor="text1"/>
                <w:sz w:val="20"/>
                <w:szCs w:val="20"/>
              </w:rPr>
              <w:fldChar w:fldCharType="end"/>
            </w:r>
            <w:r w:rsidRPr="001362A8">
              <w:rPr>
                <w:rFonts w:ascii="Times New Roman" w:hAnsi="Times New Roman" w:cs="Times New Roman"/>
                <w:color w:val="000000" w:themeColor="text1"/>
                <w:sz w:val="20"/>
                <w:szCs w:val="20"/>
              </w:rPr>
              <w:t xml:space="preserve">. In 2017, hospitals with more than 500 beds are encouraged to have one ICD for every 300 beds and one ICN for every 250 beds </w:t>
            </w:r>
            <w:r w:rsidRPr="001362A8">
              <w:rPr>
                <w:rFonts w:ascii="Times New Roman" w:hAnsi="Times New Roman" w:cs="Times New Roman"/>
                <w:color w:val="000000" w:themeColor="text1"/>
                <w:sz w:val="20"/>
                <w:szCs w:val="20"/>
              </w:rPr>
              <w:fldChar w:fldCharType="begin"/>
            </w:r>
            <w:r w:rsidR="0061401A" w:rsidRPr="001362A8">
              <w:rPr>
                <w:rFonts w:ascii="Times New Roman" w:hAnsi="Times New Roman" w:cs="Times New Roman"/>
                <w:color w:val="000000" w:themeColor="text1"/>
                <w:sz w:val="20"/>
                <w:szCs w:val="20"/>
              </w:rPr>
              <w:instrText xml:space="preserve"> ADDIN EN.CITE &lt;EndNote&gt;&lt;Cite&gt;&lt;Author&gt;CDC&lt;/Author&gt;&lt;Year&gt;2017&lt;/Year&gt;&lt;RecNum&gt;121&lt;/RecNum&gt;&lt;DisplayText&gt;[3]&lt;/DisplayText&gt;&lt;record&gt;&lt;rec-number&gt;121&lt;/rec-number&gt;&lt;foreign-keys&gt;&lt;key app="EN" db-id="zewpdw50fw9pfdepetsv0fej2pvv2fspdsaf" timestamp="1521888074"&gt;121&lt;/key&gt;&lt;/foreign-keys&gt;&lt;ref-type name="Web Page"&gt;12&lt;/ref-type&gt;&lt;contributors&gt;&lt;authors&gt;&lt;author&gt;CDC, Taiwan&lt;/author&gt;&lt;/authors&gt;&lt;/contributors&gt;&lt;titles&gt;&lt;title&gt;Regulation of infection control in medical facilities&lt;/title&gt;&lt;/titles&gt;&lt;volume&gt;2018&lt;/volume&gt;&lt;number&gt;3/24&lt;/number&gt;&lt;dates&gt;&lt;year&gt;2017&lt;/year&gt;&lt;/dates&gt;&lt;urls&gt;&lt;related-urls&gt;&lt;url&gt;https://www.cdc.gov.tw/professional/info.aspx?treeid=beac9c103df952c4&amp;amp;nowtreeid=bd387fa55fef03f0&amp;amp;tid=DBE92A531EC6E44A&lt;/url&gt;&lt;/related-urls&gt;&lt;/urls&gt;&lt;/record&gt;&lt;/Cite&gt;&lt;/EndNote&gt;</w:instrText>
            </w:r>
            <w:r w:rsidRPr="001362A8">
              <w:rPr>
                <w:rFonts w:ascii="Times New Roman" w:hAnsi="Times New Roman" w:cs="Times New Roman"/>
                <w:color w:val="000000" w:themeColor="text1"/>
                <w:sz w:val="20"/>
                <w:szCs w:val="20"/>
              </w:rPr>
              <w:fldChar w:fldCharType="separate"/>
            </w:r>
            <w:r w:rsidR="0061401A" w:rsidRPr="001362A8">
              <w:rPr>
                <w:rFonts w:ascii="Times New Roman" w:hAnsi="Times New Roman" w:cs="Times New Roman"/>
                <w:noProof/>
                <w:color w:val="000000" w:themeColor="text1"/>
                <w:sz w:val="20"/>
                <w:szCs w:val="20"/>
              </w:rPr>
              <w:t>[3]</w:t>
            </w:r>
            <w:r w:rsidRPr="001362A8">
              <w:rPr>
                <w:rFonts w:ascii="Times New Roman" w:hAnsi="Times New Roman" w:cs="Times New Roman"/>
                <w:color w:val="000000" w:themeColor="text1"/>
                <w:sz w:val="20"/>
                <w:szCs w:val="20"/>
              </w:rPr>
              <w:fldChar w:fldCharType="end"/>
            </w:r>
            <w:r w:rsidRPr="001362A8">
              <w:rPr>
                <w:rFonts w:ascii="Times New Roman" w:hAnsi="Times New Roman" w:cs="Times New Roman"/>
                <w:color w:val="000000" w:themeColor="text1"/>
                <w:sz w:val="20"/>
                <w:szCs w:val="20"/>
              </w:rPr>
              <w:t>.</w:t>
            </w:r>
          </w:p>
        </w:tc>
      </w:tr>
      <w:tr w:rsidR="001362A8" w:rsidRPr="001362A8" w14:paraId="6D32FAC8" w14:textId="77777777" w:rsidTr="001A1D4B">
        <w:trPr>
          <w:trHeight w:val="665"/>
        </w:trPr>
        <w:tc>
          <w:tcPr>
            <w:tcW w:w="1101" w:type="dxa"/>
            <w:vMerge/>
            <w:tcBorders>
              <w:top w:val="single" w:sz="4" w:space="0" w:color="auto"/>
            </w:tcBorders>
          </w:tcPr>
          <w:p w14:paraId="7B81581D"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2C1E3D1C" w14:textId="77777777"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Audit and accreditation</w:t>
            </w:r>
          </w:p>
        </w:tc>
        <w:tc>
          <w:tcPr>
            <w:tcW w:w="6696" w:type="dxa"/>
            <w:tcBorders>
              <w:top w:val="single" w:sz="4" w:space="0" w:color="auto"/>
              <w:bottom w:val="nil"/>
            </w:tcBorders>
          </w:tcPr>
          <w:p w14:paraId="1F1B164B" w14:textId="600B686D" w:rsidR="000B0C66" w:rsidRPr="001362A8" w:rsidRDefault="001274F3"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Since 1984</w:t>
            </w:r>
            <w:r w:rsidR="005E6867" w:rsidRPr="001362A8">
              <w:rPr>
                <w:rFonts w:ascii="Times New Roman" w:eastAsia="PMingLiU" w:hAnsi="Times New Roman" w:cs="Times New Roman"/>
                <w:color w:val="000000" w:themeColor="text1"/>
                <w:sz w:val="20"/>
                <w:szCs w:val="20"/>
              </w:rPr>
              <w:t>,</w:t>
            </w:r>
            <w:r w:rsidRPr="001362A8">
              <w:rPr>
                <w:rFonts w:ascii="Times New Roman" w:eastAsia="PMingLiU" w:hAnsi="Times New Roman" w:cs="Times New Roman"/>
                <w:color w:val="000000" w:themeColor="text1"/>
                <w:sz w:val="20"/>
                <w:szCs w:val="20"/>
              </w:rPr>
              <w:t xml:space="preserve"> the Minist</w:t>
            </w:r>
            <w:r w:rsidR="00254BBD" w:rsidRPr="001362A8">
              <w:rPr>
                <w:rFonts w:ascii="Times New Roman" w:eastAsia="PMingLiU" w:hAnsi="Times New Roman" w:cs="Times New Roman"/>
                <w:color w:val="000000" w:themeColor="text1"/>
                <w:sz w:val="20"/>
                <w:szCs w:val="20"/>
              </w:rPr>
              <w:t>ry</w:t>
            </w:r>
            <w:r w:rsidRPr="001362A8">
              <w:rPr>
                <w:rFonts w:ascii="Times New Roman" w:eastAsia="PMingLiU" w:hAnsi="Times New Roman" w:cs="Times New Roman"/>
                <w:color w:val="000000" w:themeColor="text1"/>
                <w:sz w:val="20"/>
                <w:szCs w:val="20"/>
              </w:rPr>
              <w:t xml:space="preserve"> of Education </w:t>
            </w:r>
            <w:r w:rsidR="005E6867" w:rsidRPr="001362A8">
              <w:rPr>
                <w:rFonts w:ascii="Times New Roman" w:eastAsia="PMingLiU" w:hAnsi="Times New Roman" w:cs="Times New Roman"/>
                <w:color w:val="000000" w:themeColor="text1"/>
                <w:sz w:val="20"/>
                <w:szCs w:val="20"/>
              </w:rPr>
              <w:t xml:space="preserve">has </w:t>
            </w:r>
            <w:r w:rsidRPr="001362A8">
              <w:rPr>
                <w:rFonts w:ascii="Times New Roman" w:eastAsia="PMingLiU" w:hAnsi="Times New Roman" w:cs="Times New Roman"/>
                <w:color w:val="000000" w:themeColor="text1"/>
                <w:sz w:val="20"/>
                <w:szCs w:val="20"/>
              </w:rPr>
              <w:t xml:space="preserve">included </w:t>
            </w:r>
            <w:r w:rsidR="00A6740D" w:rsidRPr="001362A8">
              <w:rPr>
                <w:rFonts w:ascii="Times New Roman" w:eastAsia="PMingLiU" w:hAnsi="Times New Roman" w:cs="Times New Roman"/>
                <w:color w:val="000000" w:themeColor="text1"/>
                <w:sz w:val="20"/>
                <w:szCs w:val="20"/>
              </w:rPr>
              <w:t>IPC</w:t>
            </w:r>
            <w:r w:rsidRPr="001362A8">
              <w:rPr>
                <w:rFonts w:ascii="Times New Roman" w:eastAsia="PMingLiU" w:hAnsi="Times New Roman" w:cs="Times New Roman"/>
                <w:color w:val="000000" w:themeColor="text1"/>
                <w:sz w:val="20"/>
                <w:szCs w:val="20"/>
              </w:rPr>
              <w:t xml:space="preserve"> as an element of teaching hospital accreditation. </w:t>
            </w:r>
            <w:r w:rsidR="000B0C66" w:rsidRPr="001362A8">
              <w:rPr>
                <w:rFonts w:ascii="Times New Roman" w:eastAsia="PMingLiU" w:hAnsi="Times New Roman" w:cs="Times New Roman"/>
                <w:color w:val="000000" w:themeColor="text1"/>
                <w:sz w:val="20"/>
                <w:szCs w:val="20"/>
              </w:rPr>
              <w:t xml:space="preserve">Since 1988, the medical service act has mandated the assessment of </w:t>
            </w:r>
            <w:r w:rsidR="00A6740D" w:rsidRPr="001362A8">
              <w:rPr>
                <w:rFonts w:ascii="Times New Roman" w:eastAsia="PMingLiU" w:hAnsi="Times New Roman" w:cs="Times New Roman"/>
                <w:color w:val="000000" w:themeColor="text1"/>
                <w:sz w:val="20"/>
                <w:szCs w:val="20"/>
              </w:rPr>
              <w:t>IPC practices</w:t>
            </w:r>
            <w:r w:rsidR="000B0C66" w:rsidRPr="001362A8">
              <w:rPr>
                <w:rFonts w:ascii="Times New Roman" w:eastAsia="PMingLiU" w:hAnsi="Times New Roman" w:cs="Times New Roman"/>
                <w:color w:val="000000" w:themeColor="text1"/>
                <w:sz w:val="20"/>
                <w:szCs w:val="20"/>
              </w:rPr>
              <w:t xml:space="preserve"> in hospital accreditation </w:t>
            </w:r>
            <w:r w:rsidR="000B0C66" w:rsidRPr="001362A8">
              <w:rPr>
                <w:rFonts w:ascii="Times New Roman" w:eastAsia="PMingLiU" w:hAnsi="Times New Roman" w:cs="Times New Roman"/>
                <w:color w:val="000000" w:themeColor="text1"/>
                <w:sz w:val="20"/>
                <w:szCs w:val="20"/>
              </w:rPr>
              <w:fldChar w:fldCharType="begin"/>
            </w:r>
            <w:r w:rsidR="000B0C66" w:rsidRPr="001362A8">
              <w:rPr>
                <w:rFonts w:ascii="Times New Roman" w:eastAsia="PMingLiU" w:hAnsi="Times New Roman" w:cs="Times New Roman"/>
                <w:color w:val="000000" w:themeColor="text1"/>
                <w:sz w:val="20"/>
                <w:szCs w:val="20"/>
              </w:rPr>
              <w:instrText xml:space="preserve"> ADDIN EN.CITE &lt;EndNote&gt;&lt;Cite&gt;&lt;Author&gt;CDC&lt;/Author&gt;&lt;Year&gt;2014&lt;/Year&gt;&lt;RecNum&gt;122&lt;/RecNum&gt;&lt;DisplayText&gt;[1]&lt;/DisplayText&gt;&lt;record&gt;&lt;rec-number&gt;122&lt;/rec-number&gt;&lt;foreign-keys&gt;&lt;key app="EN" db-id="zewpdw50fw9pfdepetsv0fej2pvv2fspdsaf" timestamp="1521899902"&gt;122&lt;/key&gt;&lt;/foreign-keys&gt;&lt;ref-type name="Web Page"&gt;12&lt;/ref-type&gt;&lt;contributors&gt;&lt;authors&gt;&lt;author&gt;Taiwan CDC&lt;/author&gt;&lt;/authors&gt;&lt;/contributors&gt;&lt;titles&gt;&lt;title&gt;Infection Control Manual for Medical Care Facilities&lt;/title&gt;&lt;/titles&gt;&lt;volume&gt;2018&lt;/volume&gt;&lt;number&gt;3/24&lt;/number&gt;&lt;dates&gt;&lt;year&gt;2014&lt;/year&gt;&lt;/dates&gt;&lt;urls&gt;&lt;related-urls&gt;&lt;url&gt;https://www.cdc.gov.tw/professional/list.aspx?treeid=beac9c103df952c4&amp;amp;nowtreeid=52e2faab2576d7b1&lt;/url&gt;&lt;/related-urls&gt;&lt;/urls&gt;&lt;language&gt;Mandarin&lt;/language&gt;&lt;/record&gt;&lt;/Cite&gt;&lt;/EndNote&gt;</w:instrText>
            </w:r>
            <w:r w:rsidR="000B0C66" w:rsidRPr="001362A8">
              <w:rPr>
                <w:rFonts w:ascii="Times New Roman" w:eastAsia="PMingLiU" w:hAnsi="Times New Roman" w:cs="Times New Roman"/>
                <w:color w:val="000000" w:themeColor="text1"/>
                <w:sz w:val="20"/>
                <w:szCs w:val="20"/>
              </w:rPr>
              <w:fldChar w:fldCharType="separate"/>
            </w:r>
            <w:r w:rsidR="000B0C66" w:rsidRPr="001362A8">
              <w:rPr>
                <w:rFonts w:ascii="Times New Roman" w:eastAsia="PMingLiU" w:hAnsi="Times New Roman" w:cs="Times New Roman"/>
                <w:noProof/>
                <w:color w:val="000000" w:themeColor="text1"/>
                <w:sz w:val="20"/>
                <w:szCs w:val="20"/>
              </w:rPr>
              <w:t>[1]</w:t>
            </w:r>
            <w:r w:rsidR="000B0C66" w:rsidRPr="001362A8">
              <w:rPr>
                <w:rFonts w:ascii="Times New Roman" w:eastAsia="PMingLiU" w:hAnsi="Times New Roman" w:cs="Times New Roman"/>
                <w:color w:val="000000" w:themeColor="text1"/>
                <w:sz w:val="20"/>
                <w:szCs w:val="20"/>
              </w:rPr>
              <w:fldChar w:fldCharType="end"/>
            </w:r>
            <w:r w:rsidR="000B0C66" w:rsidRPr="001362A8">
              <w:rPr>
                <w:rFonts w:ascii="Times New Roman" w:eastAsia="PMingLiU" w:hAnsi="Times New Roman" w:cs="Times New Roman"/>
                <w:color w:val="000000" w:themeColor="text1"/>
                <w:sz w:val="20"/>
                <w:szCs w:val="20"/>
              </w:rPr>
              <w:t xml:space="preserve">. Annual nationwide hospital audit for </w:t>
            </w:r>
            <w:r w:rsidR="00A6740D" w:rsidRPr="001362A8">
              <w:rPr>
                <w:rFonts w:ascii="Times New Roman" w:eastAsia="PMingLiU" w:hAnsi="Times New Roman" w:cs="Times New Roman"/>
                <w:color w:val="000000" w:themeColor="text1"/>
                <w:sz w:val="20"/>
                <w:szCs w:val="20"/>
              </w:rPr>
              <w:t xml:space="preserve">IPC </w:t>
            </w:r>
            <w:r w:rsidR="000B0C66" w:rsidRPr="001362A8">
              <w:rPr>
                <w:rFonts w:ascii="Times New Roman" w:eastAsia="PMingLiU" w:hAnsi="Times New Roman" w:cs="Times New Roman"/>
                <w:color w:val="000000" w:themeColor="text1"/>
                <w:sz w:val="20"/>
                <w:szCs w:val="20"/>
              </w:rPr>
              <w:t xml:space="preserve">quality was extended stepwise to cover all hospitals </w:t>
            </w:r>
            <w:r w:rsidR="00FC5B74" w:rsidRPr="001362A8">
              <w:rPr>
                <w:rFonts w:ascii="Times New Roman" w:eastAsia="PMingLiU" w:hAnsi="Times New Roman" w:cs="Times New Roman"/>
                <w:color w:val="000000" w:themeColor="text1"/>
                <w:sz w:val="20"/>
                <w:szCs w:val="20"/>
              </w:rPr>
              <w:t>since 2005</w:t>
            </w:r>
            <w:r w:rsidR="000B0C66" w:rsidRPr="001362A8">
              <w:rPr>
                <w:rFonts w:ascii="Times New Roman" w:eastAsia="PMingLiU" w:hAnsi="Times New Roman" w:cs="Times New Roman"/>
                <w:color w:val="000000" w:themeColor="text1"/>
                <w:sz w:val="20"/>
                <w:szCs w:val="20"/>
              </w:rPr>
              <w:t xml:space="preserve">. For objective evaluation of the quality of </w:t>
            </w:r>
            <w:r w:rsidR="00A6740D" w:rsidRPr="001362A8">
              <w:rPr>
                <w:rFonts w:ascii="Times New Roman" w:eastAsia="PMingLiU" w:hAnsi="Times New Roman" w:cs="Times New Roman"/>
                <w:color w:val="000000" w:themeColor="text1"/>
                <w:sz w:val="20"/>
                <w:szCs w:val="20"/>
              </w:rPr>
              <w:t xml:space="preserve">IPC </w:t>
            </w:r>
            <w:r w:rsidR="000B0C66" w:rsidRPr="001362A8">
              <w:rPr>
                <w:rFonts w:ascii="Times New Roman" w:eastAsia="PMingLiU" w:hAnsi="Times New Roman" w:cs="Times New Roman"/>
                <w:color w:val="000000" w:themeColor="text1"/>
                <w:sz w:val="20"/>
                <w:szCs w:val="20"/>
              </w:rPr>
              <w:t xml:space="preserve">in each hospital, a comprehensive checklist </w:t>
            </w:r>
            <w:r w:rsidR="006134DD" w:rsidRPr="001362A8">
              <w:rPr>
                <w:rFonts w:ascii="Times New Roman" w:eastAsia="PMingLiU" w:hAnsi="Times New Roman" w:cs="Times New Roman"/>
                <w:color w:val="000000" w:themeColor="text1"/>
                <w:sz w:val="20"/>
                <w:szCs w:val="20"/>
              </w:rPr>
              <w:t>has been</w:t>
            </w:r>
            <w:r w:rsidR="000B0C66" w:rsidRPr="001362A8">
              <w:rPr>
                <w:rFonts w:ascii="Times New Roman" w:eastAsia="PMingLiU" w:hAnsi="Times New Roman" w:cs="Times New Roman"/>
                <w:color w:val="000000" w:themeColor="text1"/>
                <w:sz w:val="20"/>
                <w:szCs w:val="20"/>
              </w:rPr>
              <w:t xml:space="preserve"> developed and </w:t>
            </w:r>
            <w:r w:rsidR="005A2BD3" w:rsidRPr="001362A8">
              <w:rPr>
                <w:rFonts w:ascii="Times New Roman" w:eastAsia="PMingLiU" w:hAnsi="Times New Roman" w:cs="Times New Roman"/>
                <w:color w:val="000000" w:themeColor="text1"/>
                <w:sz w:val="20"/>
                <w:szCs w:val="20"/>
              </w:rPr>
              <w:t xml:space="preserve">are </w:t>
            </w:r>
            <w:r w:rsidR="000B0C66" w:rsidRPr="001362A8">
              <w:rPr>
                <w:rFonts w:ascii="Times New Roman" w:eastAsia="PMingLiU" w:hAnsi="Times New Roman" w:cs="Times New Roman"/>
                <w:color w:val="000000" w:themeColor="text1"/>
                <w:sz w:val="20"/>
                <w:szCs w:val="20"/>
              </w:rPr>
              <w:t>revised periodically. The checklist t</w:t>
            </w:r>
            <w:r w:rsidR="006134DD" w:rsidRPr="001362A8">
              <w:rPr>
                <w:rFonts w:ascii="Times New Roman" w:eastAsia="PMingLiU" w:hAnsi="Times New Roman" w:cs="Times New Roman"/>
                <w:color w:val="000000" w:themeColor="text1"/>
                <w:sz w:val="20"/>
                <w:szCs w:val="20"/>
              </w:rPr>
              <w:t>a</w:t>
            </w:r>
            <w:r w:rsidR="000B0C66" w:rsidRPr="001362A8">
              <w:rPr>
                <w:rFonts w:ascii="Times New Roman" w:eastAsia="PMingLiU" w:hAnsi="Times New Roman" w:cs="Times New Roman"/>
                <w:color w:val="000000" w:themeColor="text1"/>
                <w:sz w:val="20"/>
                <w:szCs w:val="20"/>
              </w:rPr>
              <w:t>k</w:t>
            </w:r>
            <w:r w:rsidR="006134DD" w:rsidRPr="001362A8">
              <w:rPr>
                <w:rFonts w:ascii="Times New Roman" w:eastAsia="PMingLiU" w:hAnsi="Times New Roman" w:cs="Times New Roman"/>
                <w:color w:val="000000" w:themeColor="text1"/>
                <w:sz w:val="20"/>
                <w:szCs w:val="20"/>
              </w:rPr>
              <w:t>es</w:t>
            </w:r>
            <w:r w:rsidR="000B0C66" w:rsidRPr="001362A8">
              <w:rPr>
                <w:rFonts w:ascii="Times New Roman" w:eastAsia="PMingLiU" w:hAnsi="Times New Roman" w:cs="Times New Roman"/>
                <w:color w:val="000000" w:themeColor="text1"/>
                <w:sz w:val="20"/>
                <w:szCs w:val="20"/>
              </w:rPr>
              <w:t xml:space="preserve"> into consideration of the type and size of the hospital. The results are integrated into performance evaluation during the hospital accreditation process. Items of the checklist include infrastructure such as infection control committee and </w:t>
            </w:r>
            <w:r w:rsidR="003718DC" w:rsidRPr="001362A8">
              <w:rPr>
                <w:rFonts w:ascii="Times New Roman" w:eastAsia="PMingLiU" w:hAnsi="Times New Roman" w:cs="Times New Roman"/>
                <w:color w:val="000000" w:themeColor="text1"/>
                <w:sz w:val="20"/>
                <w:szCs w:val="20"/>
              </w:rPr>
              <w:t>ICP</w:t>
            </w:r>
            <w:r w:rsidR="000B0C66" w:rsidRPr="001362A8">
              <w:rPr>
                <w:rFonts w:ascii="Times New Roman" w:eastAsia="PMingLiU" w:hAnsi="Times New Roman" w:cs="Times New Roman"/>
                <w:color w:val="000000" w:themeColor="text1"/>
                <w:sz w:val="20"/>
                <w:szCs w:val="20"/>
              </w:rPr>
              <w:t xml:space="preserve">, policies and interim guidelines, and quality improvement programs. </w:t>
            </w:r>
          </w:p>
        </w:tc>
      </w:tr>
      <w:tr w:rsidR="001362A8" w:rsidRPr="001362A8" w14:paraId="6A037F08" w14:textId="77777777" w:rsidTr="001A1D4B">
        <w:trPr>
          <w:trHeight w:val="665"/>
        </w:trPr>
        <w:tc>
          <w:tcPr>
            <w:tcW w:w="1101" w:type="dxa"/>
            <w:vMerge/>
            <w:tcBorders>
              <w:top w:val="single" w:sz="4" w:space="0" w:color="auto"/>
            </w:tcBorders>
          </w:tcPr>
          <w:p w14:paraId="57CBCC0E"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4060299A" w14:textId="77777777"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Taiwan nosocomial infection surveillance</w:t>
            </w:r>
          </w:p>
        </w:tc>
        <w:tc>
          <w:tcPr>
            <w:tcW w:w="6696" w:type="dxa"/>
            <w:tcBorders>
              <w:top w:val="single" w:sz="4" w:space="0" w:color="auto"/>
              <w:bottom w:val="nil"/>
            </w:tcBorders>
          </w:tcPr>
          <w:p w14:paraId="4428BDBB" w14:textId="74CE81CD" w:rsidR="000B0C66" w:rsidRPr="001362A8" w:rsidRDefault="000B0C66" w:rsidP="001A1D4B">
            <w:pPr>
              <w:pStyle w:val="Default"/>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Paperless surveillance system </w:t>
            </w:r>
            <w:r w:rsidR="009829DF" w:rsidRPr="001362A8">
              <w:rPr>
                <w:rFonts w:ascii="Times New Roman" w:eastAsia="PMingLiU" w:hAnsi="Times New Roman" w:cs="Times New Roman"/>
                <w:color w:val="000000" w:themeColor="text1"/>
                <w:sz w:val="20"/>
                <w:szCs w:val="20"/>
              </w:rPr>
              <w:t xml:space="preserve">of </w:t>
            </w:r>
            <w:r w:rsidR="00B97EED" w:rsidRPr="001362A8">
              <w:rPr>
                <w:rFonts w:ascii="Times New Roman" w:eastAsia="PMingLiU" w:hAnsi="Times New Roman" w:cs="Times New Roman"/>
                <w:color w:val="000000" w:themeColor="text1"/>
                <w:sz w:val="20"/>
                <w:szCs w:val="20"/>
              </w:rPr>
              <w:t>HAI</w:t>
            </w:r>
            <w:r w:rsidR="004A2E68" w:rsidRPr="001362A8">
              <w:rPr>
                <w:rFonts w:ascii="Times New Roman" w:eastAsia="PMingLiU"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t>involved medical centers since October 2001 and regional hospitals since July 2002. Current web-based system was launched in 2007.</w:t>
            </w:r>
            <w:r w:rsidR="00B314EE" w:rsidRPr="001362A8">
              <w:rPr>
                <w:rFonts w:ascii="Times New Roman" w:eastAsia="PMingLiU" w:hAnsi="Times New Roman" w:cs="Times New Roman"/>
                <w:color w:val="000000" w:themeColor="text1"/>
                <w:sz w:val="20"/>
                <w:szCs w:val="20"/>
              </w:rPr>
              <w:t xml:space="preserve"> </w:t>
            </w:r>
            <w:r w:rsidR="00B97EED" w:rsidRPr="001362A8">
              <w:rPr>
                <w:rFonts w:ascii="Times New Roman" w:hAnsi="Times New Roman" w:cs="Times New Roman"/>
                <w:color w:val="000000" w:themeColor="text1"/>
                <w:sz w:val="20"/>
                <w:szCs w:val="20"/>
              </w:rPr>
              <w:t>AMR</w:t>
            </w:r>
            <w:r w:rsidR="00B314EE" w:rsidRPr="001362A8">
              <w:rPr>
                <w:rFonts w:ascii="Times New Roman" w:hAnsi="Times New Roman" w:cs="Times New Roman"/>
                <w:color w:val="000000" w:themeColor="text1"/>
                <w:sz w:val="20"/>
                <w:szCs w:val="20"/>
              </w:rPr>
              <w:t xml:space="preserve"> detection and reporting</w:t>
            </w:r>
            <w:r w:rsidR="00F931C2" w:rsidRPr="001362A8">
              <w:rPr>
                <w:rFonts w:ascii="Times New Roman" w:hAnsi="Times New Roman" w:cs="Times New Roman"/>
                <w:color w:val="000000" w:themeColor="text1"/>
                <w:sz w:val="20"/>
                <w:szCs w:val="20"/>
              </w:rPr>
              <w:t xml:space="preserve"> system</w:t>
            </w:r>
            <w:r w:rsidR="00B314EE" w:rsidRPr="001362A8">
              <w:rPr>
                <w:rFonts w:ascii="Times New Roman" w:hAnsi="Times New Roman" w:cs="Times New Roman"/>
                <w:color w:val="000000" w:themeColor="text1"/>
                <w:sz w:val="20"/>
                <w:szCs w:val="20"/>
              </w:rPr>
              <w:t xml:space="preserve"> began in 2007</w:t>
            </w:r>
            <w:r w:rsidR="00896DFE" w:rsidRPr="001362A8">
              <w:rPr>
                <w:rFonts w:ascii="Times New Roman" w:hAnsi="Times New Roman" w:cs="Times New Roman"/>
                <w:color w:val="000000" w:themeColor="text1"/>
                <w:sz w:val="20"/>
                <w:szCs w:val="20"/>
              </w:rPr>
              <w:t xml:space="preserve"> </w:t>
            </w:r>
            <w:r w:rsidR="00CD5217" w:rsidRPr="001362A8">
              <w:rPr>
                <w:rFonts w:ascii="Times New Roman" w:hAnsi="Times New Roman" w:cs="Times New Roman"/>
                <w:color w:val="000000" w:themeColor="text1"/>
                <w:sz w:val="20"/>
                <w:szCs w:val="20"/>
              </w:rPr>
              <w:fldChar w:fldCharType="begin"/>
            </w:r>
            <w:r w:rsidR="00CD5217" w:rsidRPr="001362A8">
              <w:rPr>
                <w:rFonts w:ascii="Times New Roman" w:hAnsi="Times New Roman" w:cs="Times New Roman"/>
                <w:color w:val="000000" w:themeColor="text1"/>
                <w:sz w:val="20"/>
                <w:szCs w:val="20"/>
              </w:rPr>
              <w:instrText xml:space="preserve"> ADDIN EN.CITE &lt;EndNote&gt;&lt;Cite&gt;&lt;Author&gt;SECURITY&lt;/Author&gt;&lt;Year&gt;2016&lt;/Year&gt;&lt;RecNum&gt;134&lt;/RecNum&gt;&lt;DisplayText&gt;[4]&lt;/DisplayText&gt;&lt;record&gt;&lt;rec-number&gt;134&lt;/rec-number&gt;&lt;foreign-keys&gt;&lt;key app="EN" db-id="zewpdw50fw9pfdepetsv0fej2pvv2fspdsaf" timestamp="1523284493"&gt;134&lt;/key&gt;&lt;/foreign-keys&gt;&lt;ref-type name="Web Page"&gt;12&lt;/ref-type&gt;&lt;contributors&gt;&lt;authors&gt;&lt;author&gt;UPMC CENTER FOR HEALTH SECURITY&lt;/author&gt;&lt;/authors&gt;&lt;/contributors&gt;&lt;titles&gt;&lt;title&gt;IHR JOINT EXTERNAL EVALUATION OF TAIWAN&lt;/title&gt;&lt;/titles&gt;&lt;volume&gt;2018&lt;/volume&gt;&lt;number&gt;3/24&lt;/number&gt;&lt;dates&gt;&lt;year&gt;2016&lt;/year&gt;&lt;/dates&gt;&lt;urls&gt;&lt;related-urls&gt;&lt;url&gt;http://www.cdc.gov.tw/uploads/files/201701/cbf247f3-64b0-4675-a5e8-d4f70eaf24e5.pdf&lt;/url&gt;&lt;/related-urls&gt;&lt;/urls&gt;&lt;/record&gt;&lt;/Cite&gt;&lt;/EndNote&gt;</w:instrText>
            </w:r>
            <w:r w:rsidR="00CD5217" w:rsidRPr="001362A8">
              <w:rPr>
                <w:rFonts w:ascii="Times New Roman" w:hAnsi="Times New Roman" w:cs="Times New Roman"/>
                <w:color w:val="000000" w:themeColor="text1"/>
                <w:sz w:val="20"/>
                <w:szCs w:val="20"/>
              </w:rPr>
              <w:fldChar w:fldCharType="separate"/>
            </w:r>
            <w:r w:rsidR="00CD5217" w:rsidRPr="001362A8">
              <w:rPr>
                <w:rFonts w:ascii="Times New Roman" w:hAnsi="Times New Roman" w:cs="Times New Roman"/>
                <w:noProof/>
                <w:color w:val="000000" w:themeColor="text1"/>
                <w:sz w:val="20"/>
                <w:szCs w:val="20"/>
              </w:rPr>
              <w:t>[4]</w:t>
            </w:r>
            <w:r w:rsidR="00CD5217" w:rsidRPr="001362A8">
              <w:rPr>
                <w:rFonts w:ascii="Times New Roman" w:hAnsi="Times New Roman" w:cs="Times New Roman"/>
                <w:color w:val="000000" w:themeColor="text1"/>
                <w:sz w:val="20"/>
                <w:szCs w:val="20"/>
              </w:rPr>
              <w:fldChar w:fldCharType="end"/>
            </w:r>
            <w:r w:rsidR="00B314EE" w:rsidRPr="001362A8">
              <w:rPr>
                <w:rFonts w:ascii="Times New Roman" w:hAnsi="Times New Roman" w:cs="Times New Roman"/>
                <w:color w:val="000000" w:themeColor="text1"/>
                <w:sz w:val="20"/>
                <w:szCs w:val="20"/>
              </w:rPr>
              <w:t>.</w:t>
            </w:r>
            <w:r w:rsidR="00CE301D" w:rsidRPr="001362A8">
              <w:rPr>
                <w:rFonts w:ascii="Times New Roman" w:hAnsi="Times New Roman" w:cs="Times New Roman"/>
                <w:color w:val="000000" w:themeColor="text1"/>
                <w:sz w:val="20"/>
                <w:szCs w:val="20"/>
              </w:rPr>
              <w:t xml:space="preserve"> TNIS </w:t>
            </w:r>
            <w:r w:rsidR="00CE301D" w:rsidRPr="001362A8">
              <w:rPr>
                <w:rFonts w:ascii="Times New Roman" w:hAnsi="Times New Roman" w:cs="Times New Roman"/>
                <w:color w:val="000000" w:themeColor="text1"/>
                <w:sz w:val="20"/>
                <w:szCs w:val="20"/>
              </w:rPr>
              <w:lastRenderedPageBreak/>
              <w:t xml:space="preserve">system adopts voluntary reporting, and each hospital may provide their data either through web-based entry or convey their data electronically through interchange platform. </w:t>
            </w:r>
          </w:p>
        </w:tc>
      </w:tr>
      <w:tr w:rsidR="001362A8" w:rsidRPr="001362A8" w14:paraId="47514460" w14:textId="77777777" w:rsidTr="001A1D4B">
        <w:trPr>
          <w:trHeight w:val="665"/>
        </w:trPr>
        <w:tc>
          <w:tcPr>
            <w:tcW w:w="1101" w:type="dxa"/>
            <w:vMerge/>
          </w:tcPr>
          <w:p w14:paraId="232D366A"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188D588D" w14:textId="77777777" w:rsidR="000B0C66" w:rsidRPr="001362A8" w:rsidRDefault="00896DFE"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National campaign on </w:t>
            </w:r>
            <w:r w:rsidR="000B0C66" w:rsidRPr="001362A8">
              <w:rPr>
                <w:rFonts w:ascii="Times New Roman" w:eastAsia="PMingLiU" w:hAnsi="Times New Roman" w:cs="Times New Roman"/>
                <w:color w:val="000000" w:themeColor="text1"/>
                <w:sz w:val="20"/>
                <w:szCs w:val="20"/>
              </w:rPr>
              <w:t>Hand hygiene</w:t>
            </w:r>
          </w:p>
        </w:tc>
        <w:tc>
          <w:tcPr>
            <w:tcW w:w="6696" w:type="dxa"/>
            <w:tcBorders>
              <w:top w:val="single" w:sz="4" w:space="0" w:color="auto"/>
              <w:bottom w:val="nil"/>
            </w:tcBorders>
          </w:tcPr>
          <w:p w14:paraId="018ADD1D" w14:textId="30B1F87D"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This is the first of a series of nationwide interventional programs promoted by the Taiwan CDC. The pilot study was initiated in 2007 in three Centers of </w:t>
            </w:r>
            <w:r w:rsidR="00470761" w:rsidRPr="001362A8">
              <w:rPr>
                <w:rFonts w:ascii="Times New Roman" w:eastAsia="PMingLiU" w:hAnsi="Times New Roman" w:cs="Times New Roman"/>
                <w:color w:val="000000" w:themeColor="text1"/>
                <w:sz w:val="20"/>
                <w:szCs w:val="20"/>
              </w:rPr>
              <w:t xml:space="preserve">Excellence </w:t>
            </w:r>
            <w:r w:rsidR="00A6740D" w:rsidRPr="001362A8">
              <w:rPr>
                <w:rFonts w:ascii="Times New Roman" w:eastAsia="PMingLiU" w:hAnsi="Times New Roman" w:cs="Times New Roman"/>
                <w:color w:val="000000" w:themeColor="text1"/>
                <w:sz w:val="20"/>
                <w:szCs w:val="20"/>
              </w:rPr>
              <w:t xml:space="preserve">on hand hygiene </w:t>
            </w:r>
            <w:r w:rsidRPr="001362A8">
              <w:rPr>
                <w:rFonts w:ascii="Times New Roman" w:eastAsia="PMingLiU" w:hAnsi="Times New Roman" w:cs="Times New Roman"/>
                <w:color w:val="000000" w:themeColor="text1"/>
                <w:sz w:val="20"/>
                <w:szCs w:val="20"/>
              </w:rPr>
              <w:t xml:space="preserve">following a successful hospital-wide hand hygiene program at National Taiwan University Hospital </w:t>
            </w:r>
            <w:r w:rsidRPr="001362A8">
              <w:rPr>
                <w:rFonts w:ascii="Times New Roman" w:eastAsia="PMingLiU" w:hAnsi="Times New Roman" w:cs="Times New Roman"/>
                <w:color w:val="000000" w:themeColor="text1"/>
                <w:sz w:val="20"/>
                <w:szCs w:val="20"/>
              </w:rPr>
              <w:fldChar w:fldCharType="begin"/>
            </w:r>
            <w:r w:rsidR="00CD5217" w:rsidRPr="001362A8">
              <w:rPr>
                <w:rFonts w:ascii="Times New Roman" w:eastAsia="PMingLiU" w:hAnsi="Times New Roman" w:cs="Times New Roman"/>
                <w:color w:val="000000" w:themeColor="text1"/>
                <w:sz w:val="20"/>
                <w:szCs w:val="20"/>
              </w:rPr>
              <w:instrText xml:space="preserve"> ADDIN EN.CITE &lt;EndNote&gt;&lt;Cite&gt;&lt;Author&gt;Chen&lt;/Author&gt;&lt;Year&gt;2011&lt;/Year&gt;&lt;RecNum&gt;25&lt;/RecNum&gt;&lt;DisplayText&gt;[5]&lt;/DisplayText&gt;&lt;record&gt;&lt;rec-number&gt;25&lt;/rec-number&gt;&lt;foreign-keys&gt;&lt;key app="EN" db-id="zewpdw50fw9pfdepetsv0fej2pvv2fspdsaf" timestamp="1494905342"&gt;25&lt;/key&gt;&lt;/foreign-keys&gt;&lt;ref-type name="Journal Article"&gt;17&lt;/ref-type&gt;&lt;contributors&gt;&lt;authors&gt;&lt;author&gt;Chen, Yee-Chun&lt;/author&gt;&lt;author&gt;Sheng, Wang-Huei&lt;/author&gt;&lt;author&gt;Wang, Jann-Tay&lt;/author&gt;&lt;author&gt;Chang, Shan-Chwen&lt;/author&gt;&lt;author&gt;Lin, Hui-Chi&lt;/author&gt;&lt;author&gt;Tien, Kuei-Lien&lt;/author&gt;&lt;author&gt;Hsu, Le-Yin&lt;/author&gt;&lt;author&gt;Tsai, Keh-Sung&lt;/author&gt;&lt;/authors&gt;&lt;/contributors&gt;&lt;titles&gt;&lt;title&gt;Effectiveness and Limitations of Hand Hygiene Promotion on Decreasing Healthcare–Associated Infections&lt;/title&gt;&lt;secondary-title&gt;PLOS ONE&lt;/secondary-title&gt;&lt;/titles&gt;&lt;periodical&gt;&lt;full-title&gt;PLOS ONE&lt;/full-title&gt;&lt;/periodical&gt;&lt;pages&gt;e27163&lt;/pages&gt;&lt;volume&gt;6&lt;/volume&gt;&lt;number&gt;11&lt;/number&gt;&lt;dates&gt;&lt;year&gt;2011&lt;/year&gt;&lt;/dates&gt;&lt;publisher&gt;Public Library of Science&lt;/publisher&gt;&lt;urls&gt;&lt;related-urls&gt;&lt;url&gt;https://doi.org/10.1371/journal.pone.0027163&lt;/url&gt;&lt;/related-urls&gt;&lt;/urls&gt;&lt;electronic-resource-num&gt;10.1371/journal.pone.0027163&lt;/electronic-resource-num&gt;&lt;/record&gt;&lt;/Cite&gt;&lt;/EndNote&gt;</w:instrText>
            </w:r>
            <w:r w:rsidRPr="001362A8">
              <w:rPr>
                <w:rFonts w:ascii="Times New Roman" w:eastAsia="PMingLiU" w:hAnsi="Times New Roman" w:cs="Times New Roman"/>
                <w:color w:val="000000" w:themeColor="text1"/>
                <w:sz w:val="20"/>
                <w:szCs w:val="20"/>
              </w:rPr>
              <w:fldChar w:fldCharType="separate"/>
            </w:r>
            <w:r w:rsidR="00CD5217" w:rsidRPr="001362A8">
              <w:rPr>
                <w:rFonts w:ascii="Times New Roman" w:eastAsia="PMingLiU" w:hAnsi="Times New Roman" w:cs="Times New Roman"/>
                <w:noProof/>
                <w:color w:val="000000" w:themeColor="text1"/>
                <w:sz w:val="20"/>
                <w:szCs w:val="20"/>
              </w:rPr>
              <w:t>[5]</w:t>
            </w:r>
            <w:r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 xml:space="preserve">. </w:t>
            </w:r>
            <w:r w:rsidR="003718DC" w:rsidRPr="001362A8">
              <w:rPr>
                <w:rFonts w:ascii="Times New Roman" w:eastAsia="PMingLiU" w:hAnsi="Times New Roman" w:cs="Times New Roman"/>
                <w:color w:val="000000" w:themeColor="text1"/>
                <w:sz w:val="20"/>
                <w:szCs w:val="20"/>
              </w:rPr>
              <w:t>WHO multimodal strategy was adapted and p</w:t>
            </w:r>
            <w:r w:rsidRPr="001362A8">
              <w:rPr>
                <w:rFonts w:ascii="Times New Roman" w:eastAsia="PMingLiU" w:hAnsi="Times New Roman" w:cs="Times New Roman"/>
                <w:color w:val="000000" w:themeColor="text1"/>
                <w:sz w:val="20"/>
                <w:szCs w:val="20"/>
              </w:rPr>
              <w:t>rogram was expanded to the national level in 2010. Theme of WHO’s “Clean Care is Safer Care” is promoted via the program. Culture of patient safety formed via nationwide hand hygiene certification. Included in hospital accreditation for continuous quality improvement</w:t>
            </w:r>
            <w:r w:rsidR="00EA7C82" w:rsidRPr="001362A8">
              <w:rPr>
                <w:rFonts w:ascii="Times New Roman" w:eastAsia="PMingLiU" w:hAnsi="Times New Roman" w:cs="Times New Roman"/>
                <w:color w:val="000000" w:themeColor="text1"/>
                <w:sz w:val="20"/>
                <w:szCs w:val="20"/>
              </w:rPr>
              <w:t xml:space="preserve"> </w:t>
            </w:r>
            <w:r w:rsidR="00513443" w:rsidRPr="001362A8">
              <w:rPr>
                <w:rFonts w:ascii="Times New Roman" w:eastAsia="PMingLiU" w:hAnsi="Times New Roman" w:cs="Times New Roman"/>
                <w:color w:val="000000" w:themeColor="text1"/>
                <w:sz w:val="20"/>
                <w:szCs w:val="20"/>
              </w:rPr>
              <w:fldChar w:fldCharType="begin"/>
            </w:r>
            <w:r w:rsidR="00CD5217" w:rsidRPr="001362A8">
              <w:rPr>
                <w:rFonts w:ascii="Times New Roman" w:eastAsia="PMingLiU" w:hAnsi="Times New Roman" w:cs="Times New Roman"/>
                <w:color w:val="000000" w:themeColor="text1"/>
                <w:sz w:val="20"/>
                <w:szCs w:val="20"/>
              </w:rPr>
              <w:instrText xml:space="preserve"> ADDIN EN.CITE &lt;EndNote&gt;&lt;Cite&gt;&lt;Author&gt;CDC&lt;/Author&gt;&lt;RecNum&gt;2&lt;/RecNum&gt;&lt;DisplayText&gt;[6]&lt;/DisplayText&gt;&lt;record&gt;&lt;rec-number&gt;2&lt;/rec-number&gt;&lt;foreign-keys&gt;&lt;key app="EN" db-id="f55waaf9dwzvpqep0favvezxpstw5ffvzrva" timestamp="1522479650"&gt;2&lt;/key&gt;&lt;/foreign-keys&gt;&lt;ref-type name="Web Page"&gt;12&lt;/ref-type&gt;&lt;contributors&gt;&lt;authors&gt;&lt;author&gt;Taiwan CDC&lt;/author&gt;&lt;/authors&gt;&lt;/contributors&gt;&lt;titles&gt;&lt;title&gt;&lt;style face="normal" font="default" charset="134" size="100%"&gt;</w:instrText>
            </w:r>
            <w:r w:rsidR="00CD5217" w:rsidRPr="001362A8">
              <w:rPr>
                <w:rFonts w:ascii="Times New Roman" w:eastAsia="PMingLiU" w:hAnsi="Times New Roman" w:cs="Times New Roman"/>
                <w:color w:val="000000" w:themeColor="text1"/>
                <w:sz w:val="20"/>
                <w:szCs w:val="20"/>
              </w:rPr>
              <w:instrText>手部衛生專區</w:instrText>
            </w:r>
            <w:r w:rsidR="00CD5217" w:rsidRPr="001362A8">
              <w:rPr>
                <w:rFonts w:ascii="Times New Roman" w:eastAsia="PMingLiU" w:hAnsi="Times New Roman" w:cs="Times New Roman"/>
                <w:color w:val="000000" w:themeColor="text1"/>
                <w:sz w:val="20"/>
                <w:szCs w:val="20"/>
              </w:rPr>
              <w:instrText>&lt;/style&gt;&lt;/title&gt;&lt;/titles&gt;&lt;volume&gt;2018&lt;/volume&gt;&lt;number&gt;3/31&lt;/number&gt;&lt;dates&gt;&lt;/dates&gt;&lt;urls&gt;&lt;related-urls&gt;&lt;url&gt;https://www.cdc.gov.tw/professional/HandHygiene.aspx?theme=HandHygiene&amp;amp;treeid=15ea1948ffc4fa7a&amp;amp;nowtreeid=46C503C6997FECF3&lt;/url&gt;&lt;/related-urls&gt;&lt;/urls&gt;&lt;/record&gt;&lt;/Cite&gt;&lt;/EndNote&gt;</w:instrText>
            </w:r>
            <w:r w:rsidR="00513443" w:rsidRPr="001362A8">
              <w:rPr>
                <w:rFonts w:ascii="Times New Roman" w:eastAsia="PMingLiU" w:hAnsi="Times New Roman" w:cs="Times New Roman"/>
                <w:color w:val="000000" w:themeColor="text1"/>
                <w:sz w:val="20"/>
                <w:szCs w:val="20"/>
              </w:rPr>
              <w:fldChar w:fldCharType="separate"/>
            </w:r>
            <w:r w:rsidR="00CD5217" w:rsidRPr="001362A8">
              <w:rPr>
                <w:rFonts w:ascii="Times New Roman" w:eastAsia="PMingLiU" w:hAnsi="Times New Roman" w:cs="Times New Roman"/>
                <w:noProof/>
                <w:color w:val="000000" w:themeColor="text1"/>
                <w:sz w:val="20"/>
                <w:szCs w:val="20"/>
              </w:rPr>
              <w:t>[6]</w:t>
            </w:r>
            <w:r w:rsidR="00513443"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w:t>
            </w:r>
          </w:p>
        </w:tc>
      </w:tr>
      <w:tr w:rsidR="001362A8" w:rsidRPr="001362A8" w14:paraId="25697081" w14:textId="77777777" w:rsidTr="001A1D4B">
        <w:trPr>
          <w:trHeight w:val="665"/>
        </w:trPr>
        <w:tc>
          <w:tcPr>
            <w:tcW w:w="1101" w:type="dxa"/>
            <w:vMerge/>
          </w:tcPr>
          <w:p w14:paraId="13B9027A"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3BA0BAF7" w14:textId="33001B90" w:rsidR="000B0C66" w:rsidRPr="001362A8" w:rsidRDefault="00896DFE"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National campaign</w:t>
            </w:r>
            <w:r w:rsidR="003718DC" w:rsidRPr="001362A8">
              <w:rPr>
                <w:rFonts w:ascii="Times New Roman" w:eastAsia="PMingLiU" w:hAnsi="Times New Roman" w:cs="Times New Roman"/>
                <w:color w:val="000000" w:themeColor="text1"/>
                <w:sz w:val="20"/>
                <w:szCs w:val="20"/>
              </w:rPr>
              <w:t>s</w:t>
            </w:r>
            <w:r w:rsidRPr="001362A8">
              <w:rPr>
                <w:rFonts w:ascii="Times New Roman" w:eastAsia="PMingLiU" w:hAnsi="Times New Roman" w:cs="Times New Roman"/>
                <w:color w:val="000000" w:themeColor="text1"/>
                <w:sz w:val="20"/>
                <w:szCs w:val="20"/>
              </w:rPr>
              <w:t xml:space="preserve"> on c</w:t>
            </w:r>
            <w:r w:rsidR="007E338B" w:rsidRPr="001362A8">
              <w:rPr>
                <w:rFonts w:ascii="Times New Roman" w:eastAsia="PMingLiU" w:hAnsi="Times New Roman" w:cs="Times New Roman"/>
                <w:color w:val="000000" w:themeColor="text1"/>
                <w:sz w:val="20"/>
                <w:szCs w:val="20"/>
              </w:rPr>
              <w:t>are bundle</w:t>
            </w:r>
            <w:r w:rsidRPr="001362A8">
              <w:rPr>
                <w:rFonts w:ascii="Times New Roman" w:eastAsia="PMingLiU" w:hAnsi="Times New Roman" w:cs="Times New Roman"/>
                <w:color w:val="000000" w:themeColor="text1"/>
                <w:sz w:val="20"/>
                <w:szCs w:val="20"/>
              </w:rPr>
              <w:t>s</w:t>
            </w:r>
            <w:r w:rsidR="007E338B" w:rsidRPr="001362A8">
              <w:rPr>
                <w:rFonts w:ascii="Times New Roman" w:eastAsia="PMingLiU" w:hAnsi="Times New Roman" w:cs="Times New Roman"/>
                <w:color w:val="000000" w:themeColor="text1"/>
                <w:sz w:val="20"/>
                <w:szCs w:val="20"/>
              </w:rPr>
              <w:t xml:space="preserve"> </w:t>
            </w:r>
          </w:p>
        </w:tc>
        <w:tc>
          <w:tcPr>
            <w:tcW w:w="6696" w:type="dxa"/>
            <w:tcBorders>
              <w:top w:val="single" w:sz="4" w:space="0" w:color="auto"/>
              <w:bottom w:val="nil"/>
            </w:tcBorders>
          </w:tcPr>
          <w:p w14:paraId="20317BDC" w14:textId="77777777"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The pilot study for CLABSI care bundle was initiated in 2011 and expanded to nationwide in 2013. The CAUTI and VAP bundles was initiated in 2013 and expanded to national level in 2015.</w:t>
            </w:r>
          </w:p>
        </w:tc>
      </w:tr>
      <w:tr w:rsidR="001362A8" w:rsidRPr="001362A8" w14:paraId="41CE53D4" w14:textId="77777777" w:rsidTr="001A1D4B">
        <w:trPr>
          <w:trHeight w:val="665"/>
        </w:trPr>
        <w:tc>
          <w:tcPr>
            <w:tcW w:w="1101" w:type="dxa"/>
            <w:vMerge/>
          </w:tcPr>
          <w:p w14:paraId="590DC693"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0087DAB6" w14:textId="77777777"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Hospital </w:t>
            </w:r>
            <w:r w:rsidRPr="001362A8">
              <w:rPr>
                <w:rFonts w:ascii="Times New Roman"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t xml:space="preserve">environmental hygiene program </w:t>
            </w:r>
          </w:p>
        </w:tc>
        <w:tc>
          <w:tcPr>
            <w:tcW w:w="6696" w:type="dxa"/>
            <w:tcBorders>
              <w:top w:val="single" w:sz="4" w:space="0" w:color="auto"/>
              <w:bottom w:val="nil"/>
            </w:tcBorders>
          </w:tcPr>
          <w:p w14:paraId="76DE1B68" w14:textId="774F0F9B"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Pilot study began in 2012 and was expanded to national policy in 2015. </w:t>
            </w:r>
            <w:r w:rsidR="00C75E81" w:rsidRPr="001362A8">
              <w:rPr>
                <w:rFonts w:ascii="Times New Roman" w:eastAsia="PMingLiU" w:hAnsi="Times New Roman" w:cs="Times New Roman"/>
                <w:color w:val="000000" w:themeColor="text1"/>
                <w:sz w:val="20"/>
                <w:szCs w:val="20"/>
              </w:rPr>
              <w:t>The program f</w:t>
            </w:r>
            <w:r w:rsidR="008F61A3" w:rsidRPr="001362A8">
              <w:rPr>
                <w:rFonts w:ascii="Times New Roman" w:eastAsia="PMingLiU" w:hAnsi="Times New Roman" w:cs="Times New Roman"/>
                <w:color w:val="000000" w:themeColor="text1"/>
                <w:sz w:val="20"/>
                <w:szCs w:val="20"/>
              </w:rPr>
              <w:t>ocused</w:t>
            </w:r>
            <w:r w:rsidRPr="001362A8">
              <w:rPr>
                <w:rFonts w:ascii="Times New Roman" w:eastAsia="PMingLiU" w:hAnsi="Times New Roman" w:cs="Times New Roman"/>
                <w:color w:val="000000" w:themeColor="text1"/>
                <w:sz w:val="20"/>
                <w:szCs w:val="20"/>
              </w:rPr>
              <w:t xml:space="preserve"> on increasing hospital cleanliness and reducing antimicrobial-resistant organisms. </w:t>
            </w:r>
          </w:p>
        </w:tc>
      </w:tr>
      <w:tr w:rsidR="001362A8" w:rsidRPr="001362A8" w14:paraId="2FFDBC29" w14:textId="77777777" w:rsidTr="001A1D4B">
        <w:trPr>
          <w:trHeight w:val="665"/>
        </w:trPr>
        <w:tc>
          <w:tcPr>
            <w:tcW w:w="1101" w:type="dxa"/>
            <w:vMerge/>
          </w:tcPr>
          <w:p w14:paraId="2372B260" w14:textId="77777777" w:rsidR="000B0C66" w:rsidRPr="001362A8" w:rsidRDefault="000B0C66"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0231D5DC" w14:textId="77777777" w:rsidR="000B0C66" w:rsidRPr="001362A8" w:rsidRDefault="000B0C66"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Antimicrobial stewardship </w:t>
            </w:r>
            <w:r w:rsidR="00896DFE" w:rsidRPr="001362A8">
              <w:rPr>
                <w:rFonts w:ascii="Times New Roman" w:eastAsia="PMingLiU" w:hAnsi="Times New Roman" w:cs="Times New Roman"/>
                <w:color w:val="000000" w:themeColor="text1"/>
                <w:sz w:val="20"/>
                <w:szCs w:val="20"/>
              </w:rPr>
              <w:t xml:space="preserve"> program</w:t>
            </w:r>
          </w:p>
        </w:tc>
        <w:tc>
          <w:tcPr>
            <w:tcW w:w="6696" w:type="dxa"/>
            <w:tcBorders>
              <w:top w:val="single" w:sz="4" w:space="0" w:color="auto"/>
              <w:bottom w:val="nil"/>
            </w:tcBorders>
          </w:tcPr>
          <w:p w14:paraId="4CE60940" w14:textId="77777777" w:rsidR="000B0C66" w:rsidRPr="001362A8" w:rsidRDefault="00BF5EC4" w:rsidP="001A1D4B">
            <w:pPr>
              <w:spacing w:beforeLines="50" w:before="120" w:afterLines="50" w:after="120" w:line="360" w:lineRule="auto"/>
              <w:rPr>
                <w:rFonts w:ascii="Times New Roman" w:hAnsi="Times New Roman" w:cs="Times New Roman"/>
                <w:color w:val="000000" w:themeColor="text1"/>
                <w:sz w:val="20"/>
                <w:szCs w:val="20"/>
                <w:shd w:val="clear" w:color="auto" w:fill="FFFFFF"/>
              </w:rPr>
            </w:pPr>
            <w:r w:rsidRPr="001362A8">
              <w:rPr>
                <w:rFonts w:ascii="Times New Roman" w:hAnsi="Times New Roman" w:cs="Times New Roman"/>
                <w:color w:val="000000" w:themeColor="text1"/>
                <w:sz w:val="20"/>
                <w:szCs w:val="20"/>
                <w:shd w:val="clear" w:color="auto" w:fill="FFFFFF"/>
              </w:rPr>
              <w:t xml:space="preserve">The Bureau of National Health Insurance issued a new reimbursement regulation effective from </w:t>
            </w:r>
            <w:r w:rsidR="005B554F" w:rsidRPr="001362A8">
              <w:rPr>
                <w:rFonts w:ascii="Times New Roman" w:hAnsi="Times New Roman" w:cs="Times New Roman"/>
                <w:color w:val="000000" w:themeColor="text1"/>
                <w:sz w:val="20"/>
                <w:szCs w:val="20"/>
                <w:shd w:val="clear" w:color="auto" w:fill="FFFFFF"/>
              </w:rPr>
              <w:t xml:space="preserve">1 </w:t>
            </w:r>
            <w:r w:rsidRPr="001362A8">
              <w:rPr>
                <w:rFonts w:ascii="Times New Roman" w:hAnsi="Times New Roman" w:cs="Times New Roman"/>
                <w:color w:val="000000" w:themeColor="text1"/>
                <w:sz w:val="20"/>
                <w:szCs w:val="20"/>
                <w:shd w:val="clear" w:color="auto" w:fill="FFFFFF"/>
              </w:rPr>
              <w:t>February 2001 forbidding the use of antimicrobials in ambulatory patients with upper respiratory infections</w:t>
            </w:r>
            <w:r w:rsidR="005B554F" w:rsidRPr="001362A8">
              <w:rPr>
                <w:rFonts w:ascii="Times New Roman" w:hAnsi="Times New Roman" w:cs="Times New Roman"/>
                <w:color w:val="000000" w:themeColor="text1"/>
                <w:sz w:val="20"/>
                <w:szCs w:val="20"/>
                <w:shd w:val="clear" w:color="auto" w:fill="FFFFFF"/>
              </w:rPr>
              <w:t xml:space="preserve"> but</w:t>
            </w:r>
            <w:r w:rsidRPr="001362A8">
              <w:rPr>
                <w:rFonts w:ascii="Times New Roman" w:hAnsi="Times New Roman" w:cs="Times New Roman"/>
                <w:color w:val="000000" w:themeColor="text1"/>
                <w:sz w:val="20"/>
                <w:szCs w:val="20"/>
                <w:shd w:val="clear" w:color="auto" w:fill="FFFFFF"/>
              </w:rPr>
              <w:t xml:space="preserve"> without evidence of bacterial infection</w:t>
            </w:r>
            <w:r w:rsidR="00D56533" w:rsidRPr="001362A8">
              <w:rPr>
                <w:rFonts w:ascii="Times New Roman" w:hAnsi="Times New Roman" w:cs="Times New Roman"/>
                <w:color w:val="000000" w:themeColor="text1"/>
                <w:sz w:val="20"/>
                <w:szCs w:val="20"/>
                <w:shd w:val="clear" w:color="auto" w:fill="FFFFFF"/>
              </w:rPr>
              <w:t xml:space="preserve"> </w:t>
            </w:r>
            <w:r w:rsidR="001D6664" w:rsidRPr="001362A8">
              <w:rPr>
                <w:rFonts w:ascii="Times New Roman" w:hAnsi="Times New Roman" w:cs="Times New Roman"/>
                <w:color w:val="000000" w:themeColor="text1"/>
                <w:sz w:val="20"/>
                <w:szCs w:val="20"/>
                <w:shd w:val="clear" w:color="auto" w:fill="FFFFFF"/>
              </w:rPr>
              <w:fldChar w:fldCharType="begin"/>
            </w:r>
            <w:r w:rsidR="001D6664" w:rsidRPr="001362A8">
              <w:rPr>
                <w:rFonts w:ascii="Times New Roman" w:hAnsi="Times New Roman" w:cs="Times New Roman"/>
                <w:color w:val="000000" w:themeColor="text1"/>
                <w:sz w:val="20"/>
                <w:szCs w:val="20"/>
                <w:shd w:val="clear" w:color="auto" w:fill="FFFFFF"/>
              </w:rPr>
              <w:instrText xml:space="preserve"> ADDIN EN.CITE &lt;EndNote&gt;&lt;Cite&gt;&lt;Author&gt;Ho&lt;/Author&gt;&lt;RecNum&gt;135&lt;/RecNum&gt;&lt;DisplayText&gt;[7]&lt;/DisplayText&gt;&lt;record&gt;&lt;rec-number&gt;135&lt;/rec-number&gt;&lt;foreign-keys&gt;&lt;key app="EN" db-id="zewpdw50fw9pfdepetsv0fej2pvv2fspdsaf" timestamp="1523284592"&gt;135&lt;/key&gt;&lt;/foreign-keys&gt;&lt;ref-type name="Journal Article"&gt;17&lt;/ref-type&gt;&lt;contributors&gt;&lt;authors&gt;&lt;author&gt;Ho, Monto&lt;/author&gt;&lt;author&gt;Hsiung, Chao Agnes&lt;/author&gt;&lt;author&gt;Yu, Hui-Tzu&lt;/author&gt;&lt;author&gt;Chi, Cheng-Liang&lt;/author&gt;&lt;author&gt;Chang, Hong-Jen&lt;/author&gt;&lt;/authors&gt;&lt;/contributors&gt;&lt;titles&gt;&lt;title&gt;Changes before and after a policy to restrict antimicrobial usage in upper respiratory infections in Taiwan&lt;/title&gt;&lt;secondary-title&gt;International Journal of Antimicrobial Agents&lt;/secondary-title&gt;&lt;/titles&gt;&lt;periodical&gt;&lt;full-title&gt;International Journal of Antimicrobial Agents&lt;/full-title&gt;&lt;/periodical&gt;&lt;pages&gt;438-445&lt;/pages&gt;&lt;volume&gt;23&lt;/volume&gt;&lt;number&gt;5&lt;/number&gt;&lt;dates&gt;&lt;/dates&gt;&lt;publisher&gt;Elsevier&lt;/publisher&gt;&lt;isbn&gt;0924-8579&lt;/isbn&gt;&lt;urls&gt;&lt;related-urls&gt;&lt;url&gt;http://dx.doi.org/10.1016/j.ijantimicag.2003.10.013&lt;/url&gt;&lt;/related-urls&gt;&lt;/urls&gt;&lt;electronic-resource-num&gt;10.1016/j.ijantimicag.2003.10.013&lt;/electronic-resource-num&gt;&lt;access-date&gt;2018/04/09&lt;/access-date&gt;&lt;/record&gt;&lt;/Cite&gt;&lt;/EndNote&gt;</w:instrText>
            </w:r>
            <w:r w:rsidR="001D6664" w:rsidRPr="001362A8">
              <w:rPr>
                <w:rFonts w:ascii="Times New Roman" w:hAnsi="Times New Roman" w:cs="Times New Roman"/>
                <w:color w:val="000000" w:themeColor="text1"/>
                <w:sz w:val="20"/>
                <w:szCs w:val="20"/>
                <w:shd w:val="clear" w:color="auto" w:fill="FFFFFF"/>
              </w:rPr>
              <w:fldChar w:fldCharType="separate"/>
            </w:r>
            <w:r w:rsidR="001D6664" w:rsidRPr="001362A8">
              <w:rPr>
                <w:rFonts w:ascii="Times New Roman" w:hAnsi="Times New Roman" w:cs="Times New Roman"/>
                <w:noProof/>
                <w:color w:val="000000" w:themeColor="text1"/>
                <w:sz w:val="20"/>
                <w:szCs w:val="20"/>
                <w:shd w:val="clear" w:color="auto" w:fill="FFFFFF"/>
              </w:rPr>
              <w:t>[7]</w:t>
            </w:r>
            <w:r w:rsidR="001D6664" w:rsidRPr="001362A8">
              <w:rPr>
                <w:rFonts w:ascii="Times New Roman" w:hAnsi="Times New Roman" w:cs="Times New Roman"/>
                <w:color w:val="000000" w:themeColor="text1"/>
                <w:sz w:val="20"/>
                <w:szCs w:val="20"/>
                <w:shd w:val="clear" w:color="auto" w:fill="FFFFFF"/>
              </w:rPr>
              <w:fldChar w:fldCharType="end"/>
            </w:r>
            <w:r w:rsidRPr="001362A8">
              <w:rPr>
                <w:rFonts w:ascii="Times New Roman" w:hAnsi="Times New Roman" w:cs="Times New Roman"/>
                <w:color w:val="000000" w:themeColor="text1"/>
                <w:sz w:val="20"/>
                <w:szCs w:val="20"/>
                <w:shd w:val="clear" w:color="auto" w:fill="FFFFFF"/>
              </w:rPr>
              <w:t>.</w:t>
            </w:r>
            <w:r w:rsidR="00A6740D" w:rsidRPr="001362A8">
              <w:rPr>
                <w:rFonts w:ascii="Times New Roman" w:hAnsi="Times New Roman" w:cs="Times New Roman"/>
                <w:color w:val="000000" w:themeColor="text1"/>
                <w:sz w:val="20"/>
                <w:szCs w:val="20"/>
                <w:shd w:val="clear" w:color="auto" w:fill="FFFFFF"/>
              </w:rPr>
              <w:t xml:space="preserve"> </w:t>
            </w:r>
            <w:r w:rsidR="00ED23A9" w:rsidRPr="001362A8">
              <w:rPr>
                <w:rFonts w:ascii="Times New Roman" w:hAnsi="Times New Roman" w:cs="Times New Roman"/>
                <w:color w:val="000000" w:themeColor="text1"/>
                <w:sz w:val="20"/>
                <w:szCs w:val="20"/>
                <w:shd w:val="clear" w:color="auto" w:fill="FFFFFF"/>
              </w:rPr>
              <w:t xml:space="preserve">A recent </w:t>
            </w:r>
            <w:r w:rsidR="00ED23A9" w:rsidRPr="001362A8">
              <w:rPr>
                <w:rFonts w:ascii="Times New Roman" w:eastAsia="PMingLiU" w:hAnsi="Times New Roman" w:cs="Times New Roman"/>
                <w:color w:val="000000" w:themeColor="text1"/>
                <w:sz w:val="20"/>
                <w:szCs w:val="20"/>
              </w:rPr>
              <w:t>multifaceted national antimicrobial stewardship program</w:t>
            </w:r>
            <w:r w:rsidR="00D87C67" w:rsidRPr="001362A8">
              <w:rPr>
                <w:rFonts w:ascii="Times New Roman" w:eastAsia="PMingLiU" w:hAnsi="Times New Roman" w:cs="Times New Roman"/>
                <w:color w:val="000000" w:themeColor="text1"/>
                <w:sz w:val="20"/>
                <w:szCs w:val="20"/>
              </w:rPr>
              <w:t xml:space="preserve"> </w:t>
            </w:r>
            <w:r w:rsidR="00ED23A9" w:rsidRPr="001362A8">
              <w:rPr>
                <w:rFonts w:ascii="Times New Roman" w:eastAsia="PMingLiU" w:hAnsi="Times New Roman" w:cs="Times New Roman"/>
                <w:color w:val="000000" w:themeColor="text1"/>
                <w:sz w:val="20"/>
                <w:szCs w:val="20"/>
              </w:rPr>
              <w:t>(</w:t>
            </w:r>
            <w:r w:rsidR="000B0C66" w:rsidRPr="001362A8">
              <w:rPr>
                <w:rFonts w:ascii="Times New Roman" w:eastAsia="PMingLiU" w:hAnsi="Times New Roman" w:cs="Times New Roman"/>
                <w:color w:val="000000" w:themeColor="text1"/>
                <w:sz w:val="20"/>
                <w:szCs w:val="20"/>
              </w:rPr>
              <w:t>2013</w:t>
            </w:r>
            <w:r w:rsidR="00ED23A9" w:rsidRPr="001362A8">
              <w:rPr>
                <w:rFonts w:ascii="Times New Roman" w:eastAsia="PMingLiU" w:hAnsi="Times New Roman" w:cs="Times New Roman"/>
                <w:color w:val="000000" w:themeColor="text1"/>
                <w:sz w:val="20"/>
                <w:szCs w:val="20"/>
              </w:rPr>
              <w:t>-2015)</w:t>
            </w:r>
            <w:r w:rsidR="000B0C66" w:rsidRPr="001362A8">
              <w:rPr>
                <w:rFonts w:ascii="Times New Roman" w:eastAsia="PMingLiU" w:hAnsi="Times New Roman" w:cs="Times New Roman"/>
                <w:color w:val="000000" w:themeColor="text1"/>
                <w:sz w:val="20"/>
                <w:szCs w:val="20"/>
              </w:rPr>
              <w:t xml:space="preserve"> </w:t>
            </w:r>
            <w:r w:rsidR="00ED23A9" w:rsidRPr="001362A8">
              <w:rPr>
                <w:rFonts w:ascii="Times New Roman" w:eastAsia="PMingLiU" w:hAnsi="Times New Roman" w:cs="Times New Roman"/>
                <w:color w:val="000000" w:themeColor="text1"/>
                <w:sz w:val="20"/>
                <w:szCs w:val="20"/>
              </w:rPr>
              <w:t>included</w:t>
            </w:r>
            <w:r w:rsidR="000B0C66" w:rsidRPr="001362A8">
              <w:rPr>
                <w:rFonts w:ascii="Times New Roman" w:eastAsia="PMingLiU" w:hAnsi="Times New Roman" w:cs="Times New Roman"/>
                <w:color w:val="000000" w:themeColor="text1"/>
                <w:sz w:val="20"/>
                <w:szCs w:val="20"/>
              </w:rPr>
              <w:t xml:space="preserve"> a national task force, </w:t>
            </w:r>
            <w:r w:rsidR="00116F4A" w:rsidRPr="001362A8">
              <w:rPr>
                <w:rFonts w:ascii="Times New Roman" w:eastAsia="PMingLiU" w:hAnsi="Times New Roman" w:cs="Times New Roman"/>
                <w:color w:val="000000" w:themeColor="text1"/>
                <w:sz w:val="20"/>
                <w:szCs w:val="20"/>
              </w:rPr>
              <w:t xml:space="preserve">AMR </w:t>
            </w:r>
            <w:r w:rsidR="000B0C66" w:rsidRPr="001362A8">
              <w:rPr>
                <w:rFonts w:ascii="Times New Roman" w:eastAsia="PMingLiU" w:hAnsi="Times New Roman" w:cs="Times New Roman"/>
                <w:color w:val="000000" w:themeColor="text1"/>
                <w:sz w:val="20"/>
                <w:szCs w:val="20"/>
              </w:rPr>
              <w:t>management strategies, surveillance of HAI</w:t>
            </w:r>
            <w:r w:rsidR="00A6740D" w:rsidRPr="001362A8">
              <w:rPr>
                <w:rFonts w:ascii="Times New Roman" w:eastAsia="PMingLiU" w:hAnsi="Times New Roman" w:cs="Times New Roman"/>
                <w:color w:val="000000" w:themeColor="text1"/>
                <w:sz w:val="20"/>
                <w:szCs w:val="20"/>
              </w:rPr>
              <w:t>,</w:t>
            </w:r>
            <w:r w:rsidR="000B0C66" w:rsidRPr="001362A8">
              <w:rPr>
                <w:rFonts w:ascii="Times New Roman" w:eastAsia="PMingLiU" w:hAnsi="Times New Roman" w:cs="Times New Roman"/>
                <w:color w:val="000000" w:themeColor="text1"/>
                <w:sz w:val="20"/>
                <w:szCs w:val="20"/>
              </w:rPr>
              <w:t xml:space="preserve"> selected </w:t>
            </w:r>
            <w:r w:rsidR="00A6740D" w:rsidRPr="001362A8">
              <w:rPr>
                <w:rFonts w:ascii="Times New Roman" w:eastAsia="PMingLiU" w:hAnsi="Times New Roman" w:cs="Times New Roman"/>
                <w:color w:val="000000" w:themeColor="text1"/>
                <w:sz w:val="20"/>
                <w:szCs w:val="20"/>
              </w:rPr>
              <w:t>AMR</w:t>
            </w:r>
            <w:r w:rsidR="000B0C66" w:rsidRPr="001362A8">
              <w:rPr>
                <w:rFonts w:ascii="Times New Roman" w:eastAsia="PMingLiU" w:hAnsi="Times New Roman" w:cs="Times New Roman"/>
                <w:color w:val="000000" w:themeColor="text1"/>
                <w:sz w:val="20"/>
                <w:szCs w:val="20"/>
              </w:rPr>
              <w:t xml:space="preserve"> bacteria</w:t>
            </w:r>
            <w:r w:rsidR="00A6740D" w:rsidRPr="001362A8">
              <w:rPr>
                <w:rFonts w:ascii="Times New Roman" w:eastAsia="PMingLiU" w:hAnsi="Times New Roman" w:cs="Times New Roman"/>
                <w:color w:val="000000" w:themeColor="text1"/>
                <w:sz w:val="20"/>
                <w:szCs w:val="20"/>
              </w:rPr>
              <w:t xml:space="preserve"> and the</w:t>
            </w:r>
            <w:r w:rsidR="000B0C66" w:rsidRPr="001362A8">
              <w:rPr>
                <w:rFonts w:ascii="Times New Roman" w:eastAsia="PMingLiU" w:hAnsi="Times New Roman" w:cs="Times New Roman"/>
                <w:color w:val="000000" w:themeColor="text1"/>
                <w:sz w:val="20"/>
                <w:szCs w:val="20"/>
              </w:rPr>
              <w:t xml:space="preserve"> antimicrobial use, continuation of aforementioned hospital </w:t>
            </w:r>
            <w:r w:rsidR="00A6740D" w:rsidRPr="001362A8">
              <w:rPr>
                <w:rFonts w:ascii="Times New Roman" w:eastAsia="PMingLiU" w:hAnsi="Times New Roman" w:cs="Times New Roman"/>
                <w:color w:val="000000" w:themeColor="text1"/>
                <w:sz w:val="20"/>
                <w:szCs w:val="20"/>
              </w:rPr>
              <w:t>IPC</w:t>
            </w:r>
            <w:r w:rsidR="000B0C66" w:rsidRPr="001362A8">
              <w:rPr>
                <w:rFonts w:ascii="Times New Roman" w:eastAsia="PMingLiU" w:hAnsi="Times New Roman" w:cs="Times New Roman"/>
                <w:color w:val="000000" w:themeColor="text1"/>
                <w:sz w:val="20"/>
                <w:szCs w:val="20"/>
              </w:rPr>
              <w:t xml:space="preserve"> programs, and regulation of pharmaceutical affairs </w:t>
            </w:r>
            <w:r w:rsidR="000B0C66" w:rsidRPr="001362A8">
              <w:rPr>
                <w:rFonts w:ascii="Times New Roman" w:eastAsia="PMingLiU" w:hAnsi="Times New Roman" w:cs="Times New Roman"/>
                <w:color w:val="000000" w:themeColor="text1"/>
                <w:sz w:val="20"/>
                <w:szCs w:val="20"/>
              </w:rPr>
              <w:fldChar w:fldCharType="begin">
                <w:fldData xml:space="preserve">PEVuZE5vdGU+PENpdGU+PEF1dGhvcj5Uc2VuZzwvQXV0aG9yPjxZZWFyPjIwMTI8L1llYXI+PFJl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</w:fldData>
              </w:fldChar>
            </w:r>
            <w:r w:rsidR="003D71B1" w:rsidRPr="001362A8">
              <w:rPr>
                <w:rFonts w:ascii="Times New Roman" w:eastAsia="PMingLiU" w:hAnsi="Times New Roman" w:cs="Times New Roman"/>
                <w:color w:val="000000" w:themeColor="text1"/>
                <w:sz w:val="20"/>
                <w:szCs w:val="20"/>
              </w:rPr>
              <w:instrText xml:space="preserve"> ADDIN EN.CITE </w:instrText>
            </w:r>
            <w:r w:rsidR="003D71B1" w:rsidRPr="001362A8">
              <w:rPr>
                <w:rFonts w:ascii="Times New Roman" w:eastAsia="PMingLiU" w:hAnsi="Times New Roman" w:cs="Times New Roman"/>
                <w:color w:val="000000" w:themeColor="text1"/>
                <w:sz w:val="20"/>
                <w:szCs w:val="20"/>
              </w:rPr>
              <w:fldChar w:fldCharType="begin">
                <w:fldData xml:space="preserve">PEVuZE5vdGU+PENpdGU+PEF1dGhvcj5Uc2VuZzwvQXV0aG9yPjxZZWFyPjIwMTI8L1llYXI+PFJl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</w:fldData>
              </w:fldChar>
            </w:r>
            <w:r w:rsidR="003D71B1" w:rsidRPr="001362A8">
              <w:rPr>
                <w:rFonts w:ascii="Times New Roman" w:eastAsia="PMingLiU" w:hAnsi="Times New Roman" w:cs="Times New Roman"/>
                <w:color w:val="000000" w:themeColor="text1"/>
                <w:sz w:val="20"/>
                <w:szCs w:val="20"/>
              </w:rPr>
              <w:instrText xml:space="preserve"> ADDIN EN.CITE.DATA </w:instrText>
            </w:r>
            <w:r w:rsidR="003D71B1" w:rsidRPr="001362A8">
              <w:rPr>
                <w:rFonts w:ascii="Times New Roman" w:eastAsia="PMingLiU" w:hAnsi="Times New Roman" w:cs="Times New Roman"/>
                <w:color w:val="000000" w:themeColor="text1"/>
                <w:sz w:val="20"/>
                <w:szCs w:val="20"/>
              </w:rPr>
            </w:r>
            <w:r w:rsidR="003D71B1" w:rsidRPr="001362A8">
              <w:rPr>
                <w:rFonts w:ascii="Times New Roman" w:eastAsia="PMingLiU" w:hAnsi="Times New Roman" w:cs="Times New Roman"/>
                <w:color w:val="000000" w:themeColor="text1"/>
                <w:sz w:val="20"/>
                <w:szCs w:val="20"/>
              </w:rPr>
              <w:fldChar w:fldCharType="end"/>
            </w:r>
            <w:r w:rsidR="000B0C66" w:rsidRPr="001362A8">
              <w:rPr>
                <w:rFonts w:ascii="Times New Roman" w:eastAsia="PMingLiU" w:hAnsi="Times New Roman" w:cs="Times New Roman"/>
                <w:color w:val="000000" w:themeColor="text1"/>
                <w:sz w:val="20"/>
                <w:szCs w:val="20"/>
              </w:rPr>
            </w:r>
            <w:r w:rsidR="000B0C66" w:rsidRPr="001362A8">
              <w:rPr>
                <w:rFonts w:ascii="Times New Roman" w:eastAsia="PMingLiU" w:hAnsi="Times New Roman" w:cs="Times New Roman"/>
                <w:color w:val="000000" w:themeColor="text1"/>
                <w:sz w:val="20"/>
                <w:szCs w:val="20"/>
              </w:rPr>
              <w:fldChar w:fldCharType="separate"/>
            </w:r>
            <w:r w:rsidR="003D71B1" w:rsidRPr="001362A8">
              <w:rPr>
                <w:rFonts w:ascii="Times New Roman" w:eastAsia="PMingLiU" w:hAnsi="Times New Roman" w:cs="Times New Roman"/>
                <w:noProof/>
                <w:color w:val="000000" w:themeColor="text1"/>
                <w:sz w:val="20"/>
                <w:szCs w:val="20"/>
              </w:rPr>
              <w:t>[8, 9]</w:t>
            </w:r>
            <w:r w:rsidR="000B0C66" w:rsidRPr="001362A8">
              <w:rPr>
                <w:rFonts w:ascii="Times New Roman" w:eastAsia="PMingLiU" w:hAnsi="Times New Roman" w:cs="Times New Roman"/>
                <w:color w:val="000000" w:themeColor="text1"/>
                <w:sz w:val="20"/>
                <w:szCs w:val="20"/>
              </w:rPr>
              <w:fldChar w:fldCharType="end"/>
            </w:r>
            <w:r w:rsidR="000B0C66" w:rsidRPr="001362A8">
              <w:rPr>
                <w:rFonts w:ascii="Times New Roman" w:eastAsia="PMingLiU" w:hAnsi="Times New Roman" w:cs="Times New Roman"/>
                <w:color w:val="000000" w:themeColor="text1"/>
                <w:sz w:val="20"/>
                <w:szCs w:val="20"/>
              </w:rPr>
              <w:t xml:space="preserve">. </w:t>
            </w:r>
          </w:p>
        </w:tc>
      </w:tr>
      <w:tr w:rsidR="001362A8" w:rsidRPr="001362A8" w14:paraId="66818B9C" w14:textId="77777777" w:rsidTr="001A1D4B">
        <w:trPr>
          <w:trHeight w:val="665"/>
        </w:trPr>
        <w:tc>
          <w:tcPr>
            <w:tcW w:w="1101" w:type="dxa"/>
            <w:vMerge w:val="restart"/>
            <w:tcBorders>
              <w:top w:val="single" w:sz="4" w:space="0" w:color="auto"/>
            </w:tcBorders>
          </w:tcPr>
          <w:p w14:paraId="34284E8E"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r w:rsidRPr="001362A8">
              <w:rPr>
                <w:rFonts w:ascii="Times New Roman" w:eastAsia="PMingLiU" w:hAnsi="Times New Roman" w:cs="Times New Roman"/>
                <w:b/>
                <w:bCs/>
                <w:color w:val="000000" w:themeColor="text1"/>
                <w:sz w:val="20"/>
                <w:szCs w:val="20"/>
              </w:rPr>
              <w:t>South Korea</w:t>
            </w:r>
          </w:p>
        </w:tc>
        <w:tc>
          <w:tcPr>
            <w:tcW w:w="2126" w:type="dxa"/>
            <w:tcBorders>
              <w:top w:val="single" w:sz="4" w:space="0" w:color="auto"/>
              <w:bottom w:val="nil"/>
            </w:tcBorders>
          </w:tcPr>
          <w:p w14:paraId="095A7960"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Antimicrobial stewardship program</w:t>
            </w:r>
          </w:p>
        </w:tc>
        <w:tc>
          <w:tcPr>
            <w:tcW w:w="6696" w:type="dxa"/>
            <w:tcBorders>
              <w:top w:val="single" w:sz="4" w:space="0" w:color="auto"/>
              <w:bottom w:val="nil"/>
            </w:tcBorders>
          </w:tcPr>
          <w:p w14:paraId="6EEF1EE8"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Malgun Gothic" w:hAnsi="Times New Roman" w:cs="Times New Roman"/>
                <w:color w:val="000000" w:themeColor="text1"/>
                <w:sz w:val="20"/>
                <w:szCs w:val="20"/>
                <w:lang w:eastAsia="ko-KR"/>
              </w:rPr>
              <w:t xml:space="preserve">In order to </w:t>
            </w:r>
            <w:r w:rsidRPr="001362A8">
              <w:rPr>
                <w:rFonts w:ascii="Times New Roman" w:hAnsi="Times New Roman" w:cs="Times New Roman"/>
                <w:color w:val="000000" w:themeColor="text1"/>
                <w:sz w:val="20"/>
                <w:szCs w:val="20"/>
              </w:rPr>
              <w:t>encourage appropriate prescription of antibiotics in medical institutions</w:t>
            </w:r>
            <w:r w:rsidRPr="001362A8">
              <w:rPr>
                <w:rFonts w:ascii="Times New Roman" w:eastAsia="Malgun Gothic" w:hAnsi="Times New Roman" w:cs="Times New Roman"/>
                <w:color w:val="000000" w:themeColor="text1"/>
                <w:sz w:val="20"/>
                <w:szCs w:val="20"/>
                <w:lang w:eastAsia="ko-KR"/>
              </w:rPr>
              <w:t xml:space="preserve">, </w:t>
            </w:r>
            <w:r w:rsidRPr="001362A8">
              <w:rPr>
                <w:rFonts w:ascii="Times New Roman" w:hAnsi="Times New Roman" w:cs="Times New Roman"/>
                <w:color w:val="000000" w:themeColor="text1"/>
                <w:sz w:val="20"/>
                <w:szCs w:val="20"/>
                <w:shd w:val="clear" w:color="auto" w:fill="FFFFFF"/>
              </w:rPr>
              <w:t>the government has implemented a series of healthcare policies, consisting of legislative separation of drug prescribing and dispensing, antibiotic utilization reviews, healthcare quality assessment, and public reporting</w:t>
            </w:r>
            <w:r w:rsidRPr="001362A8">
              <w:rPr>
                <w:rFonts w:ascii="Times New Roman" w:eastAsia="Malgun Gothic" w:hAnsi="Times New Roman" w:cs="Times New Roman"/>
                <w:color w:val="000000" w:themeColor="text1"/>
                <w:sz w:val="20"/>
                <w:szCs w:val="20"/>
                <w:shd w:val="clear" w:color="auto" w:fill="FFFFFF"/>
                <w:lang w:eastAsia="ko-KR"/>
              </w:rPr>
              <w:t xml:space="preserve"> since 2000</w:t>
            </w:r>
            <w:r w:rsidR="00810952" w:rsidRPr="001362A8">
              <w:rPr>
                <w:rFonts w:ascii="Times New Roman" w:eastAsia="Malgun Gothic" w:hAnsi="Times New Roman" w:cs="Times New Roman"/>
                <w:color w:val="000000" w:themeColor="text1"/>
                <w:sz w:val="20"/>
                <w:szCs w:val="20"/>
                <w:shd w:val="clear" w:color="auto" w:fill="FFFFFF"/>
                <w:lang w:eastAsia="ko-KR"/>
              </w:rPr>
              <w:t xml:space="preserve"> </w:t>
            </w:r>
            <w:r w:rsidR="00810952" w:rsidRPr="001362A8">
              <w:rPr>
                <w:rFonts w:ascii="Times New Roman" w:eastAsia="Malgun Gothic" w:hAnsi="Times New Roman" w:cs="Times New Roman"/>
                <w:color w:val="000000" w:themeColor="text1"/>
                <w:sz w:val="20"/>
                <w:szCs w:val="20"/>
                <w:shd w:val="clear" w:color="auto" w:fill="FFFFFF"/>
                <w:lang w:eastAsia="ko-KR"/>
              </w:rPr>
              <w:fldChar w:fldCharType="begin"/>
            </w:r>
            <w:r w:rsidR="00810952" w:rsidRPr="001362A8">
              <w:rPr>
                <w:rFonts w:ascii="Times New Roman" w:eastAsia="Malgun Gothic" w:hAnsi="Times New Roman" w:cs="Times New Roman"/>
                <w:color w:val="000000" w:themeColor="text1"/>
                <w:sz w:val="20"/>
                <w:szCs w:val="20"/>
                <w:shd w:val="clear" w:color="auto" w:fill="FFFFFF"/>
                <w:lang w:eastAsia="ko-KR"/>
              </w:rPr>
              <w:instrText xml:space="preserve"> ADDIN EN.CITE &lt;EndNote&gt;&lt;Cite&gt;&lt;Author&gt;Kim&lt;/Author&gt;&lt;Year&gt;2016&lt;/Year&gt;&lt;RecNum&gt;137&lt;/RecNum&gt;&lt;DisplayText&gt;[10]&lt;/DisplayText&gt;&lt;record&gt;&lt;rec-number&gt;137&lt;/rec-number&gt;&lt;foreign-keys&gt;&lt;key app="EN" db-id="zewpdw50fw9pfdepetsv0fej2pvv2fspdsaf" timestamp="1523284775"&gt;137&lt;/key&gt;&lt;/foreign-keys&gt;&lt;ref-type name="Journal Article"&gt;17&lt;/ref-type&gt;&lt;contributors&gt;&lt;authors&gt;&lt;author&gt;Kim, Baek-Nam&lt;/author&gt;&lt;author&gt;Kim, Hong Bin&lt;/author&gt;&lt;author&gt;Oh, Myoung-Don&lt;/author&gt;&lt;/authors&gt;&lt;/contributors&gt;&lt;titles&gt;&lt;title&gt;Antibiotic Control Policies in South Korea, 2000-2013&lt;/title&gt;&lt;secondary-title&gt;Infection &amp;amp; Chemotherapy&lt;/secondary-title&gt;&lt;/titles&gt;&lt;periodical&gt;&lt;full-title&gt;Infection &amp;amp; Chemotherapy&lt;/full-title&gt;&lt;/periodical&gt;&lt;pages&gt;151-159&lt;/pages&gt;&lt;volume&gt;48&lt;/volume&gt;&lt;number&gt;3&lt;/number&gt;&lt;dates&gt;&lt;year&gt;2016&lt;/year&gt;&lt;pub-dates&gt;&lt;date&gt;09/23&amp;#xD;08/02/received&lt;/date&gt;&lt;/pub-dates&gt;&lt;/dates&gt;&lt;publisher&gt;The Korean Society of Infectious Diseases and Korean Society for Chemotherapy&lt;/publisher&gt;&lt;isbn&gt;2093-2340&amp;#xD;2092-6448&lt;/isbn&gt;&lt;accession-num&gt;PMC5047995&lt;/accession-num&gt;&lt;urls&gt;&lt;related-urls&gt;&lt;url&gt;http://www.ncbi.nlm.nih.gov/pmc/articles/PMC5047995/&lt;/url&gt;&lt;/related-urls&gt;&lt;/urls&gt;&lt;electronic-resource-num&gt;10.3947/ic.2016.48.3.151&lt;/electronic-resource-num&gt;&lt;remote-database-name&gt;PMC&lt;/remote-database-name&gt;&lt;/record&gt;&lt;/Cite&gt;&lt;/EndNote&gt;</w:instrText>
            </w:r>
            <w:r w:rsidR="00810952" w:rsidRPr="001362A8">
              <w:rPr>
                <w:rFonts w:ascii="Times New Roman" w:eastAsia="Malgun Gothic" w:hAnsi="Times New Roman" w:cs="Times New Roman"/>
                <w:color w:val="000000" w:themeColor="text1"/>
                <w:sz w:val="20"/>
                <w:szCs w:val="20"/>
                <w:shd w:val="clear" w:color="auto" w:fill="FFFFFF"/>
                <w:lang w:eastAsia="ko-KR"/>
              </w:rPr>
              <w:fldChar w:fldCharType="separate"/>
            </w:r>
            <w:r w:rsidR="00810952" w:rsidRPr="001362A8">
              <w:rPr>
                <w:rFonts w:ascii="Times New Roman" w:eastAsia="Malgun Gothic" w:hAnsi="Times New Roman" w:cs="Times New Roman"/>
                <w:noProof/>
                <w:color w:val="000000" w:themeColor="text1"/>
                <w:sz w:val="20"/>
                <w:szCs w:val="20"/>
                <w:shd w:val="clear" w:color="auto" w:fill="FFFFFF"/>
                <w:lang w:eastAsia="ko-KR"/>
              </w:rPr>
              <w:t>[10]</w:t>
            </w:r>
            <w:r w:rsidR="00810952" w:rsidRPr="001362A8">
              <w:rPr>
                <w:rFonts w:ascii="Times New Roman" w:eastAsia="Malgun Gothic" w:hAnsi="Times New Roman" w:cs="Times New Roman"/>
                <w:color w:val="000000" w:themeColor="text1"/>
                <w:sz w:val="20"/>
                <w:szCs w:val="20"/>
                <w:shd w:val="clear" w:color="auto" w:fill="FFFFFF"/>
                <w:lang w:eastAsia="ko-KR"/>
              </w:rPr>
              <w:fldChar w:fldCharType="end"/>
            </w:r>
            <w:r w:rsidR="00810952" w:rsidRPr="001362A8">
              <w:rPr>
                <w:rFonts w:ascii="Times New Roman" w:eastAsia="Malgun Gothic" w:hAnsi="Times New Roman" w:cs="Times New Roman"/>
                <w:color w:val="000000" w:themeColor="text1"/>
                <w:sz w:val="20"/>
                <w:szCs w:val="20"/>
                <w:shd w:val="clear" w:color="auto" w:fill="FFFFFF"/>
                <w:lang w:eastAsia="ko-KR"/>
              </w:rPr>
              <w:t>.</w:t>
            </w:r>
            <w:r w:rsidRPr="001362A8">
              <w:rPr>
                <w:rFonts w:ascii="Times New Roman" w:eastAsia="Malgun Gothic" w:hAnsi="Times New Roman" w:cs="Times New Roman"/>
                <w:color w:val="000000" w:themeColor="text1"/>
                <w:sz w:val="20"/>
                <w:szCs w:val="20"/>
                <w:shd w:val="clear" w:color="auto" w:fill="FFFFFF"/>
                <w:lang w:eastAsia="ko-KR"/>
              </w:rPr>
              <w:t xml:space="preserve"> </w:t>
            </w:r>
          </w:p>
        </w:tc>
      </w:tr>
      <w:tr w:rsidR="001362A8" w:rsidRPr="001362A8" w14:paraId="01BA161D" w14:textId="77777777" w:rsidTr="001A1D4B">
        <w:trPr>
          <w:trHeight w:val="665"/>
        </w:trPr>
        <w:tc>
          <w:tcPr>
            <w:tcW w:w="1101" w:type="dxa"/>
            <w:vMerge/>
            <w:tcBorders>
              <w:top w:val="single" w:sz="4" w:space="0" w:color="auto"/>
            </w:tcBorders>
          </w:tcPr>
          <w:p w14:paraId="12D5DE14"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31B56927"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bookmarkStart w:id="1" w:name="OLE_LINK2"/>
            <w:r w:rsidRPr="001362A8">
              <w:rPr>
                <w:rFonts w:ascii="Times New Roman" w:eastAsia="PMingLiU" w:hAnsi="Times New Roman" w:cs="Times New Roman"/>
                <w:color w:val="000000" w:themeColor="text1"/>
                <w:sz w:val="20"/>
                <w:szCs w:val="20"/>
              </w:rPr>
              <w:t>National guidelines on infection control</w:t>
            </w:r>
            <w:bookmarkEnd w:id="1"/>
          </w:p>
        </w:tc>
        <w:tc>
          <w:tcPr>
            <w:tcW w:w="6696" w:type="dxa"/>
            <w:tcBorders>
              <w:top w:val="single" w:sz="4" w:space="0" w:color="auto"/>
              <w:bottom w:val="nil"/>
            </w:tcBorders>
          </w:tcPr>
          <w:p w14:paraId="178FC660" w14:textId="77777777" w:rsidR="00210067" w:rsidRPr="001362A8" w:rsidRDefault="00210067" w:rsidP="001A1D4B">
            <w:pPr>
              <w:spacing w:beforeLines="50" w:before="120" w:afterLines="50" w:after="120" w:line="360" w:lineRule="auto"/>
              <w:rPr>
                <w:rFonts w:ascii="Times New Roman" w:hAnsi="Times New Roman" w:cs="Times New Roman"/>
                <w:color w:val="000000" w:themeColor="text1"/>
                <w:sz w:val="20"/>
                <w:szCs w:val="20"/>
              </w:rPr>
            </w:pPr>
            <w:r w:rsidRPr="001362A8">
              <w:rPr>
                <w:rFonts w:ascii="Times New Roman" w:hAnsi="Times New Roman" w:cs="Times New Roman"/>
                <w:color w:val="000000" w:themeColor="text1"/>
                <w:sz w:val="20"/>
                <w:szCs w:val="20"/>
              </w:rPr>
              <w:t xml:space="preserve">Guidelines for healthcare-associated infection prevention and control program were developed </w:t>
            </w:r>
            <w:r w:rsidRPr="001362A8">
              <w:rPr>
                <w:rFonts w:ascii="Times New Roman" w:eastAsia="Malgun Gothic" w:hAnsi="Times New Roman" w:cs="Times New Roman"/>
                <w:color w:val="000000" w:themeColor="text1"/>
                <w:sz w:val="20"/>
                <w:szCs w:val="20"/>
                <w:lang w:eastAsia="ko-KR"/>
              </w:rPr>
              <w:t xml:space="preserve">by the government </w:t>
            </w:r>
            <w:r w:rsidRPr="001362A8">
              <w:rPr>
                <w:rFonts w:ascii="Times New Roman" w:hAnsi="Times New Roman" w:cs="Times New Roman"/>
                <w:color w:val="000000" w:themeColor="text1"/>
                <w:sz w:val="20"/>
                <w:szCs w:val="20"/>
              </w:rPr>
              <w:t>and implemented in 200</w:t>
            </w:r>
            <w:r w:rsidRPr="001362A8">
              <w:rPr>
                <w:rFonts w:ascii="Times New Roman" w:eastAsia="Malgun Gothic" w:hAnsi="Times New Roman" w:cs="Times New Roman"/>
                <w:color w:val="000000" w:themeColor="text1"/>
                <w:sz w:val="20"/>
                <w:szCs w:val="20"/>
                <w:lang w:eastAsia="ko-KR"/>
              </w:rPr>
              <w:t xml:space="preserve">2 </w:t>
            </w:r>
            <w:r w:rsidR="001B14C9" w:rsidRPr="001362A8">
              <w:rPr>
                <w:rFonts w:ascii="Times New Roman" w:eastAsia="Malgun Gothic" w:hAnsi="Times New Roman" w:cs="Times New Roman"/>
                <w:color w:val="000000" w:themeColor="text1"/>
                <w:sz w:val="20"/>
                <w:szCs w:val="20"/>
                <w:lang w:eastAsia="ko-KR"/>
              </w:rPr>
              <w:fldChar w:fldCharType="begin"/>
            </w:r>
            <w:r w:rsidR="001B14C9" w:rsidRPr="001362A8">
              <w:rPr>
                <w:rFonts w:ascii="Times New Roman" w:eastAsia="Malgun Gothic" w:hAnsi="Times New Roman" w:cs="Times New Roman"/>
                <w:color w:val="000000" w:themeColor="text1"/>
                <w:sz w:val="20"/>
                <w:szCs w:val="20"/>
                <w:lang w:eastAsia="ko-KR"/>
              </w:rPr>
              <w:instrText xml:space="preserve"> ADDIN EN.CITE &lt;EndNote&gt;&lt;Cite&gt;&lt;Author&gt;Organization&lt;/Author&gt;&lt;Year&gt;2017&lt;/Year&gt;&lt;RecNum&gt;138&lt;/RecNum&gt;&lt;DisplayText&gt;[11]&lt;/DisplayText&gt;&lt;record&gt;&lt;rec-number&gt;138&lt;/rec-number&gt;&lt;foreign-keys&gt;&lt;key app="EN" db-id="zewpdw50fw9pfdepetsv0fej2pvv2fspdsaf" timestamp="1523284876"&gt;138&lt;/key&gt;&lt;/foreign-keys&gt;&lt;ref-type name="Web Page"&gt;12&lt;/ref-type&gt;&lt;contributors&gt;&lt;authors&gt;&lt;author&gt;World Health Organization&lt;/author&gt;&lt;/authors&gt;&lt;/contributors&gt;&lt;titles&gt;&lt;title&gt;Joint external evaluation of IHR core capacities of the Republic of Korea&lt;/title&gt;&lt;/titles&gt;&lt;volume&gt;2018&lt;/volume&gt;&lt;number&gt;3/24&lt;/number&gt;&lt;dates&gt;&lt;year&gt;2017&lt;/year&gt;&lt;/dates&gt;&lt;urls&gt;&lt;related-urls&gt;&lt;url&gt;https://extranet.who.int/spp/sites/default/files/jeeta/WHO-WHE-CPI-2017.65-eng.pdf&lt;/url&gt;&lt;/related-urls&gt;&lt;/urls&gt;&lt;/record&gt;&lt;/Cite&gt;&lt;/EndNote&gt;</w:instrText>
            </w:r>
            <w:r w:rsidR="001B14C9" w:rsidRPr="001362A8">
              <w:rPr>
                <w:rFonts w:ascii="Times New Roman" w:eastAsia="Malgun Gothic" w:hAnsi="Times New Roman" w:cs="Times New Roman"/>
                <w:color w:val="000000" w:themeColor="text1"/>
                <w:sz w:val="20"/>
                <w:szCs w:val="20"/>
                <w:lang w:eastAsia="ko-KR"/>
              </w:rPr>
              <w:fldChar w:fldCharType="separate"/>
            </w:r>
            <w:r w:rsidR="001B14C9" w:rsidRPr="001362A8">
              <w:rPr>
                <w:rFonts w:ascii="Times New Roman" w:eastAsia="Malgun Gothic" w:hAnsi="Times New Roman" w:cs="Times New Roman"/>
                <w:noProof/>
                <w:color w:val="000000" w:themeColor="text1"/>
                <w:sz w:val="20"/>
                <w:szCs w:val="20"/>
                <w:lang w:eastAsia="ko-KR"/>
              </w:rPr>
              <w:t>[11]</w:t>
            </w:r>
            <w:r w:rsidR="001B14C9" w:rsidRPr="001362A8">
              <w:rPr>
                <w:rFonts w:ascii="Times New Roman" w:eastAsia="Malgun Gothic" w:hAnsi="Times New Roman" w:cs="Times New Roman"/>
                <w:color w:val="000000" w:themeColor="text1"/>
                <w:sz w:val="20"/>
                <w:szCs w:val="20"/>
                <w:lang w:eastAsia="ko-KR"/>
              </w:rPr>
              <w:fldChar w:fldCharType="end"/>
            </w:r>
            <w:r w:rsidRPr="001362A8">
              <w:rPr>
                <w:rFonts w:ascii="Times New Roman" w:eastAsia="Malgun Gothic" w:hAnsi="Times New Roman" w:cs="Times New Roman"/>
                <w:color w:val="000000" w:themeColor="text1"/>
                <w:sz w:val="20"/>
                <w:szCs w:val="20"/>
                <w:lang w:eastAsia="ko-KR"/>
              </w:rPr>
              <w:t xml:space="preserve">. </w:t>
            </w:r>
          </w:p>
        </w:tc>
      </w:tr>
      <w:tr w:rsidR="001362A8" w:rsidRPr="001362A8" w14:paraId="2F8BECED" w14:textId="77777777" w:rsidTr="001A1D4B">
        <w:trPr>
          <w:trHeight w:val="665"/>
        </w:trPr>
        <w:tc>
          <w:tcPr>
            <w:tcW w:w="1101" w:type="dxa"/>
            <w:vMerge/>
            <w:tcBorders>
              <w:top w:val="single" w:sz="4" w:space="0" w:color="auto"/>
            </w:tcBorders>
          </w:tcPr>
          <w:p w14:paraId="5AEF03B7"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1E6E71A1" w14:textId="77777777" w:rsidR="00210067" w:rsidRPr="001362A8" w:rsidDel="009829DF"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National healthcare-associated infection surveillance</w:t>
            </w:r>
          </w:p>
        </w:tc>
        <w:tc>
          <w:tcPr>
            <w:tcW w:w="6696" w:type="dxa"/>
            <w:tcBorders>
              <w:top w:val="single" w:sz="4" w:space="0" w:color="auto"/>
              <w:bottom w:val="nil"/>
            </w:tcBorders>
          </w:tcPr>
          <w:p w14:paraId="0E09F86C" w14:textId="3E25387C" w:rsidR="00210067" w:rsidRPr="001362A8" w:rsidRDefault="00B97EED" w:rsidP="009D366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hAnsi="Times New Roman" w:cs="Times New Roman"/>
                <w:color w:val="000000" w:themeColor="text1"/>
                <w:sz w:val="20"/>
                <w:szCs w:val="20"/>
                <w:shd w:val="clear" w:color="auto" w:fill="FFFFFF"/>
              </w:rPr>
              <w:t>KONIS</w:t>
            </w:r>
            <w:r w:rsidR="00210067" w:rsidRPr="001362A8">
              <w:rPr>
                <w:rFonts w:ascii="Times New Roman" w:eastAsia="PMingLiU" w:hAnsi="Times New Roman" w:cs="Times New Roman"/>
                <w:color w:val="000000" w:themeColor="text1"/>
                <w:sz w:val="20"/>
                <w:szCs w:val="20"/>
              </w:rPr>
              <w:t xml:space="preserve"> began in 2006 </w:t>
            </w:r>
            <w:r w:rsidR="00210067" w:rsidRPr="001362A8">
              <w:rPr>
                <w:rFonts w:ascii="Times New Roman" w:eastAsia="PMingLiU" w:hAnsi="Times New Roman" w:cs="Times New Roman"/>
                <w:color w:val="000000" w:themeColor="text1"/>
                <w:sz w:val="20"/>
                <w:szCs w:val="20"/>
              </w:rPr>
              <w:fldChar w:fldCharType="begin"/>
            </w:r>
            <w:r w:rsidR="001B14C9" w:rsidRPr="001362A8">
              <w:rPr>
                <w:rFonts w:ascii="Times New Roman" w:eastAsia="PMingLiU" w:hAnsi="Times New Roman" w:cs="Times New Roman"/>
                <w:color w:val="000000" w:themeColor="text1"/>
                <w:sz w:val="20"/>
                <w:szCs w:val="20"/>
              </w:rPr>
              <w:instrText xml:space="preserve"> ADDIN EN.CITE &lt;EndNote&gt;&lt;Cite&gt;&lt;Author&gt;Oh&lt;/Author&gt;&lt;Year&gt;2007&lt;/Year&gt;&lt;RecNum&gt;133&lt;/RecNum&gt;&lt;DisplayText&gt;[12]&lt;/DisplayText&gt;&lt;record&gt;&lt;rec-number&gt;133&lt;/rec-number&gt;&lt;foreign-keys&gt;&lt;key app="EN" db-id="zewpdw50fw9pfdepetsv0fej2pvv2fspdsaf" timestamp="1522930686"&gt;133&lt;/key&gt;&lt;/foreign-keys&gt;&lt;ref-type name="Journal Article"&gt;17&lt;/ref-type&gt;&lt;contributors&gt;&lt;authors&gt;&lt;author&gt;Oh, Hyang Soon&lt;/author&gt;&lt;author&gt;Cheong, Hae Won&lt;/author&gt;&lt;author&gt;Yi, Seung Eun&lt;/author&gt;&lt;author&gt;Kim, Ho&lt;/author&gt;&lt;author&gt;Choe, Kang Won&lt;/author&gt;&lt;author&gt;Cho, Sung Il&lt;/author&gt;&lt;/authors&gt;&lt;/contributors&gt;&lt;titles&gt;&lt;title&gt;Development and Application of Evaluation Indices for Hospital Infection Surveillance and Control Programs in the Republic of Korea&lt;/title&gt;&lt;secondary-title&gt;Infection Control &amp;amp;#x0026; Hospital Epidemiology&lt;/secondary-title&gt;&lt;/titles&gt;&lt;periodical&gt;&lt;full-title&gt;Infection Control &amp;amp;#x0026; Hospital Epidemiology&lt;/full-title&gt;&lt;/periodical&gt;&lt;pages&gt;435-445&lt;/pages&gt;&lt;volume&gt;28&lt;/volume&gt;&lt;number&gt;4&lt;/number&gt;&lt;edition&gt;2015/01/01&lt;/edition&gt;&lt;dates&gt;&lt;year&gt;2007&lt;/year&gt;&lt;/dates&gt;&lt;publisher&gt;Cambridge University Press&lt;/publisher&gt;&lt;isbn&gt;0899-823X&lt;/isbn&gt;&lt;urls&gt;&lt;related-urls&gt;&lt;url&gt;https://www.cambridge.org/core/article/development-and-application-of-evaluation-indices-for-hospital-infection-surveillance-and-control-programs-in-the-republic-of-korea/FEEDA1B35BCBE134E39EFEC2245D2A10&lt;/url&gt;&lt;/related-urls&gt;&lt;/urls&gt;&lt;electronic-resource-num&gt;10.1086/512632&lt;/electronic-resource-num&gt;&lt;remote-database-name&gt;Cambridge Core&lt;/remote-database-name&gt;&lt;remote-database-provider&gt;Cambridge University Press&lt;/remote-database-provider&gt;&lt;/record&gt;&lt;/Cite&gt;&lt;/EndNote&gt;</w:instrText>
            </w:r>
            <w:r w:rsidR="00210067" w:rsidRPr="001362A8">
              <w:rPr>
                <w:rFonts w:ascii="Times New Roman" w:eastAsia="PMingLiU" w:hAnsi="Times New Roman" w:cs="Times New Roman"/>
                <w:color w:val="000000" w:themeColor="text1"/>
                <w:sz w:val="20"/>
                <w:szCs w:val="20"/>
              </w:rPr>
              <w:fldChar w:fldCharType="separate"/>
            </w:r>
            <w:r w:rsidR="001B14C9" w:rsidRPr="001362A8">
              <w:rPr>
                <w:rFonts w:ascii="Times New Roman" w:eastAsia="PMingLiU" w:hAnsi="Times New Roman" w:cs="Times New Roman"/>
                <w:noProof/>
                <w:color w:val="000000" w:themeColor="text1"/>
                <w:sz w:val="20"/>
                <w:szCs w:val="20"/>
              </w:rPr>
              <w:t>[12]</w:t>
            </w:r>
            <w:r w:rsidR="00210067" w:rsidRPr="001362A8">
              <w:rPr>
                <w:rFonts w:ascii="Times New Roman" w:eastAsia="PMingLiU" w:hAnsi="Times New Roman" w:cs="Times New Roman"/>
                <w:color w:val="000000" w:themeColor="text1"/>
                <w:sz w:val="20"/>
                <w:szCs w:val="20"/>
              </w:rPr>
              <w:fldChar w:fldCharType="end"/>
            </w:r>
            <w:r w:rsidR="00210067" w:rsidRPr="001362A8">
              <w:rPr>
                <w:rFonts w:ascii="Times New Roman" w:eastAsia="PMingLiU" w:hAnsi="Times New Roman" w:cs="Times New Roman"/>
                <w:color w:val="000000" w:themeColor="text1"/>
                <w:sz w:val="20"/>
                <w:szCs w:val="20"/>
              </w:rPr>
              <w:t xml:space="preserve">. A recent study showed that KONIS data are generally reliable; however, </w:t>
            </w:r>
            <w:r w:rsidR="00EA612D" w:rsidRPr="001362A8">
              <w:rPr>
                <w:rFonts w:ascii="Times New Roman" w:hAnsi="Times New Roman" w:cs="Times New Roman"/>
                <w:color w:val="000000" w:themeColor="text1"/>
                <w:sz w:val="20"/>
                <w:szCs w:val="20"/>
                <w:shd w:val="clear" w:color="auto" w:fill="FFFFFF"/>
              </w:rPr>
              <w:t>KONIS validation studies</w:t>
            </w:r>
            <w:r w:rsidR="00EA612D" w:rsidRPr="001362A8">
              <w:rPr>
                <w:rFonts w:ascii="Times New Roman" w:eastAsia="PMingLiU" w:hAnsi="Times New Roman" w:cs="Times New Roman"/>
                <w:color w:val="000000" w:themeColor="text1"/>
                <w:sz w:val="20"/>
                <w:szCs w:val="20"/>
              </w:rPr>
              <w:t xml:space="preserve"> found a decrease in </w:t>
            </w:r>
            <w:r w:rsidR="00210067" w:rsidRPr="001362A8">
              <w:rPr>
                <w:rFonts w:ascii="Times New Roman" w:eastAsia="PMingLiU" w:hAnsi="Times New Roman" w:cs="Times New Roman"/>
                <w:color w:val="000000" w:themeColor="text1"/>
                <w:sz w:val="20"/>
                <w:szCs w:val="20"/>
              </w:rPr>
              <w:t xml:space="preserve">sensitivity for BSIs </w:t>
            </w:r>
            <w:r w:rsidR="00B5516B" w:rsidRPr="001362A8">
              <w:rPr>
                <w:rFonts w:ascii="Times New Roman" w:hAnsi="Times New Roman" w:cs="Times New Roman"/>
                <w:color w:val="000000" w:themeColor="text1"/>
                <w:sz w:val="20"/>
                <w:szCs w:val="20"/>
                <w:shd w:val="clear" w:color="auto" w:fill="FFFFFF"/>
              </w:rPr>
              <w:t xml:space="preserve">in 2014 </w:t>
            </w:r>
            <w:r w:rsidR="00C92633" w:rsidRPr="001362A8">
              <w:rPr>
                <w:rFonts w:ascii="Times New Roman" w:hAnsi="Times New Roman" w:cs="Times New Roman"/>
                <w:color w:val="000000" w:themeColor="text1"/>
                <w:sz w:val="20"/>
                <w:szCs w:val="20"/>
                <w:shd w:val="clear" w:color="auto" w:fill="FFFFFF"/>
              </w:rPr>
              <w:t>compared to</w:t>
            </w:r>
            <w:r w:rsidR="00B5516B" w:rsidRPr="001362A8">
              <w:rPr>
                <w:rFonts w:ascii="Times New Roman" w:hAnsi="Times New Roman" w:cs="Times New Roman"/>
                <w:color w:val="000000" w:themeColor="text1"/>
                <w:sz w:val="20"/>
                <w:szCs w:val="20"/>
                <w:shd w:val="clear" w:color="auto" w:fill="FFFFFF"/>
              </w:rPr>
              <w:t xml:space="preserve"> 2008 and 2010</w:t>
            </w:r>
            <w:r w:rsidR="000C01F8" w:rsidRPr="001362A8">
              <w:rPr>
                <w:rFonts w:ascii="Times New Roman" w:hAnsi="Times New Roman" w:cs="Times New Roman"/>
                <w:color w:val="000000" w:themeColor="text1"/>
                <w:sz w:val="20"/>
                <w:szCs w:val="20"/>
                <w:shd w:val="clear" w:color="auto" w:fill="FFFFFF"/>
              </w:rPr>
              <w:t xml:space="preserve"> </w:t>
            </w:r>
            <w:r w:rsidR="000C01F8" w:rsidRPr="001362A8">
              <w:rPr>
                <w:rFonts w:ascii="Times New Roman" w:hAnsi="Times New Roman" w:cs="Times New Roman"/>
                <w:color w:val="000000" w:themeColor="text1"/>
                <w:sz w:val="20"/>
                <w:szCs w:val="20"/>
                <w:shd w:val="clear" w:color="auto" w:fill="FFFFFF"/>
              </w:rPr>
              <w:fldChar w:fldCharType="begin"/>
            </w:r>
            <w:r w:rsidR="000C01F8" w:rsidRPr="001362A8">
              <w:rPr>
                <w:rFonts w:ascii="Times New Roman" w:hAnsi="Times New Roman" w:cs="Times New Roman"/>
                <w:color w:val="000000" w:themeColor="text1"/>
                <w:sz w:val="20"/>
                <w:szCs w:val="20"/>
                <w:shd w:val="clear" w:color="auto" w:fill="FFFFFF"/>
              </w:rPr>
              <w:instrText xml:space="preserve"> ADDIN EN.CITE &lt;EndNote&gt;&lt;Cite&gt;&lt;Author&gt;Kwak&lt;/Author&gt;&lt;RecNum&gt;139&lt;/RecNum&gt;&lt;DisplayText&gt;[13]&lt;/DisplayText&gt;&lt;record&gt;&lt;rec-number&gt;139&lt;/rec-number&gt;&lt;foreign-keys&gt;&lt;key app="EN" db-id="zewpdw50fw9pfdepetsv0fej2pvv2fspdsaf" timestamp="1523285025"&gt;139&lt;/key&gt;&lt;/foreign-keys&gt;&lt;ref-type name="Journal Article"&gt;17&lt;/ref-type&gt;&lt;contributors&gt;&lt;authors&gt;&lt;author&gt;Kwak, Y. G.&lt;/author&gt;&lt;author&gt;Choi, J. Y.&lt;/author&gt;&lt;author&gt;Yoo, H. M.&lt;/author&gt;&lt;author&gt;Lee, S. O.&lt;/author&gt;&lt;author&gt;Kim, H. B.&lt;/author&gt;&lt;author&gt;Han, S. H.&lt;/author&gt;&lt;author&gt;Choi, H. J.&lt;/author&gt;&lt;author&gt;Kim, S. R.&lt;/author&gt;&lt;author&gt;Kim, T. H.&lt;/author&gt;&lt;author&gt;Chun, H. K.&lt;/author&gt;&lt;author&gt;Koo, H. S.&lt;/author&gt;&lt;/authors&gt;&lt;/contributors&gt;&lt;titles&gt;&lt;title&gt;Validation of the Korean National Healthcare-associated Infections Surveillance System (KONIS): an intensive care unit module report&lt;/title&gt;&lt;secondary-title&gt;Journal of Hospital Infection&lt;/secondary-title&gt;&lt;/titles&gt;&lt;periodical&gt;&lt;full-title&gt;Journal of Hospital Infection&lt;/full-title&gt;&lt;/periodical&gt;&lt;pages&gt;377-384&lt;/pages&gt;&lt;volume&gt;96&lt;/volume&gt;&lt;number&gt;4&lt;/number&gt;&lt;dates&gt;&lt;/dates&gt;&lt;publisher&gt;Elsevier&lt;/publisher&gt;&lt;isbn&gt;0195-6701&lt;/isbn&gt;&lt;urls&gt;&lt;related-urls&gt;&lt;url&gt;http://dx.doi.org/10.1016/j.jhin.2017.04.003&lt;/url&gt;&lt;/related-urls&gt;&lt;/urls&gt;&lt;electronic-resource-num&gt;10.1016/j.jhin.2017.04.003&lt;/electronic-resource-num&gt;&lt;access-date&gt;2018/04/09&lt;/access-date&gt;&lt;/record&gt;&lt;/Cite&gt;&lt;/EndNote&gt;</w:instrText>
            </w:r>
            <w:r w:rsidR="000C01F8" w:rsidRPr="001362A8">
              <w:rPr>
                <w:rFonts w:ascii="Times New Roman" w:hAnsi="Times New Roman" w:cs="Times New Roman"/>
                <w:color w:val="000000" w:themeColor="text1"/>
                <w:sz w:val="20"/>
                <w:szCs w:val="20"/>
                <w:shd w:val="clear" w:color="auto" w:fill="FFFFFF"/>
              </w:rPr>
              <w:fldChar w:fldCharType="separate"/>
            </w:r>
            <w:r w:rsidR="000C01F8" w:rsidRPr="001362A8">
              <w:rPr>
                <w:rFonts w:ascii="Times New Roman" w:hAnsi="Times New Roman" w:cs="Times New Roman"/>
                <w:noProof/>
                <w:color w:val="000000" w:themeColor="text1"/>
                <w:sz w:val="20"/>
                <w:szCs w:val="20"/>
                <w:shd w:val="clear" w:color="auto" w:fill="FFFFFF"/>
              </w:rPr>
              <w:t>[13]</w:t>
            </w:r>
            <w:r w:rsidR="000C01F8" w:rsidRPr="001362A8">
              <w:rPr>
                <w:rFonts w:ascii="Times New Roman" w:hAnsi="Times New Roman" w:cs="Times New Roman"/>
                <w:color w:val="000000" w:themeColor="text1"/>
                <w:sz w:val="20"/>
                <w:szCs w:val="20"/>
                <w:shd w:val="clear" w:color="auto" w:fill="FFFFFF"/>
              </w:rPr>
              <w:fldChar w:fldCharType="end"/>
            </w:r>
            <w:r w:rsidR="00210067" w:rsidRPr="001362A8">
              <w:rPr>
                <w:rFonts w:ascii="Times New Roman" w:eastAsia="PMingLiU" w:hAnsi="Times New Roman" w:cs="Times New Roman"/>
                <w:color w:val="000000" w:themeColor="text1"/>
                <w:sz w:val="20"/>
                <w:szCs w:val="20"/>
              </w:rPr>
              <w:t xml:space="preserve">. </w:t>
            </w:r>
          </w:p>
        </w:tc>
      </w:tr>
      <w:tr w:rsidR="001362A8" w:rsidRPr="001362A8" w14:paraId="41A06B64" w14:textId="77777777" w:rsidTr="001A1D4B">
        <w:trPr>
          <w:trHeight w:val="665"/>
        </w:trPr>
        <w:tc>
          <w:tcPr>
            <w:tcW w:w="1101" w:type="dxa"/>
            <w:vMerge/>
          </w:tcPr>
          <w:p w14:paraId="260D0196"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5C02A7E4"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Antimicrobial resistance management</w:t>
            </w:r>
          </w:p>
        </w:tc>
        <w:tc>
          <w:tcPr>
            <w:tcW w:w="6696" w:type="dxa"/>
            <w:tcBorders>
              <w:top w:val="single" w:sz="4" w:space="0" w:color="auto"/>
              <w:bottom w:val="nil"/>
            </w:tcBorders>
          </w:tcPr>
          <w:p w14:paraId="6CEFABD8" w14:textId="378BF062" w:rsidR="00210067" w:rsidRPr="001362A8" w:rsidRDefault="00210067" w:rsidP="001A1D4B">
            <w:pPr>
              <w:spacing w:beforeLines="50" w:before="120" w:afterLines="50" w:after="120" w:line="360" w:lineRule="auto"/>
              <w:rPr>
                <w:rFonts w:ascii="Times New Roman" w:hAnsi="Times New Roman" w:cs="Times New Roman"/>
                <w:color w:val="000000" w:themeColor="text1"/>
                <w:sz w:val="20"/>
                <w:szCs w:val="20"/>
              </w:rPr>
            </w:pPr>
            <w:r w:rsidRPr="001362A8">
              <w:rPr>
                <w:rFonts w:ascii="Times New Roman" w:hAnsi="Times New Roman" w:cs="Times New Roman"/>
                <w:color w:val="000000" w:themeColor="text1"/>
                <w:sz w:val="20"/>
                <w:szCs w:val="20"/>
              </w:rPr>
              <w:t>The National AMR Safety Management Program has been implemented since 2003</w:t>
            </w:r>
            <w:r w:rsidR="000B1C69" w:rsidRPr="001362A8">
              <w:rPr>
                <w:rFonts w:ascii="Times New Roman" w:hAnsi="Times New Roman" w:cs="Times New Roman"/>
                <w:color w:val="000000" w:themeColor="text1"/>
                <w:sz w:val="20"/>
                <w:szCs w:val="20"/>
              </w:rPr>
              <w:t>.</w:t>
            </w:r>
            <w:r w:rsidR="000B1C69" w:rsidRPr="001362A8">
              <w:rPr>
                <w:rFonts w:ascii="Times New Roman" w:eastAsia="PMingLiU" w:hAnsi="Times New Roman" w:cs="Times New Roman"/>
                <w:color w:val="000000" w:themeColor="text1"/>
                <w:sz w:val="20"/>
                <w:szCs w:val="20"/>
              </w:rPr>
              <w:t xml:space="preserve"> Surveillance of </w:t>
            </w:r>
            <w:r w:rsidR="004A2E68" w:rsidRPr="001362A8">
              <w:rPr>
                <w:rFonts w:ascii="Times New Roman" w:eastAsia="PMingLiU" w:hAnsi="Times New Roman" w:cs="Times New Roman"/>
                <w:color w:val="000000" w:themeColor="text1"/>
                <w:sz w:val="20"/>
                <w:szCs w:val="20"/>
              </w:rPr>
              <w:t>AMR</w:t>
            </w:r>
            <w:r w:rsidR="000B1C69" w:rsidRPr="001362A8">
              <w:rPr>
                <w:rFonts w:ascii="Times New Roman" w:eastAsia="PMingLiU" w:hAnsi="Times New Roman" w:cs="Times New Roman"/>
                <w:color w:val="000000" w:themeColor="text1"/>
                <w:sz w:val="20"/>
                <w:szCs w:val="20"/>
              </w:rPr>
              <w:t xml:space="preserve"> organisms was included in 2010 </w:t>
            </w:r>
            <w:r w:rsidR="000B1C69"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&lt;EndNote&gt;&lt;Cite&gt;&lt;Author&gt;Yoon&lt;/Author&gt;&lt;RecNum&gt;94&lt;/RecNum&gt;&lt;DisplayText&gt;[14]&lt;/DisplayText&gt;&lt;record&gt;&lt;rec-number&gt;94&lt;/rec-number&gt;&lt;foreign-keys&gt;&lt;key app="EN" db-id="zewpdw50fw9pfdepetsv0fej2pvv2fspdsaf" timestamp="1519717523"&gt;94&lt;/key&gt;&lt;/foreign-keys&gt;&lt;ref-type name="Journal Article"&gt;17&lt;/ref-type&gt;&lt;contributors&gt;&lt;authors&gt;&lt;author&gt;Yoon, Young Kyung&lt;/author&gt;&lt;author&gt;Lee, Sung Eun&lt;/author&gt;&lt;author&gt;Seo, Beom Sam&lt;/author&gt;&lt;author&gt;Kim, Hyeon Jeong&lt;/author&gt;&lt;author&gt;Kim, Jong Hun&lt;/author&gt;&lt;author&gt;Yang, Kyung Sook&lt;/author&gt;&lt;author&gt;Kim, Min Ja&lt;/author&gt;&lt;author&gt;Sohn, Jang Wook&lt;/author&gt;&lt;/authors&gt;&lt;/contributors&gt;&lt;titles&gt;&lt;title&gt;Current status of personnel and infrastructure resources for infection prevention and control programs in the Republic of Korea: A national survey&lt;/title&gt;&lt;secondary-title&gt;American Journal of Infection Control&lt;/secondary-title&gt;&lt;/titles&gt;&lt;periodical&gt;&lt;full-title&gt;American Journal of Infection Control&lt;/full-title&gt;&lt;/periodical&gt;&lt;pages&gt;e189-e193&lt;/pages&gt;&lt;volume&gt;44&lt;/volume&gt;&lt;number&gt;11&lt;/number&gt;&lt;dates&gt;&lt;/dates&gt;&lt;publisher&gt;Elsevier&lt;/publisher&gt;&lt;isbn&gt;0196-6553&lt;/isbn&gt;&lt;urls&gt;&lt;related-urls&gt;&lt;url&gt;http://dx.doi.org/10.1016/j.ajic.2016.07.023&lt;/url&gt;&lt;/related-urls&gt;&lt;/urls&gt;&lt;electronic-resource-num&gt;10.1016/j.ajic.2016.07.023&lt;/electronic-resource-num&gt;&lt;access-date&gt;2018/02/26&lt;/access-date&gt;&lt;/record&gt;&lt;/Cite&gt;&lt;/EndNote&gt;</w:instrText>
            </w:r>
            <w:r w:rsidR="000B1C69"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[14]</w:t>
            </w:r>
            <w:r w:rsidR="000B1C69" w:rsidRPr="001362A8">
              <w:rPr>
                <w:rFonts w:ascii="Times New Roman" w:eastAsia="PMingLiU" w:hAnsi="Times New Roman" w:cs="Times New Roman"/>
                <w:color w:val="000000" w:themeColor="text1"/>
                <w:sz w:val="20"/>
                <w:szCs w:val="20"/>
              </w:rPr>
              <w:fldChar w:fldCharType="end"/>
            </w:r>
            <w:r w:rsidR="000B1C69" w:rsidRPr="001362A8">
              <w:rPr>
                <w:rFonts w:ascii="Times New Roman" w:eastAsia="PMingLiU" w:hAnsi="Times New Roman" w:cs="Times New Roman"/>
                <w:color w:val="000000" w:themeColor="text1"/>
                <w:sz w:val="20"/>
                <w:szCs w:val="20"/>
              </w:rPr>
              <w:t xml:space="preserve">. </w:t>
            </w:r>
            <w:r w:rsidR="000B1C69" w:rsidRPr="001362A8">
              <w:rPr>
                <w:rFonts w:ascii="Times New Roman" w:hAnsi="Times New Roman" w:cs="Times New Roman"/>
                <w:color w:val="000000" w:themeColor="text1"/>
                <w:sz w:val="20"/>
                <w:szCs w:val="20"/>
              </w:rPr>
              <w:t>A</w:t>
            </w:r>
            <w:r w:rsidRPr="001362A8">
              <w:rPr>
                <w:rFonts w:ascii="Times New Roman" w:hAnsi="Times New Roman" w:cs="Times New Roman"/>
                <w:color w:val="000000" w:themeColor="text1"/>
                <w:sz w:val="20"/>
                <w:szCs w:val="20"/>
              </w:rPr>
              <w:t xml:space="preserve"> new National AMR Management Action Plan (2016-2020)</w:t>
            </w:r>
            <w:r w:rsidRPr="001362A8">
              <w:rPr>
                <w:rFonts w:ascii="Times New Roman" w:eastAsia="PMingLiU" w:hAnsi="Times New Roman" w:cs="Times New Roman"/>
                <w:color w:val="000000" w:themeColor="text1"/>
                <w:sz w:val="20"/>
                <w:szCs w:val="20"/>
              </w:rPr>
              <w:t xml:space="preserve"> has been established </w:t>
            </w:r>
            <w:r w:rsidRPr="001362A8">
              <w:rPr>
                <w:rFonts w:ascii="Times New Roman" w:hAnsi="Times New Roman" w:cs="Times New Roman"/>
                <w:color w:val="000000" w:themeColor="text1"/>
                <w:sz w:val="20"/>
                <w:szCs w:val="20"/>
              </w:rPr>
              <w:t>in response to the WHO’s Global Action on AMR</w:t>
            </w:r>
            <w:r w:rsidRPr="001362A8">
              <w:rPr>
                <w:rFonts w:ascii="Times New Roman" w:eastAsia="PMingLiU"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&lt;EndNote&gt;&lt;Cite&gt;&lt;Author&gt;Ryu&lt;/Author&gt;&lt;Year&gt;2017&lt;/Year&gt;&lt;RecNum&gt;132&lt;/RecNum&gt;&lt;DisplayText&gt;[11, 15]&lt;/DisplayText&gt;&lt;record&gt;&lt;rec-number&gt;132&lt;/rec-number&gt;&lt;foreign-keys&gt;&lt;key app="EN" db-id="zewpdw50fw9pfdepetsv0fej2pvv2fspdsaf" timestamp="1522930433"&gt;132&lt;/key&gt;&lt;/foreign-keys&gt;&lt;ref-type name="Journal Article"&gt;17&lt;/ref-type&gt;&lt;contributors&gt;&lt;authors&gt;&lt;author&gt;Ryu, Sukhyun&lt;/author&gt;&lt;/authors&gt;&lt;/contributors&gt;&lt;titles&gt;&lt;title&gt;The new Korean action plan for containment of antimicrobial resistance&lt;/title&gt;&lt;secondary-title&gt;Journal of Global Antimicrobial Resistance&lt;/secondary-title&gt;&lt;/titles&gt;&lt;periodical&gt;&lt;full-title&gt;Journal of Global Antimicrobial Resistance&lt;/full-title&gt;&lt;/periodical&gt;&lt;pages&gt;70-73&lt;/pages&gt;&lt;volume&gt;8&lt;/volume&gt;&lt;keywords&gt;&lt;keyword&gt;Korea&lt;/keyword&gt;&lt;keyword&gt;Antimicrobial resistance&lt;/keyword&gt;&lt;keyword&gt;Action plan&lt;/keyword&gt;&lt;keyword&gt;Policy&lt;/keyword&gt;&lt;/keywords&gt;&lt;dates&gt;&lt;year&gt;2017&lt;/year&gt;&lt;pub-dates&gt;&lt;date&gt;2017/03/01/&lt;/date&gt;&lt;/pub-dates&gt;&lt;/dates&gt;&lt;isbn&gt;2213-7165&lt;/isbn&gt;&lt;urls&gt;&lt;related-urls&gt;&lt;url&gt;http://www.sciencedirect.com/science/article/pii/S2213716516301412&lt;/url&gt;&lt;/related-urls&gt;&lt;/urls&gt;&lt;electronic-resource-num&gt;https://doi.org/10.1016/j.jgar.2016.10.013&lt;/electronic-resource-num&gt;&lt;/record&gt;&lt;/Cite&gt;&lt;Cite&gt;&lt;Author&gt;Organization&lt;/Author&gt;&lt;Year&gt;2017&lt;/Year&gt;&lt;RecNum&gt;138&lt;/RecNum&gt;&lt;record&gt;&lt;rec-number&gt;138&lt;/rec-number&gt;&lt;foreign-keys&gt;&lt;key app="EN" db-id="zewpdw50fw9pfdepetsv0fej2pvv2fspdsaf" timestamp="1523284876"&gt;138&lt;/key&gt;&lt;/foreign-keys&gt;&lt;ref-type name="Web Page"&gt;12&lt;/ref-type&gt;&lt;contributors&gt;&lt;authors&gt;&lt;author&gt;World Health Organization&lt;/author&gt;&lt;/authors&gt;&lt;/contributors&gt;&lt;titles&gt;&lt;title&gt;Joint external evaluation of IHR core capacities of the Republic of Korea&lt;/title&gt;&lt;/titles&gt;&lt;volume&gt;2018&lt;/volume&gt;&lt;number&gt;3/24&lt;/number&gt;&lt;dates&gt;&lt;year&gt;2017&lt;/year&gt;&lt;/dates&gt;&lt;urls&gt;&lt;related-urls&gt;&lt;url&gt;https://extranet.who.int/spp/sites/default/files/jeeta/WHO-WHE-CPI-2017.65-eng.pdf&lt;/url&gt;&lt;/related-urls&gt;&lt;/urls&gt;&lt;/record&gt;&lt;/Cite&gt;&lt;/EndNote&gt;</w:instrText>
            </w:r>
            <w:r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[11, 15]</w:t>
            </w:r>
            <w:r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w:t>
            </w:r>
          </w:p>
        </w:tc>
      </w:tr>
      <w:tr w:rsidR="001362A8" w:rsidRPr="001362A8" w14:paraId="246A264A" w14:textId="77777777" w:rsidTr="001A1D4B">
        <w:trPr>
          <w:trHeight w:val="665"/>
        </w:trPr>
        <w:tc>
          <w:tcPr>
            <w:tcW w:w="1101" w:type="dxa"/>
            <w:vMerge/>
          </w:tcPr>
          <w:p w14:paraId="4244A0C9"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5DD92778"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Hand hygiene program</w:t>
            </w:r>
          </w:p>
        </w:tc>
        <w:tc>
          <w:tcPr>
            <w:tcW w:w="6696" w:type="dxa"/>
            <w:tcBorders>
              <w:top w:val="single" w:sz="4" w:space="0" w:color="auto"/>
              <w:bottom w:val="nil"/>
            </w:tcBorders>
          </w:tcPr>
          <w:p w14:paraId="6ECC085F"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Pilot study initiated in 35 hospitals (out of 90 hospitals participating in KONIS) in 2013 </w:t>
            </w:r>
            <w:r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&lt;EndNote&gt;&lt;Cite&gt;&lt;Author&gt;Kim&lt;/Author&gt;&lt;RecNum&gt;95&lt;/RecNum&gt;&lt;DisplayText&gt;[16]&lt;/DisplayText&gt;&lt;record&gt;&lt;rec-number&gt;95&lt;/rec-number&gt;&lt;foreign-keys&gt;&lt;key app="EN" db-id="zewpdw50fw9pfdepetsv0fej2pvv2fspdsaf" timestamp="1519717554"&gt;95&lt;/key&gt;&lt;/foreign-keys&gt;&lt;ref-type name="Journal Article"&gt;17&lt;/ref-type&gt;&lt;contributors&gt;&lt;authors&gt;&lt;author&gt;Kim, Hong Bin&lt;/author&gt;&lt;/authors&gt;&lt;/contributors&gt;&lt;titles&gt;&lt;title&gt;National hand hygiene campaign in Korea-progress and challenges&lt;/title&gt;&lt;secondary-title&gt;Journal of Microbiology, Immunology and Infection&lt;/secondary-title&gt;&lt;/titles&gt;&lt;periodical&gt;&lt;full-title&gt;Journal of Microbiology, Immunology and Infection&lt;/full-title&gt;&lt;/periodical&gt;&lt;pages&gt;S11&lt;/pages&gt;&lt;volume&gt;48&lt;/volume&gt;&lt;number&gt;2&lt;/number&gt;&lt;dates&gt;&lt;/dates&gt;&lt;publisher&gt;Elsevier&lt;/publisher&gt;&lt;isbn&gt;1684-1182&lt;/isbn&gt;&lt;urls&gt;&lt;related-urls&gt;&lt;url&gt;http://dx.doi.org/10.1016/j.jmii.2015.02.135&lt;/url&gt;&lt;/related-urls&gt;&lt;/urls&gt;&lt;electronic-resource-num&gt;10.1016/j.jmii.2015.02.135&lt;/electronic-resource-num&gt;&lt;access-date&gt;2018/02/26&lt;/access-date&gt;&lt;/record&gt;&lt;/Cite&gt;&lt;/EndNote&gt;</w:instrText>
            </w:r>
            <w:r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[16]</w:t>
            </w:r>
            <w:r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 xml:space="preserve">. </w:t>
            </w:r>
          </w:p>
        </w:tc>
      </w:tr>
      <w:tr w:rsidR="001362A8" w:rsidRPr="001362A8" w14:paraId="355393DA" w14:textId="77777777" w:rsidTr="001A1D4B">
        <w:trPr>
          <w:trHeight w:val="665"/>
        </w:trPr>
        <w:tc>
          <w:tcPr>
            <w:tcW w:w="1101" w:type="dxa"/>
            <w:vMerge/>
          </w:tcPr>
          <w:p w14:paraId="174BAF70"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4D962B43"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Medical Service Act to mandate infection control and surveillance</w:t>
            </w:r>
          </w:p>
        </w:tc>
        <w:tc>
          <w:tcPr>
            <w:tcW w:w="6696" w:type="dxa"/>
            <w:tcBorders>
              <w:top w:val="single" w:sz="4" w:space="0" w:color="auto"/>
              <w:bottom w:val="nil"/>
            </w:tcBorders>
          </w:tcPr>
          <w:p w14:paraId="15067F6F" w14:textId="305AA385"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Acts 29 and 47 were passed in 2002. Act 29 specifies that </w:t>
            </w:r>
            <w:r w:rsidRPr="001362A8">
              <w:rPr>
                <w:rFonts w:ascii="Times New Roman" w:hAnsi="Times New Roman" w:cs="Times New Roman"/>
                <w:color w:val="000000" w:themeColor="text1"/>
                <w:sz w:val="20"/>
                <w:szCs w:val="20"/>
              </w:rPr>
              <w:t xml:space="preserve">hospital infection surveillance and controls were the duties of hospitals with more than 300 beds. Act 47 specifies that hospital infection surveillance and controls are legislated for the accreditation of quality of care every three years starting from 2004 </w:t>
            </w:r>
            <w:r w:rsidRPr="001362A8">
              <w:rPr>
                <w:rFonts w:ascii="Times New Roman" w:hAnsi="Times New Roman" w:cs="Times New Roman"/>
                <w:color w:val="000000" w:themeColor="text1"/>
                <w:sz w:val="20"/>
                <w:szCs w:val="20"/>
              </w:rPr>
              <w:fldChar w:fldCharType="begin"/>
            </w:r>
            <w:r w:rsidR="000C01F8" w:rsidRPr="001362A8">
              <w:rPr>
                <w:rFonts w:ascii="Times New Roman" w:hAnsi="Times New Roman" w:cs="Times New Roman"/>
                <w:color w:val="000000" w:themeColor="text1"/>
                <w:sz w:val="20"/>
                <w:szCs w:val="20"/>
              </w:rPr>
              <w:instrText xml:space="preserve"> ADDIN EN.CITE &lt;EndNote&gt;&lt;Cite&gt;&lt;Author&gt;Oh&lt;/Author&gt;&lt;RecNum&gt;96&lt;/RecNum&gt;&lt;DisplayText&gt;[17]&lt;/DisplayText&gt;&lt;record&gt;&lt;rec-number&gt;96&lt;/rec-number&gt;&lt;foreign-keys&gt;&lt;key app="EN" db-id="zewpdw50fw9pfdepetsv0fej2pvv2fspdsaf" timestamp="1519717591"&gt;96&lt;/key&gt;&lt;/foreign-keys&gt;&lt;ref-type name="Journal Article"&gt;17&lt;/ref-type&gt;&lt;contributors&gt;&lt;authors&gt;&lt;author&gt;Oh, Hyang Soon&lt;/author&gt;&lt;author&gt;Chung, Hai Won&lt;/author&gt;&lt;author&gt;Kim, Joung Soon&lt;/author&gt;&lt;author&gt;Cho, Sung Il&lt;/author&gt;&lt;/authors&gt;&lt;/contributors&gt;&lt;titles&gt;&lt;title&gt;National survey of the status of infection surveillance and control programs in acute care hospitals with more than 300 beds in the Republic of Korea&lt;/title&gt;&lt;secondary-title&gt;American Journal of Infection Control&lt;/secondary-title&gt;&lt;/titles&gt;&lt;periodical&gt;&lt;full-title&gt;American Journal of Infection Control&lt;/full-title&gt;&lt;/periodical&gt;&lt;pages&gt;223-233&lt;/pages&gt;&lt;volume&gt;34&lt;/volume&gt;&lt;number&gt;4&lt;/number&gt;&lt;dates&gt;&lt;/dates&gt;&lt;publisher&gt;Elsevier&lt;/publisher&gt;&lt;isbn&gt;0196-6553&lt;/isbn&gt;&lt;urls&gt;&lt;related-urls&gt;&lt;url&gt;http://dx.doi.org/10.1016/j.ajic.2006.01.003&lt;/url&gt;&lt;/related-urls&gt;&lt;/urls&gt;&lt;electronic-resource-num&gt;10.1016/j.ajic.2006.01.003&lt;/electronic-resource-num&gt;&lt;access-date&gt;2018/02/26&lt;/access-date&gt;&lt;/record&gt;&lt;/Cite&gt;&lt;/EndNote&gt;</w:instrText>
            </w:r>
            <w:r w:rsidRPr="001362A8">
              <w:rPr>
                <w:rFonts w:ascii="Times New Roman" w:hAnsi="Times New Roman" w:cs="Times New Roman"/>
                <w:color w:val="000000" w:themeColor="text1"/>
                <w:sz w:val="20"/>
                <w:szCs w:val="20"/>
              </w:rPr>
              <w:fldChar w:fldCharType="separate"/>
            </w:r>
            <w:r w:rsidR="000C01F8" w:rsidRPr="001362A8">
              <w:rPr>
                <w:rFonts w:ascii="Times New Roman" w:hAnsi="Times New Roman" w:cs="Times New Roman"/>
                <w:noProof/>
                <w:color w:val="000000" w:themeColor="text1"/>
                <w:sz w:val="20"/>
                <w:szCs w:val="20"/>
              </w:rPr>
              <w:t>[17]</w:t>
            </w:r>
            <w:r w:rsidRPr="001362A8">
              <w:rPr>
                <w:rFonts w:ascii="Times New Roman" w:hAnsi="Times New Roman" w:cs="Times New Roman"/>
                <w:color w:val="000000" w:themeColor="text1"/>
                <w:sz w:val="20"/>
                <w:szCs w:val="20"/>
              </w:rPr>
              <w:fldChar w:fldCharType="end"/>
            </w:r>
            <w:r w:rsidRPr="001362A8">
              <w:rPr>
                <w:rFonts w:ascii="Times New Roman" w:hAnsi="Times New Roman" w:cs="Times New Roman"/>
                <w:color w:val="000000" w:themeColor="text1"/>
                <w:sz w:val="20"/>
                <w:szCs w:val="20"/>
              </w:rPr>
              <w:t xml:space="preserve">. </w:t>
            </w:r>
            <w:r w:rsidR="00E75013" w:rsidRPr="001362A8">
              <w:rPr>
                <w:rFonts w:ascii="Times New Roman" w:eastAsia="PMingLiU" w:hAnsi="Times New Roman" w:cs="Times New Roman"/>
                <w:color w:val="000000" w:themeColor="text1"/>
                <w:sz w:val="20"/>
                <w:szCs w:val="20"/>
              </w:rPr>
              <w:t>In 2012, hospitals with more than 200 beds are required to appoint an infection control committee and at least one full-time experienced staff to oversee the IPC program.</w:t>
            </w:r>
          </w:p>
        </w:tc>
      </w:tr>
      <w:tr w:rsidR="001362A8" w:rsidRPr="001362A8" w14:paraId="195C99BD" w14:textId="77777777" w:rsidTr="001A1D4B">
        <w:trPr>
          <w:trHeight w:val="665"/>
        </w:trPr>
        <w:tc>
          <w:tcPr>
            <w:tcW w:w="1101" w:type="dxa"/>
            <w:vMerge/>
            <w:tcBorders>
              <w:bottom w:val="nil"/>
            </w:tcBorders>
          </w:tcPr>
          <w:p w14:paraId="48E68FE3"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502AC5EA"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Infection control subsidy program</w:t>
            </w:r>
          </w:p>
        </w:tc>
        <w:tc>
          <w:tcPr>
            <w:tcW w:w="6696" w:type="dxa"/>
            <w:tcBorders>
              <w:top w:val="single" w:sz="4" w:space="0" w:color="auto"/>
              <w:bottom w:val="nil"/>
            </w:tcBorders>
          </w:tcPr>
          <w:p w14:paraId="13F782AB"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hAnsi="Times New Roman" w:cs="Times New Roman"/>
                <w:color w:val="000000" w:themeColor="text1"/>
                <w:sz w:val="20"/>
                <w:szCs w:val="20"/>
                <w:shd w:val="clear" w:color="auto" w:fill="FFFFFF"/>
              </w:rPr>
              <w:t>In 201</w:t>
            </w:r>
            <w:r w:rsidRPr="001362A8">
              <w:rPr>
                <w:rFonts w:ascii="Times New Roman" w:eastAsia="Malgun Gothic" w:hAnsi="Times New Roman" w:cs="Times New Roman"/>
                <w:color w:val="000000" w:themeColor="text1"/>
                <w:sz w:val="20"/>
                <w:szCs w:val="20"/>
                <w:shd w:val="clear" w:color="auto" w:fill="FFFFFF"/>
                <w:lang w:eastAsia="ko-KR"/>
              </w:rPr>
              <w:t>6</w:t>
            </w:r>
            <w:r w:rsidRPr="001362A8">
              <w:rPr>
                <w:rFonts w:ascii="Times New Roman" w:hAnsi="Times New Roman" w:cs="Times New Roman"/>
                <w:color w:val="000000" w:themeColor="text1"/>
                <w:sz w:val="20"/>
                <w:szCs w:val="20"/>
                <w:shd w:val="clear" w:color="auto" w:fill="FFFFFF"/>
              </w:rPr>
              <w:t xml:space="preserve">, as </w:t>
            </w:r>
            <w:r w:rsidRPr="001362A8">
              <w:rPr>
                <w:rFonts w:ascii="Times New Roman" w:eastAsia="Malgun Gothic" w:hAnsi="Times New Roman" w:cs="Times New Roman"/>
                <w:color w:val="000000" w:themeColor="text1"/>
                <w:sz w:val="20"/>
                <w:szCs w:val="20"/>
                <w:lang w:val="en-GB" w:eastAsia="ko-KR"/>
              </w:rPr>
              <w:t xml:space="preserve">financial incentives for healthcare facilities that actively participate in infection surveillance systems and </w:t>
            </w:r>
            <w:r w:rsidR="00470761" w:rsidRPr="001362A8">
              <w:rPr>
                <w:rFonts w:ascii="Times New Roman" w:eastAsia="Malgun Gothic" w:hAnsi="Times New Roman" w:cs="Times New Roman"/>
                <w:color w:val="000000" w:themeColor="text1"/>
                <w:sz w:val="20"/>
                <w:szCs w:val="20"/>
                <w:lang w:val="en-GB" w:eastAsia="ko-KR"/>
              </w:rPr>
              <w:t>IPC</w:t>
            </w:r>
            <w:r w:rsidRPr="001362A8">
              <w:rPr>
                <w:rFonts w:ascii="Times New Roman" w:eastAsia="Malgun Gothic" w:hAnsi="Times New Roman" w:cs="Times New Roman"/>
                <w:color w:val="000000" w:themeColor="text1"/>
                <w:sz w:val="20"/>
                <w:szCs w:val="20"/>
                <w:lang w:val="en-GB" w:eastAsia="ko-KR"/>
              </w:rPr>
              <w:t xml:space="preserve"> activities</w:t>
            </w:r>
            <w:r w:rsidRPr="001362A8">
              <w:rPr>
                <w:rFonts w:ascii="Times New Roman" w:hAnsi="Times New Roman" w:cs="Times New Roman"/>
                <w:color w:val="000000" w:themeColor="text1"/>
                <w:sz w:val="20"/>
                <w:szCs w:val="20"/>
                <w:shd w:val="clear" w:color="auto" w:fill="FFFFFF"/>
              </w:rPr>
              <w:t xml:space="preserve">, a reimbursement of </w:t>
            </w:r>
            <w:r w:rsidRPr="001362A8">
              <w:rPr>
                <w:rFonts w:ascii="Times New Roman" w:eastAsia="Malgun Gothic" w:hAnsi="Times New Roman" w:cs="Times New Roman"/>
                <w:color w:val="000000" w:themeColor="text1"/>
                <w:sz w:val="20"/>
                <w:szCs w:val="20"/>
                <w:shd w:val="clear" w:color="auto" w:fill="FFFFFF"/>
                <w:lang w:eastAsia="ko-KR"/>
              </w:rPr>
              <w:t>1,950-2,870 Won</w:t>
            </w:r>
            <w:r w:rsidRPr="001362A8">
              <w:rPr>
                <w:rFonts w:ascii="Times New Roman" w:hAnsi="Times New Roman" w:cs="Times New Roman"/>
                <w:color w:val="000000" w:themeColor="text1"/>
                <w:sz w:val="20"/>
                <w:szCs w:val="20"/>
                <w:shd w:val="clear" w:color="auto" w:fill="FFFFFF"/>
              </w:rPr>
              <w:t xml:space="preserve"> (1</w:t>
            </w:r>
            <w:r w:rsidRPr="001362A8">
              <w:rPr>
                <w:rFonts w:ascii="Times New Roman" w:eastAsia="Malgun Gothic" w:hAnsi="Times New Roman" w:cs="Times New Roman"/>
                <w:color w:val="000000" w:themeColor="text1"/>
                <w:sz w:val="20"/>
                <w:szCs w:val="20"/>
                <w:shd w:val="clear" w:color="auto" w:fill="FFFFFF"/>
                <w:lang w:eastAsia="ko-KR"/>
              </w:rPr>
              <w:t>.8-2.7</w:t>
            </w:r>
            <w:r w:rsidRPr="001362A8">
              <w:rPr>
                <w:rFonts w:ascii="Times New Roman" w:hAnsi="Times New Roman" w:cs="Times New Roman"/>
                <w:color w:val="000000" w:themeColor="text1"/>
                <w:sz w:val="20"/>
                <w:szCs w:val="20"/>
                <w:shd w:val="clear" w:color="auto" w:fill="FFFFFF"/>
              </w:rPr>
              <w:t xml:space="preserve"> USD) per patient per admission was introduced.</w:t>
            </w:r>
          </w:p>
        </w:tc>
      </w:tr>
      <w:tr w:rsidR="001362A8" w:rsidRPr="001362A8" w14:paraId="1B44C18A" w14:textId="77777777" w:rsidTr="001A1D4B">
        <w:trPr>
          <w:trHeight w:val="665"/>
        </w:trPr>
        <w:tc>
          <w:tcPr>
            <w:tcW w:w="1101" w:type="dxa"/>
            <w:vMerge w:val="restart"/>
            <w:tcBorders>
              <w:top w:val="single" w:sz="4" w:space="0" w:color="auto"/>
            </w:tcBorders>
          </w:tcPr>
          <w:p w14:paraId="1082A34E"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r w:rsidRPr="001362A8">
              <w:rPr>
                <w:rFonts w:ascii="Times New Roman" w:eastAsia="PMingLiU" w:hAnsi="Times New Roman" w:cs="Times New Roman"/>
                <w:b/>
                <w:bCs/>
                <w:color w:val="000000" w:themeColor="text1"/>
                <w:sz w:val="20"/>
                <w:szCs w:val="20"/>
              </w:rPr>
              <w:t>Japan</w:t>
            </w:r>
          </w:p>
        </w:tc>
        <w:tc>
          <w:tcPr>
            <w:tcW w:w="2126" w:type="dxa"/>
            <w:tcBorders>
              <w:top w:val="single" w:sz="4" w:space="0" w:color="auto"/>
              <w:bottom w:val="nil"/>
            </w:tcBorders>
          </w:tcPr>
          <w:p w14:paraId="7EBFB149" w14:textId="04ABFB8A"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Japan nosocomial infection surveillance</w:t>
            </w:r>
            <w:r w:rsidR="000031C0" w:rsidRPr="001362A8">
              <w:rPr>
                <w:rFonts w:ascii="Times New Roman" w:eastAsia="PMingLiU" w:hAnsi="Times New Roman" w:cs="Times New Roman"/>
                <w:color w:val="000000" w:themeColor="text1"/>
                <w:sz w:val="20"/>
                <w:szCs w:val="20"/>
              </w:rPr>
              <w:t xml:space="preserve"> </w:t>
            </w:r>
          </w:p>
        </w:tc>
        <w:tc>
          <w:tcPr>
            <w:tcW w:w="6696" w:type="dxa"/>
            <w:tcBorders>
              <w:top w:val="single" w:sz="4" w:space="0" w:color="auto"/>
              <w:bottom w:val="nil"/>
            </w:tcBorders>
          </w:tcPr>
          <w:p w14:paraId="1B014870" w14:textId="0E91B459" w:rsidR="000031C0" w:rsidRPr="001362A8" w:rsidRDefault="00B97EED"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JANIS</w:t>
            </w:r>
            <w:r w:rsidR="00210067" w:rsidRPr="001362A8">
              <w:rPr>
                <w:rFonts w:ascii="Times New Roman" w:eastAsia="PMingLiU" w:hAnsi="Times New Roman" w:cs="Times New Roman"/>
                <w:color w:val="000000" w:themeColor="text1"/>
                <w:sz w:val="20"/>
                <w:szCs w:val="20"/>
              </w:rPr>
              <w:t xml:space="preserve"> </w:t>
            </w:r>
            <w:r w:rsidR="0054259D" w:rsidRPr="001362A8">
              <w:rPr>
                <w:rFonts w:ascii="Times New Roman" w:eastAsia="PMingLiU" w:hAnsi="Times New Roman" w:cs="Times New Roman"/>
                <w:color w:val="000000" w:themeColor="text1"/>
                <w:sz w:val="20"/>
                <w:szCs w:val="20"/>
              </w:rPr>
              <w:t>was</w:t>
            </w:r>
            <w:r w:rsidR="00210067" w:rsidRPr="001362A8">
              <w:rPr>
                <w:rFonts w:ascii="Times New Roman" w:eastAsia="PMingLiU" w:hAnsi="Times New Roman" w:cs="Times New Roman"/>
                <w:color w:val="000000" w:themeColor="text1"/>
                <w:sz w:val="20"/>
                <w:szCs w:val="20"/>
              </w:rPr>
              <w:t xml:space="preserve"> established in 2000 and reformed in 2008 as a voluntary-based national surveillance system targeting HAI and </w:t>
            </w:r>
            <w:r w:rsidR="004A2E68" w:rsidRPr="001362A8">
              <w:rPr>
                <w:rFonts w:ascii="Times New Roman" w:eastAsia="PMingLiU" w:hAnsi="Times New Roman" w:cs="Times New Roman"/>
                <w:color w:val="000000" w:themeColor="text1"/>
                <w:sz w:val="20"/>
                <w:szCs w:val="20"/>
              </w:rPr>
              <w:t>AMR</w:t>
            </w:r>
            <w:r w:rsidR="00210067" w:rsidRPr="001362A8">
              <w:rPr>
                <w:rFonts w:ascii="Times New Roman" w:eastAsia="PMingLiU" w:hAnsi="Times New Roman" w:cs="Times New Roman"/>
                <w:color w:val="000000" w:themeColor="text1"/>
                <w:sz w:val="20"/>
                <w:szCs w:val="20"/>
              </w:rPr>
              <w:t xml:space="preserve"> bacteria</w:t>
            </w:r>
            <w:r w:rsidR="00494D18" w:rsidRPr="001362A8">
              <w:rPr>
                <w:rFonts w:ascii="Times New Roman" w:eastAsia="PMingLiU" w:hAnsi="Times New Roman" w:cs="Times New Roman"/>
                <w:color w:val="000000" w:themeColor="text1"/>
                <w:sz w:val="20"/>
                <w:szCs w:val="20"/>
              </w:rPr>
              <w:t xml:space="preserve"> [18]</w:t>
            </w:r>
            <w:r w:rsidR="00210067" w:rsidRPr="001362A8">
              <w:rPr>
                <w:rFonts w:ascii="Times New Roman" w:eastAsia="PMingLiU" w:hAnsi="Times New Roman" w:cs="Times New Roman"/>
                <w:color w:val="000000" w:themeColor="text1"/>
                <w:sz w:val="20"/>
                <w:szCs w:val="20"/>
              </w:rPr>
              <w:t>. According to a national survey involving 971 hospitals in 2012</w:t>
            </w:r>
            <w:r w:rsidR="00CD3F2E" w:rsidRPr="001362A8">
              <w:rPr>
                <w:rFonts w:ascii="Times New Roman" w:eastAsia="PMingLiU" w:hAnsi="Times New Roman" w:cs="Times New Roman"/>
                <w:color w:val="000000" w:themeColor="text1"/>
                <w:sz w:val="20"/>
                <w:szCs w:val="20"/>
              </w:rPr>
              <w:t>,</w:t>
            </w:r>
            <w:r w:rsidR="00210067" w:rsidRPr="001362A8">
              <w:rPr>
                <w:rFonts w:ascii="Times New Roman" w:eastAsia="PMingLiU" w:hAnsi="Times New Roman" w:cs="Times New Roman"/>
                <w:color w:val="000000" w:themeColor="text1"/>
                <w:sz w:val="20"/>
                <w:szCs w:val="20"/>
              </w:rPr>
              <w:t xml:space="preserve"> 67.3%, 35.1% and 31.5% of 685 respondents regularly monitor rates of CLABSI, CAUTI and VAP, respectively </w:t>
            </w:r>
            <w:r w:rsidR="00210067"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&lt;EndNote&gt;&lt;Cite&gt;&lt;Author&gt;Krein&lt;/Author&gt;&lt;Year&gt;2017&lt;/Year&gt;&lt;RecNum&gt;42&lt;/RecNum&gt;&lt;DisplayText&gt;[18]&lt;/DisplayText&gt;&lt;record&gt;&lt;rec-number&gt;42&lt;/rec-number&gt;&lt;foreign-keys&gt;&lt;key app="EN" db-id="zewpdw50fw9pfdepetsv0fej2pvv2fspdsaf" timestamp="1504420774"&gt;42&lt;/key&gt;&lt;/foreign-keys&gt;&lt;ref-type name="Journal Article"&gt;17&lt;/ref-type&gt;&lt;contributors&gt;&lt;authors&gt;&lt;author&gt;Krein, Sarah L.&lt;/author&gt;&lt;author&gt;Greene, M. Todd&lt;/author&gt;&lt;author&gt;Apisarnthanarak, Anucha&lt;/author&gt;&lt;author&gt;Sakamoto, Fumie&lt;/author&gt;&lt;author&gt;Tokuda, Yasuharu&lt;/author&gt;&lt;author&gt;Sakihama, Tomoko&lt;/author&gt;&lt;author&gt;Fowler, Karen E.&lt;/author&gt;&lt;author&gt;Ratz, David&lt;/author&gt;&lt;author&gt;Saint, Sanjay&lt;/author&gt;&lt;/authors&gt;&lt;/contributors&gt;&lt;titles&gt;&lt;title&gt;Infection Prevention Practices in Japan, Thailand, and the United States: Results From National Surveys&lt;/title&gt;&lt;secondary-title&gt;Clinical Infectious Diseases&lt;/secondary-title&gt;&lt;/titles&gt;&lt;periodical&gt;&lt;full-title&gt;Clinical Infectious Diseases&lt;/full-title&gt;&lt;/periodical&gt;&lt;pages&gt;S105-S111&lt;/pages&gt;&lt;volume&gt;64&lt;/volume&gt;&lt;number&gt;suppl_2&lt;/number&gt;&lt;dates&gt;&lt;year&gt;2017&lt;/year&gt;&lt;/dates&gt;&lt;isbn&gt;1058-4838&lt;/isbn&gt;&lt;urls&gt;&lt;related-urls&gt;&lt;url&gt;http://dx.doi.org/10.1093/cid/cix073&lt;/url&gt;&lt;/related-urls&gt;&lt;/urls&gt;&lt;electronic-resource-num&gt;10.1093/cid/cix073&lt;/electronic-resource-num&gt;&lt;/record&gt;&lt;/Cite&gt;&lt;/EndNote&gt;</w:instrText>
            </w:r>
            <w:r w:rsidR="00210067"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w:t>
            </w:r>
            <w:r w:rsidR="000031C0" w:rsidRPr="001362A8">
              <w:rPr>
                <w:rFonts w:ascii="Times New Roman" w:eastAsia="PMingLiU" w:hAnsi="Times New Roman" w:cs="Times New Roman"/>
                <w:noProof/>
                <w:color w:val="000000" w:themeColor="text1"/>
                <w:sz w:val="20"/>
                <w:szCs w:val="20"/>
              </w:rPr>
              <w:t>19</w:t>
            </w:r>
            <w:r w:rsidR="000C01F8" w:rsidRPr="001362A8">
              <w:rPr>
                <w:rFonts w:ascii="Times New Roman" w:eastAsia="PMingLiU" w:hAnsi="Times New Roman" w:cs="Times New Roman"/>
                <w:noProof/>
                <w:color w:val="000000" w:themeColor="text1"/>
                <w:sz w:val="20"/>
                <w:szCs w:val="20"/>
              </w:rPr>
              <w:t>]</w:t>
            </w:r>
            <w:r w:rsidR="00210067" w:rsidRPr="001362A8">
              <w:rPr>
                <w:rFonts w:ascii="Times New Roman" w:eastAsia="PMingLiU" w:hAnsi="Times New Roman" w:cs="Times New Roman"/>
                <w:color w:val="000000" w:themeColor="text1"/>
                <w:sz w:val="20"/>
                <w:szCs w:val="20"/>
              </w:rPr>
              <w:fldChar w:fldCharType="end"/>
            </w:r>
            <w:r w:rsidR="00210067" w:rsidRPr="001362A8">
              <w:rPr>
                <w:rFonts w:ascii="Times New Roman" w:eastAsia="PMingLiU" w:hAnsi="Times New Roman" w:cs="Times New Roman"/>
                <w:color w:val="000000" w:themeColor="text1"/>
                <w:sz w:val="20"/>
                <w:szCs w:val="20"/>
              </w:rPr>
              <w:t xml:space="preserve">. JANIS collects data from hospital laboratories that have an automated system for bacterial identification and drug susceptibility testing, and also data from commercial laboratories to which participating hospitals are contracted. </w:t>
            </w:r>
          </w:p>
        </w:tc>
      </w:tr>
      <w:tr w:rsidR="001362A8" w:rsidRPr="001362A8" w14:paraId="31F503A2" w14:textId="77777777" w:rsidTr="001A1D4B">
        <w:trPr>
          <w:trHeight w:val="665"/>
        </w:trPr>
        <w:tc>
          <w:tcPr>
            <w:tcW w:w="1101" w:type="dxa"/>
            <w:vMerge/>
            <w:tcBorders>
              <w:top w:val="single" w:sz="4" w:space="0" w:color="auto"/>
            </w:tcBorders>
          </w:tcPr>
          <w:p w14:paraId="37C17E3C"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151498FE"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Penalties and reimbursement policies</w:t>
            </w:r>
          </w:p>
        </w:tc>
        <w:tc>
          <w:tcPr>
            <w:tcW w:w="6696" w:type="dxa"/>
            <w:tcBorders>
              <w:top w:val="single" w:sz="4" w:space="0" w:color="auto"/>
              <w:bottom w:val="nil"/>
            </w:tcBorders>
          </w:tcPr>
          <w:p w14:paraId="03AE15BB" w14:textId="77777777" w:rsidR="00185B16" w:rsidRPr="001362A8" w:rsidRDefault="00210067" w:rsidP="001A1D4B">
            <w:pPr>
              <w:spacing w:beforeLines="50" w:before="120" w:afterLines="50" w:after="120" w:line="360" w:lineRule="auto"/>
              <w:rPr>
                <w:rFonts w:ascii="Times New Roman" w:hAnsi="Times New Roman" w:cs="Times New Roman"/>
                <w:color w:val="000000" w:themeColor="text1"/>
                <w:sz w:val="20"/>
                <w:szCs w:val="20"/>
                <w:shd w:val="clear" w:color="auto" w:fill="FFFCF0"/>
              </w:rPr>
            </w:pPr>
            <w:r w:rsidRPr="001362A8">
              <w:rPr>
                <w:rFonts w:ascii="Times New Roman" w:eastAsia="PMingLiU" w:hAnsi="Times New Roman" w:cs="Times New Roman"/>
                <w:color w:val="000000" w:themeColor="text1"/>
                <w:sz w:val="20"/>
                <w:szCs w:val="20"/>
              </w:rPr>
              <w:t xml:space="preserve">In 1996, hospitals with good </w:t>
            </w:r>
            <w:r w:rsidR="004A2E68" w:rsidRPr="001362A8">
              <w:rPr>
                <w:rFonts w:ascii="Times New Roman" w:eastAsia="PMingLiU" w:hAnsi="Times New Roman" w:cs="Times New Roman"/>
                <w:color w:val="000000" w:themeColor="text1"/>
                <w:sz w:val="20"/>
                <w:szCs w:val="20"/>
              </w:rPr>
              <w:t>IPC</w:t>
            </w:r>
            <w:r w:rsidRPr="001362A8">
              <w:rPr>
                <w:rFonts w:ascii="Times New Roman" w:eastAsia="PMingLiU" w:hAnsi="Times New Roman" w:cs="Times New Roman"/>
                <w:color w:val="000000" w:themeColor="text1"/>
                <w:sz w:val="20"/>
                <w:szCs w:val="20"/>
              </w:rPr>
              <w:t xml:space="preserve"> practices were reimbursed 0.6 USD per patient per day. In 2000, reimbursement policy was replaced with penalties for hospitals with insufficient </w:t>
            </w:r>
            <w:r w:rsidR="004A2E68" w:rsidRPr="001362A8">
              <w:rPr>
                <w:rFonts w:ascii="Times New Roman" w:eastAsia="PMingLiU" w:hAnsi="Times New Roman" w:cs="Times New Roman"/>
                <w:color w:val="000000" w:themeColor="text1"/>
                <w:sz w:val="20"/>
                <w:szCs w:val="20"/>
              </w:rPr>
              <w:t xml:space="preserve">IPC </w:t>
            </w:r>
            <w:r w:rsidRPr="001362A8">
              <w:rPr>
                <w:rFonts w:ascii="Times New Roman" w:eastAsia="PMingLiU" w:hAnsi="Times New Roman" w:cs="Times New Roman"/>
                <w:color w:val="000000" w:themeColor="text1"/>
                <w:sz w:val="20"/>
                <w:szCs w:val="20"/>
              </w:rPr>
              <w:t>policies. This policy was discontinued in 2006.</w:t>
            </w:r>
            <w:r w:rsidR="008D2769" w:rsidRPr="001362A8">
              <w:rPr>
                <w:rFonts w:ascii="Times New Roman" w:eastAsia="PMingLiU" w:hAnsi="Times New Roman" w:cs="Times New Roman"/>
                <w:color w:val="000000" w:themeColor="text1"/>
                <w:sz w:val="20"/>
                <w:szCs w:val="20"/>
              </w:rPr>
              <w:t xml:space="preserve"> </w:t>
            </w:r>
            <w:r w:rsidR="008D2769" w:rsidRPr="001362A8">
              <w:rPr>
                <w:rFonts w:ascii="Times New Roman" w:hAnsi="Times New Roman" w:cs="Times New Roman"/>
                <w:color w:val="000000" w:themeColor="text1"/>
                <w:sz w:val="20"/>
                <w:szCs w:val="20"/>
                <w:shd w:val="clear" w:color="auto" w:fill="FFFCF0"/>
              </w:rPr>
              <w:t xml:space="preserve"> </w:t>
            </w:r>
          </w:p>
          <w:p w14:paraId="658FA899" w14:textId="7C3D327C" w:rsidR="00210067" w:rsidRPr="001362A8" w:rsidRDefault="00C80506" w:rsidP="00215927">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hAnsi="Times New Roman" w:cs="Times New Roman"/>
                <w:color w:val="000000" w:themeColor="text1"/>
                <w:sz w:val="20"/>
                <w:szCs w:val="20"/>
              </w:rPr>
              <w:t>M</w:t>
            </w:r>
            <w:r w:rsidR="008D2769" w:rsidRPr="001362A8">
              <w:rPr>
                <w:rFonts w:ascii="Times New Roman" w:hAnsi="Times New Roman" w:cs="Times New Roman"/>
                <w:color w:val="000000" w:themeColor="text1"/>
                <w:sz w:val="20"/>
                <w:szCs w:val="20"/>
              </w:rPr>
              <w:t>edical reimbursement system</w:t>
            </w:r>
            <w:r w:rsidRPr="001362A8">
              <w:rPr>
                <w:rFonts w:ascii="Times New Roman" w:hAnsi="Times New Roman" w:cs="Times New Roman"/>
                <w:color w:val="000000" w:themeColor="text1"/>
                <w:sz w:val="20"/>
                <w:szCs w:val="20"/>
              </w:rPr>
              <w:t xml:space="preserve"> </w:t>
            </w:r>
            <w:r w:rsidR="00F8179F" w:rsidRPr="001362A8">
              <w:rPr>
                <w:rFonts w:ascii="Times New Roman" w:hAnsi="Times New Roman" w:cs="Times New Roman"/>
                <w:color w:val="000000" w:themeColor="text1"/>
                <w:sz w:val="20"/>
                <w:szCs w:val="20"/>
              </w:rPr>
              <w:t>was</w:t>
            </w:r>
            <w:r w:rsidRPr="001362A8">
              <w:rPr>
                <w:rFonts w:ascii="Times New Roman" w:hAnsi="Times New Roman" w:cs="Times New Roman"/>
                <w:color w:val="000000" w:themeColor="text1"/>
                <w:sz w:val="20"/>
                <w:szCs w:val="20"/>
              </w:rPr>
              <w:t xml:space="preserve"> revised</w:t>
            </w:r>
            <w:r w:rsidR="008301BD" w:rsidRPr="001362A8">
              <w:rPr>
                <w:rFonts w:ascii="Times New Roman" w:hAnsi="Times New Roman" w:cs="Times New Roman"/>
                <w:color w:val="000000" w:themeColor="text1"/>
                <w:sz w:val="20"/>
                <w:szCs w:val="20"/>
              </w:rPr>
              <w:t xml:space="preserve"> in 2010</w:t>
            </w:r>
            <w:r w:rsidR="000F10E2" w:rsidRPr="001362A8">
              <w:rPr>
                <w:rFonts w:ascii="Times New Roman" w:eastAsia="PMingLiU" w:hAnsi="Times New Roman" w:cs="Times New Roman"/>
                <w:color w:val="000000" w:themeColor="text1"/>
                <w:sz w:val="20"/>
                <w:szCs w:val="20"/>
              </w:rPr>
              <w:t xml:space="preserve"> </w:t>
            </w:r>
            <w:r w:rsidR="000F10E2" w:rsidRPr="001362A8">
              <w:rPr>
                <w:rFonts w:ascii="Times New Roman" w:eastAsia="PMingLiU" w:hAnsi="Times New Roman" w:cs="Times New Roman"/>
                <w:color w:val="000000" w:themeColor="text1"/>
                <w:sz w:val="20"/>
                <w:szCs w:val="20"/>
              </w:rPr>
              <w:fldChar w:fldCharType="begin"/>
            </w:r>
            <w:r w:rsidR="000F10E2" w:rsidRPr="001362A8">
              <w:rPr>
                <w:rFonts w:ascii="Times New Roman" w:eastAsia="PMingLiU" w:hAnsi="Times New Roman" w:cs="Times New Roman"/>
                <w:color w:val="000000" w:themeColor="text1"/>
                <w:sz w:val="20"/>
                <w:szCs w:val="20"/>
              </w:rPr>
              <w:instrText xml:space="preserve"> ADDIN EN.CITE &lt;EndNote&gt;&lt;Cite&gt;&lt;Author&gt;Morikane&lt;/Author&gt;&lt;Year&gt;2012&lt;/Year&gt;&lt;RecNum&gt;41&lt;/RecNum&gt;&lt;DisplayText&gt;[19]&lt;/DisplayText&gt;&lt;record&gt;&lt;rec-number&gt;41&lt;/rec-number&gt;&lt;foreign-keys&gt;&lt;key app="EN" db-id="zewpdw50fw9pfdepetsv0fej2pvv2fspdsaf" timestamp="1504420676"&gt;41&lt;/key&gt;&lt;/foreign-keys&gt;&lt;ref-type name="Journal Article"&gt;17&lt;/ref-type&gt;&lt;contributors&gt;&lt;authors&gt;&lt;author&gt;Morikane, Keita&lt;/author&gt;&lt;/authors&gt;&lt;/contributors&gt;&lt;titles&gt;&lt;title&gt;Infection Control in Healthcare Settings in Japan&lt;/title&gt;&lt;secondary-title&gt;Journal of Epidemiology&lt;/secondary-title&gt;&lt;/titles&gt;&lt;periodical&gt;&lt;full-title&gt;Journal of Epidemiology&lt;/full-title&gt;&lt;/periodical&gt;&lt;pages&gt;86-90&lt;/pages&gt;&lt;volume&gt;22&lt;/volume&gt;&lt;number&gt;2&lt;/number&gt;&lt;dates&gt;&lt;year&gt;2012&lt;/year&gt;&lt;pub-dates&gt;&lt;date&gt;03/05&amp;#xD;08/15/received&amp;#xD;12/14/accepted&lt;/date&gt;&lt;/pub-dates&gt;&lt;/dates&gt;&lt;publisher&gt;Japan Epidemiological Association&lt;/publisher&gt;&lt;isbn&gt;0917-5040&amp;#xD;1349-9092&lt;/isbn&gt;&lt;accession-num&gt;PMC3798586&lt;/accession-num&gt;&lt;urls&gt;&lt;related-urls&gt;&lt;url&gt;http://www.ncbi.nlm.nih.gov/pmc/articles/PMC3798586/&lt;/url&gt;&lt;/related-urls&gt;&lt;/urls&gt;&lt;electronic-resource-num&gt;10.2188/jea.JE20110085&lt;/electronic-resource-num&gt;&lt;remote-database-name&gt;PMC&lt;/remote-database-name&gt;&lt;/record&gt;&lt;/Cite&gt;&lt;/EndNote&gt;</w:instrText>
            </w:r>
            <w:r w:rsidR="000F10E2" w:rsidRPr="001362A8">
              <w:rPr>
                <w:rFonts w:ascii="Times New Roman" w:eastAsia="PMingLiU" w:hAnsi="Times New Roman" w:cs="Times New Roman"/>
                <w:color w:val="000000" w:themeColor="text1"/>
                <w:sz w:val="20"/>
                <w:szCs w:val="20"/>
              </w:rPr>
              <w:fldChar w:fldCharType="separate"/>
            </w:r>
            <w:r w:rsidR="000F10E2" w:rsidRPr="001362A8">
              <w:rPr>
                <w:rFonts w:ascii="Times New Roman" w:eastAsia="PMingLiU" w:hAnsi="Times New Roman" w:cs="Times New Roman"/>
                <w:noProof/>
                <w:color w:val="000000" w:themeColor="text1"/>
                <w:sz w:val="20"/>
                <w:szCs w:val="20"/>
              </w:rPr>
              <w:t>[18]</w:t>
            </w:r>
            <w:r w:rsidR="000F10E2" w:rsidRPr="001362A8">
              <w:rPr>
                <w:rFonts w:ascii="Times New Roman" w:eastAsia="PMingLiU" w:hAnsi="Times New Roman" w:cs="Times New Roman"/>
                <w:color w:val="000000" w:themeColor="text1"/>
                <w:sz w:val="20"/>
                <w:szCs w:val="20"/>
              </w:rPr>
              <w:fldChar w:fldCharType="end"/>
            </w:r>
            <w:r w:rsidR="000F10E2" w:rsidRPr="001362A8">
              <w:rPr>
                <w:rFonts w:ascii="Times New Roman" w:eastAsia="PMingLiU" w:hAnsi="Times New Roman" w:cs="Times New Roman"/>
                <w:color w:val="000000" w:themeColor="text1"/>
                <w:sz w:val="20"/>
                <w:szCs w:val="20"/>
              </w:rPr>
              <w:t xml:space="preserve"> and upgraded in 2012</w:t>
            </w:r>
            <w:r w:rsidR="00AF061C" w:rsidRPr="001362A8">
              <w:rPr>
                <w:rFonts w:ascii="Times New Roman" w:eastAsia="PMingLiU" w:hAnsi="Times New Roman" w:cs="Times New Roman"/>
                <w:color w:val="000000" w:themeColor="text1"/>
                <w:sz w:val="20"/>
                <w:szCs w:val="20"/>
              </w:rPr>
              <w:t xml:space="preserve">. This revision </w:t>
            </w:r>
            <w:r w:rsidR="00F8179F" w:rsidRPr="001362A8">
              <w:rPr>
                <w:rFonts w:ascii="Times New Roman" w:hAnsi="Times New Roman" w:cs="Times New Roman"/>
                <w:color w:val="000000" w:themeColor="text1"/>
                <w:sz w:val="20"/>
                <w:szCs w:val="20"/>
              </w:rPr>
              <w:t>aimed to provide</w:t>
            </w:r>
            <w:r w:rsidR="000F10E2" w:rsidRPr="001362A8">
              <w:rPr>
                <w:rFonts w:ascii="Times New Roman" w:hAnsi="Times New Roman" w:cs="Times New Roman"/>
                <w:color w:val="000000" w:themeColor="text1"/>
                <w:sz w:val="20"/>
                <w:szCs w:val="20"/>
              </w:rPr>
              <w:t xml:space="preserve"> IPC</w:t>
            </w:r>
            <w:r w:rsidRPr="001362A8">
              <w:rPr>
                <w:rFonts w:ascii="Times New Roman" w:hAnsi="Times New Roman" w:cs="Times New Roman"/>
                <w:color w:val="000000" w:themeColor="text1"/>
                <w:sz w:val="20"/>
                <w:szCs w:val="20"/>
              </w:rPr>
              <w:t xml:space="preserve"> incentive</w:t>
            </w:r>
            <w:r w:rsidR="000F10E2" w:rsidRPr="001362A8">
              <w:rPr>
                <w:rFonts w:ascii="Times New Roman" w:hAnsi="Times New Roman" w:cs="Times New Roman"/>
                <w:color w:val="000000" w:themeColor="text1"/>
                <w:sz w:val="20"/>
                <w:szCs w:val="20"/>
              </w:rPr>
              <w:t xml:space="preserve"> and mainly focus</w:t>
            </w:r>
            <w:r w:rsidR="00AF061C" w:rsidRPr="001362A8">
              <w:rPr>
                <w:rFonts w:ascii="Times New Roman" w:hAnsi="Times New Roman" w:cs="Times New Roman"/>
                <w:color w:val="000000" w:themeColor="text1"/>
                <w:sz w:val="20"/>
                <w:szCs w:val="20"/>
              </w:rPr>
              <w:t>ed</w:t>
            </w:r>
            <w:r w:rsidR="000F10E2" w:rsidRPr="001362A8">
              <w:rPr>
                <w:rFonts w:ascii="Times New Roman" w:hAnsi="Times New Roman" w:cs="Times New Roman"/>
                <w:color w:val="000000" w:themeColor="text1"/>
                <w:sz w:val="20"/>
                <w:szCs w:val="20"/>
              </w:rPr>
              <w:t xml:space="preserve"> on manpower</w:t>
            </w:r>
            <w:r w:rsidR="008D2769" w:rsidRPr="001362A8">
              <w:rPr>
                <w:rFonts w:ascii="Times New Roman" w:hAnsi="Times New Roman" w:cs="Times New Roman"/>
                <w:color w:val="000000" w:themeColor="text1"/>
                <w:sz w:val="20"/>
                <w:szCs w:val="20"/>
              </w:rPr>
              <w:t>.</w:t>
            </w:r>
            <w:r w:rsidR="00210067" w:rsidRPr="001362A8">
              <w:rPr>
                <w:rFonts w:ascii="Times New Roman" w:eastAsia="PMingLiU" w:hAnsi="Times New Roman" w:cs="Times New Roman"/>
                <w:color w:val="000000" w:themeColor="text1"/>
                <w:sz w:val="20"/>
                <w:szCs w:val="20"/>
              </w:rPr>
              <w:t xml:space="preserve"> </w:t>
            </w:r>
            <w:r w:rsidR="000F10E2" w:rsidRPr="001362A8">
              <w:rPr>
                <w:rFonts w:ascii="Times New Roman" w:eastAsia="PMingLiU" w:hAnsi="Times New Roman" w:cs="Times New Roman"/>
                <w:color w:val="000000" w:themeColor="text1"/>
                <w:sz w:val="20"/>
                <w:szCs w:val="20"/>
              </w:rPr>
              <w:lastRenderedPageBreak/>
              <w:t>Since 2012, e</w:t>
            </w:r>
            <w:r w:rsidR="00F8179F" w:rsidRPr="001362A8">
              <w:rPr>
                <w:rFonts w:ascii="Times New Roman" w:hAnsi="Times New Roman" w:cs="Times New Roman"/>
                <w:color w:val="000000" w:themeColor="text1"/>
                <w:sz w:val="20"/>
                <w:szCs w:val="20"/>
                <w:shd w:val="clear" w:color="auto" w:fill="FFFFFF"/>
              </w:rPr>
              <w:t>ach</w:t>
            </w:r>
            <w:r w:rsidR="008301BD" w:rsidRPr="001362A8">
              <w:rPr>
                <w:rFonts w:ascii="Times New Roman" w:hAnsi="Times New Roman" w:cs="Times New Roman"/>
                <w:color w:val="000000" w:themeColor="text1"/>
                <w:sz w:val="20"/>
                <w:szCs w:val="20"/>
                <w:shd w:val="clear" w:color="auto" w:fill="FFFFFF"/>
              </w:rPr>
              <w:t xml:space="preserve"> hospital </w:t>
            </w:r>
            <w:r w:rsidR="000F10E2" w:rsidRPr="001362A8">
              <w:rPr>
                <w:rFonts w:ascii="Times New Roman" w:hAnsi="Times New Roman" w:cs="Times New Roman"/>
                <w:color w:val="000000" w:themeColor="text1"/>
                <w:sz w:val="20"/>
                <w:szCs w:val="20"/>
                <w:shd w:val="clear" w:color="auto" w:fill="FFFFFF"/>
              </w:rPr>
              <w:t>is</w:t>
            </w:r>
            <w:r w:rsidR="00F8179F" w:rsidRPr="001362A8">
              <w:rPr>
                <w:rFonts w:ascii="Times New Roman" w:hAnsi="Times New Roman" w:cs="Times New Roman"/>
                <w:color w:val="000000" w:themeColor="text1"/>
                <w:sz w:val="20"/>
                <w:szCs w:val="20"/>
                <w:shd w:val="clear" w:color="auto" w:fill="FFFFFF"/>
              </w:rPr>
              <w:t xml:space="preserve"> reimbursed 1000 JPY</w:t>
            </w:r>
            <w:r w:rsidR="00F8179F" w:rsidRPr="001362A8" w:rsidDel="00F8179F">
              <w:rPr>
                <w:rFonts w:ascii="Times New Roman" w:hAnsi="Times New Roman" w:cs="Times New Roman"/>
                <w:color w:val="000000" w:themeColor="text1"/>
                <w:sz w:val="20"/>
                <w:szCs w:val="20"/>
                <w:shd w:val="clear" w:color="auto" w:fill="FFFFFF"/>
              </w:rPr>
              <w:t xml:space="preserve"> </w:t>
            </w:r>
            <w:r w:rsidR="00F8179F" w:rsidRPr="001362A8">
              <w:rPr>
                <w:rFonts w:ascii="Times New Roman" w:hAnsi="Times New Roman" w:cs="Times New Roman"/>
                <w:color w:val="000000" w:themeColor="text1"/>
                <w:sz w:val="20"/>
                <w:szCs w:val="20"/>
                <w:shd w:val="clear" w:color="auto" w:fill="FFFFFF"/>
              </w:rPr>
              <w:t xml:space="preserve">(about 10 </w:t>
            </w:r>
            <w:r w:rsidR="008301BD" w:rsidRPr="001362A8">
              <w:rPr>
                <w:rFonts w:ascii="Times New Roman" w:hAnsi="Times New Roman" w:cs="Times New Roman"/>
                <w:color w:val="000000" w:themeColor="text1"/>
                <w:sz w:val="20"/>
                <w:szCs w:val="20"/>
                <w:shd w:val="clear" w:color="auto" w:fill="FFFFFF"/>
              </w:rPr>
              <w:t>USD</w:t>
            </w:r>
            <w:r w:rsidR="00F8179F" w:rsidRPr="001362A8">
              <w:rPr>
                <w:rFonts w:ascii="Times New Roman" w:hAnsi="Times New Roman" w:cs="Times New Roman"/>
                <w:color w:val="000000" w:themeColor="text1"/>
                <w:sz w:val="20"/>
                <w:szCs w:val="20"/>
                <w:shd w:val="clear" w:color="auto" w:fill="FFFFFF"/>
              </w:rPr>
              <w:t xml:space="preserve">) </w:t>
            </w:r>
            <w:r w:rsidR="008301BD" w:rsidRPr="001362A8">
              <w:rPr>
                <w:rFonts w:ascii="Times New Roman" w:hAnsi="Times New Roman" w:cs="Times New Roman"/>
                <w:color w:val="000000" w:themeColor="text1"/>
                <w:sz w:val="20"/>
                <w:szCs w:val="20"/>
                <w:shd w:val="clear" w:color="auto" w:fill="FFFFFF"/>
              </w:rPr>
              <w:t>per patient per admission if it fulfil</w:t>
            </w:r>
            <w:r w:rsidR="00A06877" w:rsidRPr="001362A8">
              <w:rPr>
                <w:rFonts w:ascii="Times New Roman" w:hAnsi="Times New Roman" w:cs="Times New Roman"/>
                <w:color w:val="000000" w:themeColor="text1"/>
                <w:sz w:val="20"/>
                <w:szCs w:val="20"/>
                <w:shd w:val="clear" w:color="auto" w:fill="FFFFFF"/>
              </w:rPr>
              <w:t>l</w:t>
            </w:r>
            <w:r w:rsidR="000F10E2" w:rsidRPr="001362A8">
              <w:rPr>
                <w:rFonts w:ascii="Times New Roman" w:hAnsi="Times New Roman" w:cs="Times New Roman"/>
                <w:color w:val="000000" w:themeColor="text1"/>
                <w:sz w:val="20"/>
                <w:szCs w:val="20"/>
                <w:shd w:val="clear" w:color="auto" w:fill="FFFFFF"/>
              </w:rPr>
              <w:t>s</w:t>
            </w:r>
            <w:r w:rsidR="008301BD" w:rsidRPr="001362A8">
              <w:rPr>
                <w:rFonts w:ascii="Times New Roman" w:hAnsi="Times New Roman" w:cs="Times New Roman"/>
                <w:color w:val="000000" w:themeColor="text1"/>
                <w:sz w:val="20"/>
                <w:szCs w:val="20"/>
                <w:shd w:val="clear" w:color="auto" w:fill="FFFFFF"/>
              </w:rPr>
              <w:t xml:space="preserve"> the </w:t>
            </w:r>
            <w:r w:rsidR="008301BD" w:rsidRPr="001362A8">
              <w:rPr>
                <w:rFonts w:ascii="Times New Roman" w:hAnsi="Times New Roman" w:cs="Times New Roman"/>
                <w:color w:val="000000" w:themeColor="text1"/>
                <w:sz w:val="20"/>
                <w:szCs w:val="20"/>
              </w:rPr>
              <w:t>Ministry of Health, Labor and Welfare</w:t>
            </w:r>
            <w:r w:rsidR="008301BD" w:rsidRPr="001362A8">
              <w:rPr>
                <w:rFonts w:ascii="Times New Roman" w:hAnsi="Times New Roman" w:cs="Times New Roman"/>
                <w:color w:val="000000" w:themeColor="text1"/>
                <w:sz w:val="20"/>
                <w:szCs w:val="20"/>
                <w:shd w:val="clear" w:color="auto" w:fill="FFFFFF"/>
              </w:rPr>
              <w:t xml:space="preserve"> requirements</w:t>
            </w:r>
            <w:r w:rsidR="00AF061C" w:rsidRPr="001362A8">
              <w:rPr>
                <w:rFonts w:ascii="Times New Roman" w:hAnsi="Times New Roman" w:cs="Times New Roman"/>
                <w:color w:val="000000" w:themeColor="text1"/>
                <w:sz w:val="20"/>
                <w:szCs w:val="20"/>
                <w:shd w:val="clear" w:color="auto" w:fill="FFFFFF"/>
              </w:rPr>
              <w:t>,</w:t>
            </w:r>
            <w:r w:rsidR="008301BD" w:rsidRPr="001362A8">
              <w:rPr>
                <w:rFonts w:ascii="Times New Roman" w:hAnsi="Times New Roman" w:cs="Times New Roman"/>
                <w:color w:val="000000" w:themeColor="text1"/>
                <w:sz w:val="20"/>
                <w:szCs w:val="20"/>
                <w:shd w:val="clear" w:color="auto" w:fill="FFFFFF"/>
              </w:rPr>
              <w:t xml:space="preserve"> which mandate</w:t>
            </w:r>
            <w:r w:rsidR="00F8179F" w:rsidRPr="001362A8">
              <w:rPr>
                <w:rFonts w:ascii="Times New Roman" w:hAnsi="Times New Roman" w:cs="Times New Roman"/>
                <w:color w:val="000000" w:themeColor="text1"/>
                <w:sz w:val="20"/>
                <w:szCs w:val="20"/>
                <w:shd w:val="clear" w:color="auto" w:fill="FFFFFF"/>
              </w:rPr>
              <w:t>d</w:t>
            </w:r>
            <w:r w:rsidR="008301BD" w:rsidRPr="001362A8">
              <w:rPr>
                <w:rFonts w:ascii="Times New Roman" w:hAnsi="Times New Roman" w:cs="Times New Roman"/>
                <w:color w:val="000000" w:themeColor="text1"/>
                <w:sz w:val="20"/>
                <w:szCs w:val="20"/>
                <w:shd w:val="clear" w:color="auto" w:fill="FFFFFF"/>
              </w:rPr>
              <w:t xml:space="preserve"> </w:t>
            </w:r>
            <w:r w:rsidR="00F8179F" w:rsidRPr="001362A8">
              <w:rPr>
                <w:rFonts w:ascii="Times New Roman" w:hAnsi="Times New Roman" w:cs="Times New Roman"/>
                <w:color w:val="000000" w:themeColor="text1"/>
                <w:sz w:val="20"/>
                <w:szCs w:val="20"/>
                <w:shd w:val="clear" w:color="auto" w:fill="FFFFFF"/>
              </w:rPr>
              <w:t>one</w:t>
            </w:r>
            <w:r w:rsidR="00AF061C" w:rsidRPr="001362A8">
              <w:rPr>
                <w:rFonts w:ascii="Times New Roman" w:hAnsi="Times New Roman" w:cs="Times New Roman"/>
                <w:color w:val="000000" w:themeColor="text1"/>
                <w:sz w:val="20"/>
                <w:szCs w:val="20"/>
                <w:shd w:val="clear" w:color="auto" w:fill="FFFFFF"/>
              </w:rPr>
              <w:t xml:space="preserve"> dedicated</w:t>
            </w:r>
            <w:r w:rsidR="001E0203" w:rsidRPr="001362A8">
              <w:rPr>
                <w:rFonts w:ascii="Times New Roman" w:hAnsi="Times New Roman" w:cs="Times New Roman"/>
                <w:color w:val="000000" w:themeColor="text1"/>
                <w:sz w:val="20"/>
                <w:szCs w:val="20"/>
                <w:shd w:val="clear" w:color="auto" w:fill="FFFFFF"/>
              </w:rPr>
              <w:t xml:space="preserve"> </w:t>
            </w:r>
            <w:r w:rsidR="003A2A58" w:rsidRPr="001362A8">
              <w:rPr>
                <w:rFonts w:ascii="Times New Roman" w:hAnsi="Times New Roman" w:cs="Times New Roman"/>
                <w:color w:val="000000" w:themeColor="text1"/>
                <w:sz w:val="20"/>
                <w:szCs w:val="20"/>
                <w:shd w:val="clear" w:color="auto" w:fill="FFFFFF"/>
              </w:rPr>
              <w:t xml:space="preserve">full-time </w:t>
            </w:r>
            <w:r w:rsidR="001E0203" w:rsidRPr="001362A8">
              <w:rPr>
                <w:rFonts w:ascii="Times New Roman" w:hAnsi="Times New Roman" w:cs="Times New Roman"/>
                <w:color w:val="000000" w:themeColor="text1"/>
                <w:sz w:val="20"/>
                <w:szCs w:val="20"/>
                <w:shd w:val="clear" w:color="auto" w:fill="FFFFFF"/>
              </w:rPr>
              <w:t xml:space="preserve">certificated </w:t>
            </w:r>
            <w:r w:rsidR="00F8179F" w:rsidRPr="001362A8">
              <w:rPr>
                <w:rFonts w:ascii="Times New Roman" w:hAnsi="Times New Roman" w:cs="Times New Roman"/>
                <w:color w:val="000000" w:themeColor="text1"/>
                <w:sz w:val="20"/>
                <w:szCs w:val="20"/>
                <w:shd w:val="clear" w:color="auto" w:fill="FFFFFF"/>
              </w:rPr>
              <w:t xml:space="preserve">ICN </w:t>
            </w:r>
            <w:r w:rsidR="003A2A58" w:rsidRPr="001362A8">
              <w:rPr>
                <w:rFonts w:ascii="Times New Roman" w:hAnsi="Times New Roman" w:cs="Times New Roman"/>
                <w:color w:val="000000" w:themeColor="text1"/>
                <w:sz w:val="20"/>
                <w:szCs w:val="20"/>
                <w:shd w:val="clear" w:color="auto" w:fill="FFFFFF"/>
              </w:rPr>
              <w:t>(</w:t>
            </w:r>
            <w:r w:rsidR="008301BD" w:rsidRPr="001362A8">
              <w:rPr>
                <w:rFonts w:ascii="Times New Roman" w:hAnsi="Times New Roman" w:cs="Times New Roman"/>
                <w:color w:val="000000" w:themeColor="text1"/>
                <w:sz w:val="20"/>
                <w:szCs w:val="20"/>
                <w:shd w:val="clear" w:color="auto" w:fill="FFFFFF"/>
              </w:rPr>
              <w:t xml:space="preserve">at </w:t>
            </w:r>
            <w:r w:rsidR="003A2A58" w:rsidRPr="001362A8">
              <w:rPr>
                <w:rFonts w:ascii="Times New Roman" w:hAnsi="Times New Roman" w:cs="Times New Roman"/>
                <w:color w:val="000000" w:themeColor="text1"/>
                <w:sz w:val="20"/>
                <w:szCs w:val="20"/>
                <w:shd w:val="clear" w:color="auto" w:fill="FFFFFF"/>
              </w:rPr>
              <w:t>&gt;</w:t>
            </w:r>
            <w:r w:rsidR="008301BD" w:rsidRPr="001362A8">
              <w:rPr>
                <w:rFonts w:ascii="Times New Roman" w:hAnsi="Times New Roman" w:cs="Times New Roman"/>
                <w:color w:val="000000" w:themeColor="text1"/>
                <w:sz w:val="20"/>
                <w:szCs w:val="20"/>
                <w:shd w:val="clear" w:color="auto" w:fill="FFFFFF"/>
              </w:rPr>
              <w:t>0.8 FTE</w:t>
            </w:r>
            <w:r w:rsidR="003A2A58" w:rsidRPr="001362A8">
              <w:rPr>
                <w:rFonts w:ascii="Times New Roman" w:hAnsi="Times New Roman" w:cs="Times New Roman"/>
                <w:color w:val="000000" w:themeColor="text1"/>
                <w:sz w:val="20"/>
                <w:szCs w:val="20"/>
                <w:shd w:val="clear" w:color="auto" w:fill="FFFFFF"/>
              </w:rPr>
              <w:t>)</w:t>
            </w:r>
            <w:r w:rsidR="008301BD" w:rsidRPr="001362A8">
              <w:rPr>
                <w:rFonts w:ascii="Times New Roman" w:hAnsi="Times New Roman" w:cs="Times New Roman"/>
                <w:color w:val="000000" w:themeColor="text1"/>
                <w:sz w:val="20"/>
                <w:szCs w:val="20"/>
                <w:shd w:val="clear" w:color="auto" w:fill="FFFFFF"/>
              </w:rPr>
              <w:t>,</w:t>
            </w:r>
            <w:r w:rsidR="00F8179F" w:rsidRPr="001362A8">
              <w:rPr>
                <w:rFonts w:ascii="Times New Roman" w:hAnsi="Times New Roman" w:cs="Times New Roman"/>
                <w:color w:val="000000" w:themeColor="text1"/>
                <w:sz w:val="20"/>
                <w:szCs w:val="20"/>
                <w:shd w:val="clear" w:color="auto" w:fill="FFFFFF"/>
              </w:rPr>
              <w:t xml:space="preserve"> one</w:t>
            </w:r>
            <w:r w:rsidR="003A2A58" w:rsidRPr="001362A8">
              <w:rPr>
                <w:rFonts w:ascii="Times New Roman" w:hAnsi="Times New Roman" w:cs="Times New Roman"/>
                <w:color w:val="000000" w:themeColor="text1"/>
                <w:sz w:val="20"/>
                <w:szCs w:val="20"/>
                <w:shd w:val="clear" w:color="auto" w:fill="FFFFFF"/>
              </w:rPr>
              <w:t xml:space="preserve"> part-time</w:t>
            </w:r>
            <w:r w:rsidR="00F8179F" w:rsidRPr="001362A8">
              <w:rPr>
                <w:rFonts w:ascii="Times New Roman" w:hAnsi="Times New Roman" w:cs="Times New Roman"/>
                <w:color w:val="000000" w:themeColor="text1"/>
                <w:sz w:val="20"/>
                <w:szCs w:val="20"/>
                <w:shd w:val="clear" w:color="auto" w:fill="FFFFFF"/>
              </w:rPr>
              <w:t xml:space="preserve"> ICD</w:t>
            </w:r>
            <w:r w:rsidR="008301BD" w:rsidRPr="001362A8">
              <w:rPr>
                <w:rFonts w:ascii="Times New Roman" w:hAnsi="Times New Roman" w:cs="Times New Roman"/>
                <w:color w:val="000000" w:themeColor="text1"/>
                <w:sz w:val="20"/>
                <w:szCs w:val="20"/>
                <w:shd w:val="clear" w:color="auto" w:fill="FFFFFF"/>
              </w:rPr>
              <w:t xml:space="preserve"> </w:t>
            </w:r>
            <w:r w:rsidR="003A2A58" w:rsidRPr="001362A8">
              <w:rPr>
                <w:rFonts w:ascii="Times New Roman" w:hAnsi="Times New Roman" w:cs="Times New Roman"/>
                <w:color w:val="000000" w:themeColor="text1"/>
                <w:sz w:val="20"/>
                <w:szCs w:val="20"/>
                <w:shd w:val="clear" w:color="auto" w:fill="FFFFFF"/>
              </w:rPr>
              <w:t>(</w:t>
            </w:r>
            <w:r w:rsidR="006B5384" w:rsidRPr="001362A8">
              <w:rPr>
                <w:rFonts w:ascii="Times New Roman" w:hAnsi="Times New Roman" w:cs="Times New Roman"/>
                <w:color w:val="000000" w:themeColor="text1"/>
                <w:sz w:val="20"/>
                <w:szCs w:val="20"/>
                <w:shd w:val="clear" w:color="auto" w:fill="FFFFFF"/>
              </w:rPr>
              <w:t>at</w:t>
            </w:r>
            <w:r w:rsidR="00F8179F" w:rsidRPr="001362A8">
              <w:rPr>
                <w:rFonts w:ascii="Times New Roman" w:hAnsi="Times New Roman" w:cs="Times New Roman"/>
                <w:color w:val="000000" w:themeColor="text1"/>
                <w:sz w:val="20"/>
                <w:szCs w:val="20"/>
                <w:shd w:val="clear" w:color="auto" w:fill="FFFFFF"/>
              </w:rPr>
              <w:t xml:space="preserve"> </w:t>
            </w:r>
            <w:r w:rsidR="003A2A58" w:rsidRPr="001362A8">
              <w:rPr>
                <w:rFonts w:ascii="Times New Roman" w:hAnsi="Times New Roman" w:cs="Times New Roman"/>
                <w:color w:val="000000" w:themeColor="text1"/>
                <w:sz w:val="20"/>
                <w:szCs w:val="20"/>
                <w:shd w:val="clear" w:color="auto" w:fill="FFFFFF"/>
              </w:rPr>
              <w:t>&gt;</w:t>
            </w:r>
            <w:r w:rsidR="008301BD" w:rsidRPr="001362A8">
              <w:rPr>
                <w:rFonts w:ascii="Times New Roman" w:hAnsi="Times New Roman" w:cs="Times New Roman"/>
                <w:color w:val="000000" w:themeColor="text1"/>
                <w:sz w:val="20"/>
                <w:szCs w:val="20"/>
                <w:shd w:val="clear" w:color="auto" w:fill="FFFFFF"/>
              </w:rPr>
              <w:t>0.5 FTE</w:t>
            </w:r>
            <w:r w:rsidR="003A2A58" w:rsidRPr="001362A8">
              <w:rPr>
                <w:rFonts w:ascii="Times New Roman" w:hAnsi="Times New Roman" w:cs="Times New Roman"/>
                <w:color w:val="000000" w:themeColor="text1"/>
                <w:sz w:val="20"/>
                <w:szCs w:val="20"/>
                <w:shd w:val="clear" w:color="auto" w:fill="FFFFFF"/>
              </w:rPr>
              <w:t>)</w:t>
            </w:r>
            <w:r w:rsidR="008301BD" w:rsidRPr="001362A8">
              <w:rPr>
                <w:rFonts w:ascii="Times New Roman" w:hAnsi="Times New Roman" w:cs="Times New Roman"/>
                <w:color w:val="000000" w:themeColor="text1"/>
                <w:sz w:val="20"/>
                <w:szCs w:val="20"/>
                <w:shd w:val="clear" w:color="auto" w:fill="FFFFFF"/>
              </w:rPr>
              <w:t xml:space="preserve">, </w:t>
            </w:r>
            <w:r w:rsidR="006B5384" w:rsidRPr="001362A8">
              <w:rPr>
                <w:rFonts w:ascii="Times New Roman" w:hAnsi="Times New Roman" w:cs="Times New Roman"/>
                <w:color w:val="000000" w:themeColor="text1"/>
                <w:sz w:val="20"/>
                <w:szCs w:val="20"/>
                <w:shd w:val="clear" w:color="auto" w:fill="FFFFFF"/>
              </w:rPr>
              <w:t>one</w:t>
            </w:r>
            <w:r w:rsidR="003A2A58" w:rsidRPr="001362A8">
              <w:rPr>
                <w:rFonts w:ascii="Times New Roman" w:hAnsi="Times New Roman" w:cs="Times New Roman"/>
                <w:color w:val="000000" w:themeColor="text1"/>
                <w:sz w:val="20"/>
                <w:szCs w:val="20"/>
                <w:shd w:val="clear" w:color="auto" w:fill="FFFFFF"/>
              </w:rPr>
              <w:t xml:space="preserve"> part-time </w:t>
            </w:r>
            <w:r w:rsidR="00F8179F" w:rsidRPr="001362A8">
              <w:rPr>
                <w:rFonts w:ascii="Times New Roman" w:hAnsi="Times New Roman" w:cs="Times New Roman"/>
                <w:color w:val="000000" w:themeColor="text1"/>
                <w:sz w:val="20"/>
                <w:szCs w:val="20"/>
                <w:shd w:val="clear" w:color="auto" w:fill="FFFFFF"/>
              </w:rPr>
              <w:t xml:space="preserve">IC </w:t>
            </w:r>
            <w:r w:rsidR="006B5384" w:rsidRPr="001362A8">
              <w:rPr>
                <w:rFonts w:ascii="Times New Roman" w:hAnsi="Times New Roman" w:cs="Times New Roman"/>
                <w:color w:val="000000" w:themeColor="text1"/>
                <w:sz w:val="20"/>
                <w:szCs w:val="20"/>
                <w:shd w:val="clear" w:color="auto" w:fill="FFFFFF"/>
              </w:rPr>
              <w:t>pharmacist</w:t>
            </w:r>
            <w:r w:rsidR="00AF22BE" w:rsidRPr="001362A8">
              <w:rPr>
                <w:rFonts w:ascii="Times New Roman" w:hAnsi="Times New Roman" w:cs="Times New Roman"/>
                <w:color w:val="000000" w:themeColor="text1"/>
                <w:sz w:val="20"/>
                <w:szCs w:val="20"/>
                <w:shd w:val="clear" w:color="auto" w:fill="FFFFFF"/>
              </w:rPr>
              <w:t xml:space="preserve"> and one part-time medical technician/microbiologist (at &gt;0.5 FTE</w:t>
            </w:r>
            <w:r w:rsidR="008E2038" w:rsidRPr="001362A8">
              <w:rPr>
                <w:rFonts w:ascii="Times New Roman" w:hAnsi="Times New Roman" w:cs="Times New Roman"/>
                <w:color w:val="000000" w:themeColor="text1"/>
                <w:sz w:val="20"/>
                <w:szCs w:val="20"/>
                <w:shd w:val="clear" w:color="auto" w:fill="FFFFFF"/>
              </w:rPr>
              <w:t>)</w:t>
            </w:r>
            <w:r w:rsidR="00210067" w:rsidRPr="001362A8">
              <w:rPr>
                <w:rFonts w:ascii="Times New Roman" w:eastAsia="PMingLiU" w:hAnsi="Times New Roman" w:cs="Times New Roman"/>
                <w:color w:val="000000" w:themeColor="text1"/>
                <w:sz w:val="20"/>
                <w:szCs w:val="20"/>
              </w:rPr>
              <w:t xml:space="preserve">.  </w:t>
            </w:r>
          </w:p>
          <w:p w14:paraId="523E0FE7" w14:textId="52C6C132" w:rsidR="006B5384" w:rsidRPr="001362A8" w:rsidRDefault="006B5384" w:rsidP="007A566E">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IPC incentive through reimbursement policies</w:t>
            </w:r>
            <w:r w:rsidRPr="001362A8">
              <w:rPr>
                <w:rFonts w:ascii="Times New Roman" w:hAnsi="Times New Roman" w:cs="Times New Roman"/>
                <w:color w:val="000000" w:themeColor="text1"/>
                <w:sz w:val="20"/>
                <w:szCs w:val="20"/>
              </w:rPr>
              <w:t xml:space="preserve"> </w:t>
            </w:r>
            <w:r w:rsidR="000F10E2" w:rsidRPr="001362A8">
              <w:rPr>
                <w:rFonts w:ascii="Times New Roman" w:hAnsi="Times New Roman" w:cs="Times New Roman"/>
                <w:color w:val="000000" w:themeColor="text1"/>
                <w:sz w:val="20"/>
                <w:szCs w:val="20"/>
              </w:rPr>
              <w:t>ha</w:t>
            </w:r>
            <w:r w:rsidR="00AF061C" w:rsidRPr="001362A8">
              <w:rPr>
                <w:rFonts w:ascii="Times New Roman" w:hAnsi="Times New Roman" w:cs="Times New Roman"/>
                <w:color w:val="000000" w:themeColor="text1"/>
                <w:sz w:val="20"/>
                <w:szCs w:val="20"/>
              </w:rPr>
              <w:t>ve</w:t>
            </w:r>
            <w:r w:rsidR="000F10E2" w:rsidRPr="001362A8">
              <w:rPr>
                <w:rFonts w:ascii="Times New Roman" w:hAnsi="Times New Roman" w:cs="Times New Roman"/>
                <w:color w:val="000000" w:themeColor="text1"/>
                <w:sz w:val="20"/>
                <w:szCs w:val="20"/>
              </w:rPr>
              <w:t xml:space="preserve"> been </w:t>
            </w:r>
            <w:r w:rsidRPr="001362A8">
              <w:rPr>
                <w:rFonts w:ascii="Times New Roman" w:eastAsia="PMingLiU" w:hAnsi="Times New Roman" w:cs="Times New Roman"/>
                <w:color w:val="000000" w:themeColor="text1"/>
                <w:sz w:val="20"/>
                <w:szCs w:val="20"/>
              </w:rPr>
              <w:t xml:space="preserve">upgraded </w:t>
            </w:r>
            <w:r w:rsidR="000F10E2" w:rsidRPr="001362A8">
              <w:rPr>
                <w:rFonts w:ascii="Times New Roman" w:eastAsia="PMingLiU" w:hAnsi="Times New Roman" w:cs="Times New Roman"/>
                <w:color w:val="000000" w:themeColor="text1"/>
                <w:sz w:val="20"/>
                <w:szCs w:val="20"/>
              </w:rPr>
              <w:t xml:space="preserve">again </w:t>
            </w:r>
            <w:r w:rsidRPr="001362A8">
              <w:rPr>
                <w:rFonts w:ascii="Times New Roman" w:eastAsia="PMingLiU" w:hAnsi="Times New Roman" w:cs="Times New Roman"/>
                <w:color w:val="000000" w:themeColor="text1"/>
                <w:sz w:val="20"/>
                <w:szCs w:val="20"/>
              </w:rPr>
              <w:t xml:space="preserve">in </w:t>
            </w:r>
            <w:r w:rsidR="00A06877" w:rsidRPr="001362A8">
              <w:rPr>
                <w:rFonts w:ascii="Times New Roman" w:eastAsia="PMingLiU" w:hAnsi="Times New Roman" w:cs="Times New Roman"/>
                <w:color w:val="000000" w:themeColor="text1"/>
                <w:sz w:val="20"/>
                <w:szCs w:val="20"/>
              </w:rPr>
              <w:t>2018. Since 2018, reimbursement policies per admission</w:t>
            </w:r>
            <w:r w:rsidRPr="001362A8">
              <w:rPr>
                <w:rFonts w:ascii="Times New Roman" w:eastAsia="PMingLiU" w:hAnsi="Times New Roman" w:cs="Times New Roman"/>
                <w:color w:val="000000" w:themeColor="text1"/>
                <w:sz w:val="20"/>
                <w:szCs w:val="20"/>
              </w:rPr>
              <w:t xml:space="preserve"> included three parts. It provides</w:t>
            </w:r>
            <w:r w:rsidR="00A06877" w:rsidRPr="001362A8">
              <w:rPr>
                <w:rFonts w:ascii="Times New Roman" w:eastAsia="PMingLiU" w:hAnsi="Times New Roman" w:cs="Times New Roman"/>
                <w:color w:val="000000" w:themeColor="text1"/>
                <w:sz w:val="20"/>
                <w:szCs w:val="20"/>
              </w:rPr>
              <w:t xml:space="preserve"> 39</w:t>
            </w:r>
            <w:r w:rsidRPr="001362A8">
              <w:rPr>
                <w:rFonts w:ascii="Times New Roman" w:eastAsia="PMingLiU" w:hAnsi="Times New Roman" w:cs="Times New Roman"/>
                <w:color w:val="000000" w:themeColor="text1"/>
                <w:sz w:val="20"/>
                <w:szCs w:val="20"/>
              </w:rPr>
              <w:t xml:space="preserve">00 JPY </w:t>
            </w:r>
            <w:r w:rsidR="00A06877" w:rsidRPr="001362A8">
              <w:rPr>
                <w:rFonts w:ascii="Times New Roman" w:eastAsia="PMingLiU" w:hAnsi="Times New Roman" w:cs="Times New Roman"/>
                <w:color w:val="000000" w:themeColor="text1"/>
                <w:sz w:val="20"/>
                <w:szCs w:val="20"/>
              </w:rPr>
              <w:t xml:space="preserve">(about 39 USD) per admission for IPC incentive </w:t>
            </w:r>
            <w:r w:rsidR="00E21DFA" w:rsidRPr="001362A8">
              <w:rPr>
                <w:rFonts w:ascii="Times New Roman" w:eastAsia="PMingLiU" w:hAnsi="Times New Roman" w:cs="Times New Roman"/>
                <w:color w:val="000000" w:themeColor="text1"/>
                <w:sz w:val="20"/>
                <w:szCs w:val="20"/>
              </w:rPr>
              <w:t>at</w:t>
            </w:r>
            <w:r w:rsidR="00A06877" w:rsidRPr="001362A8">
              <w:rPr>
                <w:rFonts w:ascii="Times New Roman" w:eastAsia="PMingLiU" w:hAnsi="Times New Roman" w:cs="Times New Roman"/>
                <w:color w:val="000000" w:themeColor="text1"/>
                <w:sz w:val="20"/>
                <w:szCs w:val="20"/>
              </w:rPr>
              <w:t xml:space="preserve"> a major hospital</w:t>
            </w:r>
            <w:r w:rsidR="00E21DFA" w:rsidRPr="001362A8">
              <w:rPr>
                <w:rFonts w:ascii="Times New Roman" w:eastAsia="PMingLiU" w:hAnsi="Times New Roman" w:cs="Times New Roman"/>
                <w:color w:val="000000" w:themeColor="text1"/>
                <w:sz w:val="20"/>
                <w:szCs w:val="20"/>
              </w:rPr>
              <w:t>,</w:t>
            </w:r>
            <w:r w:rsidR="00A06877" w:rsidRPr="001362A8">
              <w:rPr>
                <w:rFonts w:ascii="Times New Roman" w:eastAsia="PMingLiU"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t xml:space="preserve">or 1000 JPY </w:t>
            </w:r>
            <w:r w:rsidR="00A06877" w:rsidRPr="001362A8">
              <w:rPr>
                <w:rFonts w:ascii="Times New Roman" w:eastAsia="PMingLiU" w:hAnsi="Times New Roman" w:cs="Times New Roman"/>
                <w:color w:val="000000" w:themeColor="text1"/>
                <w:sz w:val="20"/>
                <w:szCs w:val="20"/>
              </w:rPr>
              <w:t>f</w:t>
            </w:r>
            <w:r w:rsidRPr="001362A8">
              <w:rPr>
                <w:rFonts w:ascii="Times New Roman" w:eastAsia="PMingLiU" w:hAnsi="Times New Roman" w:cs="Times New Roman"/>
                <w:color w:val="000000" w:themeColor="text1"/>
                <w:sz w:val="20"/>
                <w:szCs w:val="20"/>
              </w:rPr>
              <w:t xml:space="preserve">or </w:t>
            </w:r>
            <w:r w:rsidR="00A06877" w:rsidRPr="001362A8">
              <w:rPr>
                <w:rFonts w:ascii="Times New Roman" w:eastAsia="PMingLiU" w:hAnsi="Times New Roman" w:cs="Times New Roman"/>
                <w:color w:val="000000" w:themeColor="text1"/>
                <w:sz w:val="20"/>
                <w:szCs w:val="20"/>
              </w:rPr>
              <w:t xml:space="preserve">a </w:t>
            </w:r>
            <w:r w:rsidRPr="001362A8">
              <w:rPr>
                <w:rFonts w:ascii="Times New Roman" w:eastAsia="PMingLiU" w:hAnsi="Times New Roman" w:cs="Times New Roman"/>
                <w:color w:val="000000" w:themeColor="text1"/>
                <w:sz w:val="20"/>
                <w:szCs w:val="20"/>
              </w:rPr>
              <w:t>small hospital. Additional 1000 JPY was reimbursed if this hospital</w:t>
            </w:r>
            <w:r w:rsidR="00A06877" w:rsidRPr="001362A8">
              <w:rPr>
                <w:rFonts w:ascii="Times New Roman" w:eastAsia="PMingLiU" w:hAnsi="Times New Roman" w:cs="Times New Roman"/>
                <w:color w:val="000000" w:themeColor="text1"/>
                <w:sz w:val="20"/>
                <w:szCs w:val="20"/>
              </w:rPr>
              <w:t xml:space="preserve"> participates</w:t>
            </w:r>
            <w:r w:rsidRPr="001362A8">
              <w:rPr>
                <w:rFonts w:ascii="Times New Roman" w:eastAsia="PMingLiU" w:hAnsi="Times New Roman" w:cs="Times New Roman"/>
                <w:color w:val="000000" w:themeColor="text1"/>
                <w:sz w:val="20"/>
                <w:szCs w:val="20"/>
              </w:rPr>
              <w:t xml:space="preserve"> </w:t>
            </w:r>
            <w:r w:rsidR="00547EC0" w:rsidRPr="001362A8">
              <w:rPr>
                <w:rFonts w:ascii="Times New Roman" w:eastAsia="PMingLiU" w:hAnsi="Times New Roman" w:cs="Times New Roman"/>
                <w:color w:val="000000" w:themeColor="text1"/>
                <w:sz w:val="20"/>
                <w:szCs w:val="20"/>
              </w:rPr>
              <w:t xml:space="preserve">in </w:t>
            </w:r>
            <w:r w:rsidR="00A06877" w:rsidRPr="001362A8">
              <w:rPr>
                <w:rFonts w:ascii="Times New Roman" w:eastAsia="PMingLiU" w:hAnsi="Times New Roman" w:cs="Times New Roman"/>
                <w:color w:val="000000" w:themeColor="text1"/>
                <w:sz w:val="20"/>
                <w:szCs w:val="20"/>
              </w:rPr>
              <w:t>a</w:t>
            </w:r>
            <w:r w:rsidRPr="001362A8">
              <w:rPr>
                <w:color w:val="000000" w:themeColor="text1"/>
                <w:sz w:val="20"/>
                <w:szCs w:val="20"/>
              </w:rPr>
              <w:t xml:space="preserve"> </w:t>
            </w:r>
            <w:r w:rsidRPr="001362A8">
              <w:rPr>
                <w:rFonts w:ascii="Times New Roman" w:eastAsia="PMingLiU" w:hAnsi="Times New Roman" w:cs="Times New Roman"/>
                <w:color w:val="000000" w:themeColor="text1"/>
                <w:sz w:val="20"/>
                <w:szCs w:val="20"/>
              </w:rPr>
              <w:t>local IPC network incentive</w:t>
            </w:r>
            <w:r w:rsidR="00A06877" w:rsidRPr="001362A8">
              <w:rPr>
                <w:rFonts w:ascii="Times New Roman" w:eastAsia="PMingLiU" w:hAnsi="Times New Roman" w:cs="Times New Roman"/>
                <w:color w:val="000000" w:themeColor="text1"/>
                <w:sz w:val="20"/>
                <w:szCs w:val="20"/>
              </w:rPr>
              <w:t xml:space="preserve">. Another 1000 JPY was reimbursed </w:t>
            </w:r>
            <w:r w:rsidR="00E21DFA" w:rsidRPr="001362A8">
              <w:rPr>
                <w:rFonts w:ascii="Times New Roman" w:eastAsia="PMingLiU" w:hAnsi="Times New Roman" w:cs="Times New Roman"/>
                <w:color w:val="000000" w:themeColor="text1"/>
                <w:sz w:val="20"/>
                <w:szCs w:val="20"/>
              </w:rPr>
              <w:t xml:space="preserve">for </w:t>
            </w:r>
            <w:r w:rsidR="000F10E2" w:rsidRPr="001362A8">
              <w:rPr>
                <w:rFonts w:ascii="Times New Roman" w:eastAsia="PMingLiU" w:hAnsi="Times New Roman" w:cs="Times New Roman"/>
                <w:color w:val="000000" w:themeColor="text1"/>
                <w:sz w:val="20"/>
                <w:szCs w:val="20"/>
              </w:rPr>
              <w:t>AS</w:t>
            </w:r>
            <w:r w:rsidR="00E21DFA" w:rsidRPr="001362A8">
              <w:rPr>
                <w:rFonts w:ascii="Times New Roman" w:eastAsia="PMingLiU" w:hAnsi="Times New Roman" w:cs="Times New Roman"/>
                <w:color w:val="000000" w:themeColor="text1"/>
                <w:sz w:val="20"/>
                <w:szCs w:val="20"/>
              </w:rPr>
              <w:t xml:space="preserve"> incentive</w:t>
            </w:r>
            <w:r w:rsidR="00A06877" w:rsidRPr="001362A8">
              <w:rPr>
                <w:rFonts w:ascii="Times New Roman" w:eastAsia="PMingLiU" w:hAnsi="Times New Roman" w:cs="Times New Roman"/>
                <w:color w:val="000000" w:themeColor="text1"/>
                <w:sz w:val="20"/>
                <w:szCs w:val="20"/>
              </w:rPr>
              <w:t xml:space="preserve">. </w:t>
            </w:r>
            <w:r w:rsidR="000F10E2" w:rsidRPr="001362A8">
              <w:rPr>
                <w:rFonts w:ascii="Times New Roman" w:eastAsia="PMingLiU" w:hAnsi="Times New Roman" w:cs="Times New Roman"/>
                <w:color w:val="000000" w:themeColor="text1"/>
                <w:sz w:val="20"/>
                <w:szCs w:val="20"/>
              </w:rPr>
              <w:t xml:space="preserve">For </w:t>
            </w:r>
            <w:r w:rsidR="006570B8" w:rsidRPr="001362A8">
              <w:rPr>
                <w:rFonts w:ascii="Times New Roman" w:eastAsia="PMingLiU" w:hAnsi="Times New Roman" w:cs="Times New Roman"/>
                <w:color w:val="000000" w:themeColor="text1"/>
                <w:sz w:val="20"/>
                <w:szCs w:val="20"/>
              </w:rPr>
              <w:t>hospitals</w:t>
            </w:r>
            <w:r w:rsidR="000F10E2" w:rsidRPr="001362A8">
              <w:rPr>
                <w:rFonts w:ascii="Times New Roman" w:eastAsia="PMingLiU" w:hAnsi="Times New Roman" w:cs="Times New Roman"/>
                <w:color w:val="000000" w:themeColor="text1"/>
                <w:sz w:val="20"/>
                <w:szCs w:val="20"/>
              </w:rPr>
              <w:t xml:space="preserve"> with AS incentive, it </w:t>
            </w:r>
            <w:r w:rsidR="000F10E2" w:rsidRPr="001362A8">
              <w:rPr>
                <w:rFonts w:ascii="Times New Roman" w:hAnsi="Times New Roman" w:cs="Times New Roman"/>
                <w:color w:val="000000" w:themeColor="text1"/>
                <w:sz w:val="20"/>
                <w:szCs w:val="20"/>
                <w:shd w:val="clear" w:color="auto" w:fill="FFFFFF"/>
              </w:rPr>
              <w:t>mandate</w:t>
            </w:r>
            <w:r w:rsidR="00C66082" w:rsidRPr="001362A8">
              <w:rPr>
                <w:rFonts w:ascii="Times New Roman" w:hAnsi="Times New Roman" w:cs="Times New Roman"/>
                <w:color w:val="000000" w:themeColor="text1"/>
                <w:sz w:val="20"/>
                <w:szCs w:val="20"/>
                <w:shd w:val="clear" w:color="auto" w:fill="FFFFFF"/>
              </w:rPr>
              <w:t>s</w:t>
            </w:r>
            <w:r w:rsidR="000F10E2" w:rsidRPr="001362A8">
              <w:rPr>
                <w:rFonts w:ascii="Times New Roman" w:hAnsi="Times New Roman" w:cs="Times New Roman"/>
                <w:color w:val="000000" w:themeColor="text1"/>
                <w:sz w:val="20"/>
                <w:szCs w:val="20"/>
                <w:shd w:val="clear" w:color="auto" w:fill="FFFFFF"/>
              </w:rPr>
              <w:t xml:space="preserve"> </w:t>
            </w:r>
            <w:r w:rsidR="006570B8" w:rsidRPr="001362A8">
              <w:rPr>
                <w:rFonts w:ascii="Times New Roman" w:hAnsi="Times New Roman" w:cs="Times New Roman"/>
                <w:color w:val="000000" w:themeColor="text1"/>
                <w:sz w:val="20"/>
                <w:szCs w:val="20"/>
                <w:shd w:val="clear" w:color="auto" w:fill="FFFFFF"/>
              </w:rPr>
              <w:t xml:space="preserve">the following manpower in addition to 2012 requirements: </w:t>
            </w:r>
            <w:r w:rsidR="000F10E2" w:rsidRPr="001362A8">
              <w:rPr>
                <w:rFonts w:ascii="Times New Roman" w:hAnsi="Times New Roman" w:cs="Times New Roman"/>
                <w:color w:val="000000" w:themeColor="text1"/>
                <w:sz w:val="20"/>
                <w:szCs w:val="20"/>
                <w:shd w:val="clear" w:color="auto" w:fill="FFFFFF"/>
              </w:rPr>
              <w:t xml:space="preserve">one part-time </w:t>
            </w:r>
            <w:r w:rsidR="006570B8" w:rsidRPr="001362A8">
              <w:rPr>
                <w:rFonts w:ascii="Times New Roman" w:hAnsi="Times New Roman" w:cs="Times New Roman"/>
                <w:color w:val="000000" w:themeColor="text1"/>
                <w:sz w:val="20"/>
                <w:szCs w:val="20"/>
                <w:shd w:val="clear" w:color="auto" w:fill="FFFFFF"/>
              </w:rPr>
              <w:t>doctor mainly for AS</w:t>
            </w:r>
            <w:r w:rsidR="000F10E2" w:rsidRPr="001362A8">
              <w:rPr>
                <w:rFonts w:ascii="Times New Roman" w:hAnsi="Times New Roman" w:cs="Times New Roman"/>
                <w:color w:val="000000" w:themeColor="text1"/>
                <w:sz w:val="20"/>
                <w:szCs w:val="20"/>
                <w:shd w:val="clear" w:color="auto" w:fill="FFFFFF"/>
              </w:rPr>
              <w:t xml:space="preserve"> (at &gt;0.5 FTE), one</w:t>
            </w:r>
            <w:r w:rsidR="006570B8" w:rsidRPr="001362A8">
              <w:rPr>
                <w:rFonts w:ascii="Times New Roman" w:hAnsi="Times New Roman" w:cs="Times New Roman"/>
                <w:color w:val="000000" w:themeColor="text1"/>
                <w:sz w:val="20"/>
                <w:szCs w:val="20"/>
                <w:shd w:val="clear" w:color="auto" w:fill="FFFFFF"/>
              </w:rPr>
              <w:t xml:space="preserve"> full</w:t>
            </w:r>
            <w:r w:rsidR="000F10E2" w:rsidRPr="001362A8">
              <w:rPr>
                <w:rFonts w:ascii="Times New Roman" w:hAnsi="Times New Roman" w:cs="Times New Roman"/>
                <w:color w:val="000000" w:themeColor="text1"/>
                <w:sz w:val="20"/>
                <w:szCs w:val="20"/>
                <w:shd w:val="clear" w:color="auto" w:fill="FFFFFF"/>
              </w:rPr>
              <w:t xml:space="preserve">-time </w:t>
            </w:r>
            <w:r w:rsidR="006570B8" w:rsidRPr="001362A8">
              <w:rPr>
                <w:rFonts w:ascii="Times New Roman" w:hAnsi="Times New Roman" w:cs="Times New Roman"/>
                <w:color w:val="000000" w:themeColor="text1"/>
                <w:sz w:val="20"/>
                <w:szCs w:val="20"/>
                <w:shd w:val="clear" w:color="auto" w:fill="FFFFFF"/>
              </w:rPr>
              <w:t xml:space="preserve">ICP either a certificated ICN or </w:t>
            </w:r>
            <w:r w:rsidR="000F10E2" w:rsidRPr="001362A8">
              <w:rPr>
                <w:rFonts w:ascii="Times New Roman" w:hAnsi="Times New Roman" w:cs="Times New Roman"/>
                <w:color w:val="000000" w:themeColor="text1"/>
                <w:sz w:val="20"/>
                <w:szCs w:val="20"/>
                <w:shd w:val="clear" w:color="auto" w:fill="FFFFFF"/>
              </w:rPr>
              <w:t xml:space="preserve">IC pharmacist </w:t>
            </w:r>
            <w:r w:rsidR="006570B8" w:rsidRPr="001362A8">
              <w:rPr>
                <w:rFonts w:ascii="Times New Roman" w:hAnsi="Times New Roman" w:cs="Times New Roman"/>
                <w:color w:val="000000" w:themeColor="text1"/>
                <w:sz w:val="20"/>
                <w:szCs w:val="20"/>
                <w:shd w:val="clear" w:color="auto" w:fill="FFFFFF"/>
              </w:rPr>
              <w:t xml:space="preserve">or </w:t>
            </w:r>
            <w:r w:rsidR="000F10E2" w:rsidRPr="001362A8">
              <w:rPr>
                <w:rFonts w:ascii="Times New Roman" w:hAnsi="Times New Roman" w:cs="Times New Roman"/>
                <w:color w:val="000000" w:themeColor="text1"/>
                <w:sz w:val="20"/>
                <w:szCs w:val="20"/>
                <w:shd w:val="clear" w:color="auto" w:fill="FFFFFF"/>
              </w:rPr>
              <w:t>medical technician</w:t>
            </w:r>
            <w:r w:rsidR="000F10E2" w:rsidRPr="001362A8">
              <w:rPr>
                <w:rFonts w:ascii="Times New Roman" w:eastAsia="PMingLiU" w:hAnsi="Times New Roman" w:cs="Times New Roman"/>
                <w:color w:val="000000" w:themeColor="text1"/>
                <w:sz w:val="20"/>
                <w:szCs w:val="20"/>
              </w:rPr>
              <w:t xml:space="preserve">.  </w:t>
            </w:r>
          </w:p>
        </w:tc>
      </w:tr>
      <w:tr w:rsidR="001362A8" w:rsidRPr="001362A8" w14:paraId="75935396" w14:textId="77777777" w:rsidTr="001A1D4B">
        <w:trPr>
          <w:trHeight w:val="665"/>
        </w:trPr>
        <w:tc>
          <w:tcPr>
            <w:tcW w:w="1101" w:type="dxa"/>
            <w:vMerge/>
            <w:tcBorders>
              <w:bottom w:val="nil"/>
            </w:tcBorders>
          </w:tcPr>
          <w:p w14:paraId="1F993B37"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54816CE5"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Medical Service Act</w:t>
            </w:r>
          </w:p>
        </w:tc>
        <w:tc>
          <w:tcPr>
            <w:tcW w:w="6696" w:type="dxa"/>
            <w:tcBorders>
              <w:top w:val="single" w:sz="4" w:space="0" w:color="auto"/>
              <w:bottom w:val="nil"/>
            </w:tcBorders>
          </w:tcPr>
          <w:p w14:paraId="348C9BFF" w14:textId="76EEAEC7" w:rsidR="008D2769" w:rsidRPr="001362A8" w:rsidRDefault="000031C0"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hAnsi="Times New Roman" w:cs="Times New Roman"/>
                <w:color w:val="000000" w:themeColor="text1"/>
                <w:sz w:val="20"/>
                <w:szCs w:val="20"/>
              </w:rPr>
              <w:t xml:space="preserve">Mandatory assignment of dedicated </w:t>
            </w:r>
            <w:r w:rsidR="003309A1" w:rsidRPr="001362A8">
              <w:rPr>
                <w:rFonts w:ascii="Times New Roman" w:hAnsi="Times New Roman" w:cs="Times New Roman"/>
                <w:color w:val="000000" w:themeColor="text1"/>
                <w:sz w:val="20"/>
                <w:szCs w:val="20"/>
              </w:rPr>
              <w:t>ICP</w:t>
            </w:r>
            <w:r w:rsidRPr="001362A8">
              <w:rPr>
                <w:rFonts w:ascii="Times New Roman" w:hAnsi="Times New Roman" w:cs="Times New Roman"/>
                <w:color w:val="000000" w:themeColor="text1"/>
                <w:sz w:val="20"/>
                <w:szCs w:val="20"/>
              </w:rPr>
              <w:t xml:space="preserve"> at </w:t>
            </w:r>
            <w:r w:rsidR="00E32DE4" w:rsidRPr="001362A8">
              <w:rPr>
                <w:rFonts w:ascii="Times New Roman" w:hAnsi="Times New Roman" w:cs="Times New Roman"/>
                <w:color w:val="000000" w:themeColor="text1"/>
                <w:sz w:val="20"/>
                <w:szCs w:val="20"/>
              </w:rPr>
              <w:t>a</w:t>
            </w:r>
            <w:r w:rsidRPr="001362A8">
              <w:rPr>
                <w:rFonts w:ascii="Times New Roman" w:hAnsi="Times New Roman" w:cs="Times New Roman"/>
                <w:color w:val="000000" w:themeColor="text1"/>
                <w:sz w:val="20"/>
                <w:szCs w:val="20"/>
              </w:rPr>
              <w:t xml:space="preserve">dvanced </w:t>
            </w:r>
            <w:r w:rsidR="00E32DE4" w:rsidRPr="001362A8">
              <w:rPr>
                <w:rFonts w:ascii="Times New Roman" w:hAnsi="Times New Roman" w:cs="Times New Roman"/>
                <w:color w:val="000000" w:themeColor="text1"/>
                <w:sz w:val="20"/>
                <w:szCs w:val="20"/>
              </w:rPr>
              <w:t>t</w:t>
            </w:r>
            <w:r w:rsidRPr="001362A8">
              <w:rPr>
                <w:rFonts w:ascii="Times New Roman" w:hAnsi="Times New Roman" w:cs="Times New Roman"/>
                <w:color w:val="000000" w:themeColor="text1"/>
                <w:sz w:val="20"/>
                <w:szCs w:val="20"/>
              </w:rPr>
              <w:t xml:space="preserve">reatment </w:t>
            </w:r>
            <w:r w:rsidR="00E32DE4" w:rsidRPr="001362A8">
              <w:rPr>
                <w:rFonts w:ascii="Times New Roman" w:hAnsi="Times New Roman" w:cs="Times New Roman"/>
                <w:color w:val="000000" w:themeColor="text1"/>
                <w:sz w:val="20"/>
                <w:szCs w:val="20"/>
              </w:rPr>
              <w:t>h</w:t>
            </w:r>
            <w:r w:rsidRPr="001362A8">
              <w:rPr>
                <w:rFonts w:ascii="Times New Roman" w:hAnsi="Times New Roman" w:cs="Times New Roman"/>
                <w:color w:val="000000" w:themeColor="text1"/>
                <w:sz w:val="20"/>
                <w:szCs w:val="20"/>
              </w:rPr>
              <w:t>ospitals</w:t>
            </w:r>
            <w:r w:rsidRPr="001362A8">
              <w:rPr>
                <w:rFonts w:ascii="Times New Roman" w:eastAsia="PMingLiU" w:hAnsi="Times New Roman" w:cs="Times New Roman"/>
                <w:color w:val="000000" w:themeColor="text1"/>
                <w:sz w:val="20"/>
                <w:szCs w:val="20"/>
              </w:rPr>
              <w:t xml:space="preserve"> in 2004 [18</w:t>
            </w:r>
            <w:r w:rsidR="008D2769" w:rsidRPr="001362A8">
              <w:rPr>
                <w:rFonts w:ascii="Times New Roman" w:eastAsia="PMingLiU" w:hAnsi="Times New Roman" w:cs="Times New Roman"/>
                <w:color w:val="000000" w:themeColor="text1"/>
                <w:sz w:val="20"/>
                <w:szCs w:val="20"/>
              </w:rPr>
              <w:t>]</w:t>
            </w:r>
            <w:r w:rsidRPr="001362A8">
              <w:rPr>
                <w:rFonts w:ascii="Times New Roman" w:eastAsia="PMingLiU" w:hAnsi="Times New Roman" w:cs="Times New Roman"/>
                <w:color w:val="000000" w:themeColor="text1"/>
                <w:sz w:val="20"/>
                <w:szCs w:val="20"/>
              </w:rPr>
              <w:t xml:space="preserve">. </w:t>
            </w:r>
          </w:p>
          <w:p w14:paraId="043B64B6" w14:textId="657453E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 xml:space="preserve">In 2007, Japanese medical law obligated all health care institutions to implement operational safety measures against HAIs. Core components include hospital </w:t>
            </w:r>
            <w:r w:rsidR="004A2E68" w:rsidRPr="001362A8">
              <w:rPr>
                <w:rFonts w:ascii="Times New Roman" w:eastAsia="PMingLiU" w:hAnsi="Times New Roman" w:cs="Times New Roman"/>
                <w:color w:val="000000" w:themeColor="text1"/>
                <w:sz w:val="20"/>
                <w:szCs w:val="20"/>
              </w:rPr>
              <w:t>IPC</w:t>
            </w:r>
            <w:r w:rsidRPr="001362A8">
              <w:rPr>
                <w:rFonts w:ascii="Times New Roman" w:eastAsia="PMingLiU" w:hAnsi="Times New Roman" w:cs="Times New Roman"/>
                <w:color w:val="000000" w:themeColor="text1"/>
                <w:sz w:val="20"/>
                <w:szCs w:val="20"/>
              </w:rPr>
              <w:t xml:space="preserve"> guidelines, implementing employee </w:t>
            </w:r>
            <w:r w:rsidR="004A2E68" w:rsidRPr="001362A8">
              <w:rPr>
                <w:rFonts w:ascii="Times New Roman" w:eastAsia="PMingLiU" w:hAnsi="Times New Roman" w:cs="Times New Roman"/>
                <w:color w:val="000000" w:themeColor="text1"/>
                <w:sz w:val="20"/>
                <w:szCs w:val="20"/>
              </w:rPr>
              <w:t xml:space="preserve">IPC </w:t>
            </w:r>
            <w:r w:rsidRPr="001362A8">
              <w:rPr>
                <w:rFonts w:ascii="Times New Roman" w:eastAsia="PMingLiU" w:hAnsi="Times New Roman" w:cs="Times New Roman"/>
                <w:color w:val="000000" w:themeColor="text1"/>
                <w:sz w:val="20"/>
                <w:szCs w:val="20"/>
              </w:rPr>
              <w:t xml:space="preserve">training, and disease reporting </w:t>
            </w:r>
            <w:r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&lt;EndNote&gt;&lt;Cite&gt;&lt;Author&gt;Morikane&lt;/Author&gt;&lt;Year&gt;2012&lt;/Year&gt;&lt;RecNum&gt;41&lt;/RecNum&gt;&lt;DisplayText&gt;[19]&lt;/DisplayText&gt;&lt;record&gt;&lt;rec-number&gt;41&lt;/rec-number&gt;&lt;foreign-keys&gt;&lt;key app="EN" db-id="zewpdw50fw9pfdepetsv0fej2pvv2fspdsaf" timestamp="1504420676"&gt;41&lt;/key&gt;&lt;/foreign-keys&gt;&lt;ref-type name="Journal Article"&gt;17&lt;/ref-type&gt;&lt;contributors&gt;&lt;authors&gt;&lt;author&gt;Morikane, Keita&lt;/author&gt;&lt;/authors&gt;&lt;/contributors&gt;&lt;titles&gt;&lt;title&gt;Infection Control in Healthcare Settings in Japan&lt;/title&gt;&lt;secondary-title&gt;Journal of Epidemiology&lt;/secondary-title&gt;&lt;/titles&gt;&lt;periodical&gt;&lt;full-title&gt;Journal of Epidemiology&lt;/full-title&gt;&lt;/periodical&gt;&lt;pages&gt;86-90&lt;/pages&gt;&lt;volume&gt;22&lt;/volume&gt;&lt;number&gt;2&lt;/number&gt;&lt;dates&gt;&lt;year&gt;2012&lt;/year&gt;&lt;pub-dates&gt;&lt;date&gt;03/05&amp;#xD;08/15/received&amp;#xD;12/14/accepted&lt;/date&gt;&lt;/pub-dates&gt;&lt;/dates&gt;&lt;publisher&gt;Japan Epidemiological Association&lt;/publisher&gt;&lt;isbn&gt;0917-5040&amp;#xD;1349-9092&lt;/isbn&gt;&lt;accession-num&gt;PMC3798586&lt;/accession-num&gt;&lt;urls&gt;&lt;related-urls&gt;&lt;url&gt;http://www.ncbi.nlm.nih.gov/pmc/articles/PMC3798586/&lt;/url&gt;&lt;/related-urls&gt;&lt;/urls&gt;&lt;electronic-resource-num&gt;10.2188/jea.JE20110085&lt;/electronic-resource-num&gt;&lt;remote-database-name&gt;PMC&lt;/remote-database-name&gt;&lt;/record&gt;&lt;/Cite&gt;&lt;/EndNote&gt;</w:instrText>
            </w:r>
            <w:r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[1</w:t>
            </w:r>
            <w:r w:rsidR="000031C0" w:rsidRPr="001362A8">
              <w:rPr>
                <w:rFonts w:ascii="Times New Roman" w:eastAsia="PMingLiU" w:hAnsi="Times New Roman" w:cs="Times New Roman"/>
                <w:noProof/>
                <w:color w:val="000000" w:themeColor="text1"/>
                <w:sz w:val="20"/>
                <w:szCs w:val="20"/>
              </w:rPr>
              <w:t>8</w:t>
            </w:r>
            <w:r w:rsidR="000C01F8" w:rsidRPr="001362A8">
              <w:rPr>
                <w:rFonts w:ascii="Times New Roman" w:eastAsia="PMingLiU" w:hAnsi="Times New Roman" w:cs="Times New Roman"/>
                <w:noProof/>
                <w:color w:val="000000" w:themeColor="text1"/>
                <w:sz w:val="20"/>
                <w:szCs w:val="20"/>
              </w:rPr>
              <w:t>]</w:t>
            </w:r>
            <w:r w:rsidRPr="001362A8">
              <w:rPr>
                <w:rFonts w:ascii="Times New Roman" w:eastAsia="PMingLiU" w:hAnsi="Times New Roman" w:cs="Times New Roman"/>
                <w:color w:val="000000" w:themeColor="text1"/>
                <w:sz w:val="20"/>
                <w:szCs w:val="20"/>
              </w:rPr>
              <w:fldChar w:fldCharType="end"/>
            </w:r>
            <w:r w:rsidRPr="001362A8">
              <w:rPr>
                <w:rFonts w:ascii="Times New Roman" w:eastAsia="PMingLiU" w:hAnsi="Times New Roman" w:cs="Times New Roman"/>
                <w:color w:val="000000" w:themeColor="text1"/>
                <w:sz w:val="20"/>
                <w:szCs w:val="20"/>
              </w:rPr>
              <w:t xml:space="preserve">. In 2011, the Ministry of Health, Labor and Welfare issued an official ordinance containing guidance on establishing </w:t>
            </w:r>
            <w:r w:rsidR="004A2E68" w:rsidRPr="001362A8">
              <w:rPr>
                <w:rFonts w:ascii="Times New Roman" w:eastAsia="PMingLiU" w:hAnsi="Times New Roman" w:cs="Times New Roman"/>
                <w:color w:val="000000" w:themeColor="text1"/>
                <w:sz w:val="20"/>
                <w:szCs w:val="20"/>
              </w:rPr>
              <w:t>IPC</w:t>
            </w:r>
            <w:r w:rsidRPr="001362A8">
              <w:rPr>
                <w:rFonts w:ascii="Times New Roman" w:eastAsia="PMingLiU" w:hAnsi="Times New Roman" w:cs="Times New Roman"/>
                <w:color w:val="000000" w:themeColor="text1"/>
                <w:sz w:val="20"/>
                <w:szCs w:val="20"/>
              </w:rPr>
              <w:t xml:space="preserve"> teams within health care facilities, criteria for disease reporting, and collaboration between institutions for complex cases. The ordinance’s 2012</w:t>
            </w:r>
            <w:r w:rsidR="00BF0B29" w:rsidRPr="001362A8">
              <w:rPr>
                <w:rFonts w:ascii="Times New Roman" w:eastAsia="PMingLiU" w:hAnsi="Times New Roman" w:cs="Times New Roman"/>
                <w:color w:val="000000" w:themeColor="text1"/>
                <w:sz w:val="20"/>
                <w:szCs w:val="20"/>
              </w:rPr>
              <w:t xml:space="preserve"> </w:t>
            </w:r>
            <w:r w:rsidRPr="001362A8">
              <w:rPr>
                <w:rFonts w:ascii="Times New Roman" w:eastAsia="PMingLiU" w:hAnsi="Times New Roman" w:cs="Times New Roman"/>
                <w:color w:val="000000" w:themeColor="text1"/>
                <w:sz w:val="20"/>
                <w:szCs w:val="20"/>
              </w:rPr>
              <w:t xml:space="preserve">medical fee revision raised the subject of hospital fees for </w:t>
            </w:r>
            <w:r w:rsidR="004A2E68" w:rsidRPr="001362A8">
              <w:rPr>
                <w:rFonts w:ascii="Times New Roman" w:eastAsia="PMingLiU" w:hAnsi="Times New Roman" w:cs="Times New Roman"/>
                <w:color w:val="000000" w:themeColor="text1"/>
                <w:sz w:val="20"/>
                <w:szCs w:val="20"/>
              </w:rPr>
              <w:t>IPC</w:t>
            </w:r>
            <w:r w:rsidRPr="001362A8">
              <w:rPr>
                <w:rFonts w:ascii="Times New Roman" w:eastAsia="PMingLiU" w:hAnsi="Times New Roman" w:cs="Times New Roman"/>
                <w:color w:val="000000" w:themeColor="text1"/>
                <w:sz w:val="20"/>
                <w:szCs w:val="20"/>
              </w:rPr>
              <w:t xml:space="preserve"> efforts. </w:t>
            </w:r>
          </w:p>
        </w:tc>
      </w:tr>
      <w:tr w:rsidR="001362A8" w:rsidRPr="001362A8" w14:paraId="0F9EF119" w14:textId="77777777" w:rsidTr="001A1D4B">
        <w:trPr>
          <w:trHeight w:val="665"/>
        </w:trPr>
        <w:tc>
          <w:tcPr>
            <w:tcW w:w="1101" w:type="dxa"/>
            <w:tcBorders>
              <w:bottom w:val="nil"/>
            </w:tcBorders>
          </w:tcPr>
          <w:p w14:paraId="2FFA878C" w14:textId="77777777" w:rsidR="00210067" w:rsidRPr="001362A8" w:rsidRDefault="00210067" w:rsidP="001A1D4B">
            <w:pPr>
              <w:spacing w:beforeLines="50" w:before="120" w:afterLines="50" w:after="120" w:line="360" w:lineRule="auto"/>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392EC89F" w14:textId="77777777" w:rsidR="00210067" w:rsidRPr="001362A8" w:rsidRDefault="00210067"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Infection prevention</w:t>
            </w:r>
            <w:r w:rsidR="00244AF8" w:rsidRPr="001362A8">
              <w:rPr>
                <w:rFonts w:ascii="Times New Roman" w:eastAsia="PMingLiU" w:hAnsi="Times New Roman" w:cs="Times New Roman"/>
                <w:color w:val="000000" w:themeColor="text1"/>
                <w:sz w:val="20"/>
                <w:szCs w:val="20"/>
              </w:rPr>
              <w:t xml:space="preserve"> and control</w:t>
            </w:r>
            <w:r w:rsidRPr="001362A8">
              <w:rPr>
                <w:rFonts w:ascii="Times New Roman" w:eastAsia="PMingLiU" w:hAnsi="Times New Roman" w:cs="Times New Roman"/>
                <w:color w:val="000000" w:themeColor="text1"/>
                <w:sz w:val="20"/>
                <w:szCs w:val="20"/>
              </w:rPr>
              <w:t xml:space="preserve"> practices implementation</w:t>
            </w:r>
          </w:p>
        </w:tc>
        <w:tc>
          <w:tcPr>
            <w:tcW w:w="6696" w:type="dxa"/>
            <w:tcBorders>
              <w:top w:val="single" w:sz="4" w:space="0" w:color="auto"/>
              <w:bottom w:val="nil"/>
            </w:tcBorders>
          </w:tcPr>
          <w:p w14:paraId="52D34F88" w14:textId="3AC3B23D" w:rsidR="00210067" w:rsidRPr="001362A8" w:rsidRDefault="000C0025" w:rsidP="001A1D4B">
            <w:pPr>
              <w:spacing w:beforeLines="50" w:before="120" w:afterLines="50" w:after="120" w:line="360" w:lineRule="auto"/>
              <w:rPr>
                <w:rFonts w:ascii="Times New Roman" w:eastAsia="PMingLiU" w:hAnsi="Times New Roman" w:cs="Times New Roman"/>
                <w:color w:val="000000" w:themeColor="text1"/>
                <w:sz w:val="20"/>
                <w:szCs w:val="20"/>
              </w:rPr>
            </w:pPr>
            <w:r w:rsidRPr="001362A8">
              <w:rPr>
                <w:rFonts w:ascii="Times New Roman" w:eastAsia="PMingLiU" w:hAnsi="Times New Roman" w:cs="Times New Roman"/>
                <w:color w:val="000000" w:themeColor="text1"/>
                <w:sz w:val="20"/>
                <w:szCs w:val="20"/>
              </w:rPr>
              <w:t>A</w:t>
            </w:r>
            <w:r w:rsidR="00210067" w:rsidRPr="001362A8">
              <w:rPr>
                <w:rFonts w:ascii="Times New Roman" w:eastAsia="PMingLiU" w:hAnsi="Times New Roman" w:cs="Times New Roman"/>
                <w:color w:val="000000" w:themeColor="text1"/>
                <w:sz w:val="20"/>
                <w:szCs w:val="20"/>
              </w:rPr>
              <w:t xml:space="preserve"> national survey in 2012 showed </w:t>
            </w:r>
            <w:r w:rsidRPr="001362A8">
              <w:rPr>
                <w:rFonts w:ascii="Times New Roman" w:eastAsia="PMingLiU" w:hAnsi="Times New Roman" w:cs="Times New Roman"/>
                <w:color w:val="000000" w:themeColor="text1"/>
                <w:sz w:val="20"/>
                <w:szCs w:val="20"/>
              </w:rPr>
              <w:t>a</w:t>
            </w:r>
            <w:r w:rsidR="00210067" w:rsidRPr="001362A8">
              <w:rPr>
                <w:rFonts w:ascii="Times New Roman" w:eastAsia="PMingLiU" w:hAnsi="Times New Roman" w:cs="Times New Roman"/>
                <w:color w:val="000000" w:themeColor="text1"/>
                <w:sz w:val="20"/>
                <w:szCs w:val="20"/>
              </w:rPr>
              <w:t xml:space="preserve"> wide variation in adopti</w:t>
            </w:r>
            <w:r w:rsidRPr="001362A8">
              <w:rPr>
                <w:rFonts w:ascii="Times New Roman" w:eastAsia="PMingLiU" w:hAnsi="Times New Roman" w:cs="Times New Roman"/>
                <w:color w:val="000000" w:themeColor="text1"/>
                <w:sz w:val="20"/>
                <w:szCs w:val="20"/>
              </w:rPr>
              <w:t>on of</w:t>
            </w:r>
            <w:r w:rsidR="00210067" w:rsidRPr="001362A8">
              <w:rPr>
                <w:rFonts w:ascii="Times New Roman" w:eastAsia="PMingLiU" w:hAnsi="Times New Roman" w:cs="Times New Roman"/>
                <w:color w:val="000000" w:themeColor="text1"/>
                <w:sz w:val="20"/>
                <w:szCs w:val="20"/>
              </w:rPr>
              <w:t xml:space="preserve"> </w:t>
            </w:r>
            <w:r w:rsidR="004A2E68" w:rsidRPr="001362A8">
              <w:rPr>
                <w:rFonts w:ascii="Times New Roman" w:eastAsia="PMingLiU" w:hAnsi="Times New Roman" w:cs="Times New Roman"/>
                <w:color w:val="000000" w:themeColor="text1"/>
                <w:sz w:val="20"/>
                <w:szCs w:val="20"/>
              </w:rPr>
              <w:t>IPC</w:t>
            </w:r>
            <w:r w:rsidR="00210067" w:rsidRPr="001362A8">
              <w:rPr>
                <w:rFonts w:ascii="Times New Roman" w:eastAsia="PMingLiU" w:hAnsi="Times New Roman" w:cs="Times New Roman"/>
                <w:color w:val="000000" w:themeColor="text1"/>
                <w:sz w:val="20"/>
                <w:szCs w:val="20"/>
              </w:rPr>
              <w:t xml:space="preserve"> practices for CLABSI, CAUTI and VAP among 685 respondent hospitals </w:t>
            </w:r>
            <w:r w:rsidR="00210067" w:rsidRPr="001362A8">
              <w:rPr>
                <w:rFonts w:ascii="Times New Roman" w:eastAsia="PMingLiU" w:hAnsi="Times New Roman" w:cs="Times New Roman"/>
                <w:color w:val="000000" w:themeColor="text1"/>
                <w:sz w:val="20"/>
                <w:szCs w:val="20"/>
              </w:rPr>
              <w:fldChar w:fldCharType="begin"/>
            </w:r>
            <w:r w:rsidR="000C01F8" w:rsidRPr="001362A8">
              <w:rPr>
                <w:rFonts w:ascii="Times New Roman" w:eastAsia="PMingLiU" w:hAnsi="Times New Roman" w:cs="Times New Roman"/>
                <w:color w:val="000000" w:themeColor="text1"/>
                <w:sz w:val="20"/>
                <w:szCs w:val="20"/>
              </w:rPr>
              <w:instrText xml:space="preserve"> ADDIN EN.CITE &lt;EndNote&gt;&lt;Cite&gt;&lt;Author&gt;Krein&lt;/Author&gt;&lt;Year&gt;2017&lt;/Year&gt;&lt;RecNum&gt;42&lt;/RecNum&gt;&lt;DisplayText&gt;[18]&lt;/DisplayText&gt;&lt;record&gt;&lt;rec-number&gt;42&lt;/rec-number&gt;&lt;foreign-keys&gt;&lt;key app="EN" db-id="zewpdw50fw9pfdepetsv0fej2pvv2fspdsaf" timestamp="1504420774"&gt;42&lt;/key&gt;&lt;/foreign-keys&gt;&lt;ref-type name="Journal Article"&gt;17&lt;/ref-type&gt;&lt;contributors&gt;&lt;authors&gt;&lt;author&gt;Krein, Sarah L.&lt;/author&gt;&lt;author&gt;Greene, M. Todd&lt;/author&gt;&lt;author&gt;Apisarnthanarak, Anucha&lt;/author&gt;&lt;author&gt;Sakamoto, Fumie&lt;/author&gt;&lt;author&gt;Tokuda, Yasuharu&lt;/author&gt;&lt;author&gt;Sakihama, Tomoko&lt;/author&gt;&lt;author&gt;Fowler, Karen E.&lt;/author&gt;&lt;author&gt;Ratz, David&lt;/author&gt;&lt;author&gt;Saint, Sanjay&lt;/author&gt;&lt;/authors&gt;&lt;/contributors&gt;&lt;titles&gt;&lt;title&gt;Infection Prevention Practices in Japan, Thailand, and the United States: Results From National Surveys&lt;/title&gt;&lt;secondary-title&gt;Clinical Infectious Diseases&lt;/secondary-title&gt;&lt;/titles&gt;&lt;periodical&gt;&lt;full-title&gt;Clinical Infectious Diseases&lt;/full-title&gt;&lt;/periodical&gt;&lt;pages&gt;S105-S111&lt;/pages&gt;&lt;volume&gt;64&lt;/volume&gt;&lt;number&gt;suppl_2&lt;/number&gt;&lt;dates&gt;&lt;year&gt;2017&lt;/year&gt;&lt;/dates&gt;&lt;isbn&gt;1058-4838&lt;/isbn&gt;&lt;urls&gt;&lt;related-urls&gt;&lt;url&gt;http://dx.doi.org/10.1093/cid/cix073&lt;/url&gt;&lt;/related-urls&gt;&lt;/urls&gt;&lt;electronic-resource-num&gt;10.1093/cid/cix073&lt;/electronic-resource-num&gt;&lt;/record&gt;&lt;/Cite&gt;&lt;/EndNote&gt;</w:instrText>
            </w:r>
            <w:r w:rsidR="00210067" w:rsidRPr="001362A8">
              <w:rPr>
                <w:rFonts w:ascii="Times New Roman" w:eastAsia="PMingLiU" w:hAnsi="Times New Roman" w:cs="Times New Roman"/>
                <w:color w:val="000000" w:themeColor="text1"/>
                <w:sz w:val="20"/>
                <w:szCs w:val="20"/>
              </w:rPr>
              <w:fldChar w:fldCharType="separate"/>
            </w:r>
            <w:r w:rsidR="000C01F8" w:rsidRPr="001362A8">
              <w:rPr>
                <w:rFonts w:ascii="Times New Roman" w:eastAsia="PMingLiU" w:hAnsi="Times New Roman" w:cs="Times New Roman"/>
                <w:noProof/>
                <w:color w:val="000000" w:themeColor="text1"/>
                <w:sz w:val="20"/>
                <w:szCs w:val="20"/>
              </w:rPr>
              <w:t>[</w:t>
            </w:r>
            <w:r w:rsidR="000031C0" w:rsidRPr="001362A8">
              <w:rPr>
                <w:rFonts w:ascii="Times New Roman" w:eastAsia="PMingLiU" w:hAnsi="Times New Roman" w:cs="Times New Roman"/>
                <w:noProof/>
                <w:color w:val="000000" w:themeColor="text1"/>
                <w:sz w:val="20"/>
                <w:szCs w:val="20"/>
              </w:rPr>
              <w:t>19</w:t>
            </w:r>
            <w:r w:rsidR="000C01F8" w:rsidRPr="001362A8">
              <w:rPr>
                <w:rFonts w:ascii="Times New Roman" w:eastAsia="PMingLiU" w:hAnsi="Times New Roman" w:cs="Times New Roman"/>
                <w:noProof/>
                <w:color w:val="000000" w:themeColor="text1"/>
                <w:sz w:val="20"/>
                <w:szCs w:val="20"/>
              </w:rPr>
              <w:t>]</w:t>
            </w:r>
            <w:r w:rsidR="00210067" w:rsidRPr="001362A8">
              <w:rPr>
                <w:rFonts w:ascii="Times New Roman" w:eastAsia="PMingLiU" w:hAnsi="Times New Roman" w:cs="Times New Roman"/>
                <w:color w:val="000000" w:themeColor="text1"/>
                <w:sz w:val="20"/>
                <w:szCs w:val="20"/>
              </w:rPr>
              <w:fldChar w:fldCharType="end"/>
            </w:r>
            <w:r w:rsidR="00210067" w:rsidRPr="001362A8">
              <w:rPr>
                <w:rFonts w:ascii="Times New Roman" w:eastAsia="PMingLiU" w:hAnsi="Times New Roman" w:cs="Times New Roman"/>
                <w:color w:val="000000" w:themeColor="text1"/>
                <w:sz w:val="20"/>
                <w:szCs w:val="20"/>
              </w:rPr>
              <w:t>.</w:t>
            </w:r>
          </w:p>
        </w:tc>
      </w:tr>
      <w:tr w:rsidR="001362A8" w:rsidRPr="001362A8" w14:paraId="1E302128" w14:textId="77777777" w:rsidTr="001A1D4B">
        <w:trPr>
          <w:trHeight w:val="485"/>
        </w:trPr>
        <w:tc>
          <w:tcPr>
            <w:tcW w:w="1101" w:type="dxa"/>
            <w:tcBorders>
              <w:top w:val="single" w:sz="4" w:space="0" w:color="auto"/>
              <w:bottom w:val="nil"/>
            </w:tcBorders>
          </w:tcPr>
          <w:p w14:paraId="5F93F3A4" w14:textId="77777777" w:rsidR="00210067" w:rsidRPr="001362A8" w:rsidRDefault="00210067" w:rsidP="001A1D4B">
            <w:pPr>
              <w:spacing w:beforeLines="50" w:before="120" w:afterLines="50" w:after="120" w:line="360" w:lineRule="auto"/>
              <w:jc w:val="both"/>
              <w:rPr>
                <w:rFonts w:ascii="Times New Roman" w:eastAsia="PMingLiU" w:hAnsi="Times New Roman" w:cs="Times New Roman"/>
                <w:b/>
                <w:bCs/>
                <w:color w:val="000000" w:themeColor="text1"/>
                <w:sz w:val="20"/>
                <w:szCs w:val="20"/>
              </w:rPr>
            </w:pPr>
          </w:p>
        </w:tc>
        <w:tc>
          <w:tcPr>
            <w:tcW w:w="2126" w:type="dxa"/>
            <w:tcBorders>
              <w:top w:val="single" w:sz="4" w:space="0" w:color="auto"/>
              <w:bottom w:val="nil"/>
            </w:tcBorders>
          </w:tcPr>
          <w:p w14:paraId="49F6D72F" w14:textId="77777777" w:rsidR="00210067" w:rsidRPr="001362A8" w:rsidRDefault="00210067" w:rsidP="001A1D4B">
            <w:pPr>
              <w:spacing w:beforeLines="50" w:before="120" w:afterLines="50" w:after="120" w:line="360" w:lineRule="auto"/>
              <w:jc w:val="both"/>
              <w:rPr>
                <w:rFonts w:ascii="Times New Roman" w:eastAsia="PMingLiU" w:hAnsi="Times New Roman" w:cs="Times New Roman"/>
                <w:color w:val="000000" w:themeColor="text1"/>
                <w:sz w:val="20"/>
                <w:szCs w:val="20"/>
              </w:rPr>
            </w:pPr>
          </w:p>
        </w:tc>
        <w:tc>
          <w:tcPr>
            <w:tcW w:w="6696" w:type="dxa"/>
            <w:tcBorders>
              <w:top w:val="single" w:sz="4" w:space="0" w:color="auto"/>
              <w:bottom w:val="nil"/>
            </w:tcBorders>
          </w:tcPr>
          <w:p w14:paraId="1DAA028A" w14:textId="77777777" w:rsidR="00210067" w:rsidRPr="001362A8" w:rsidRDefault="00210067" w:rsidP="001A1D4B">
            <w:pPr>
              <w:spacing w:beforeLines="50" w:before="120" w:afterLines="50" w:after="120" w:line="360" w:lineRule="auto"/>
              <w:jc w:val="both"/>
              <w:rPr>
                <w:rFonts w:ascii="Times New Roman" w:eastAsia="PMingLiU" w:hAnsi="Times New Roman" w:cs="Times New Roman"/>
                <w:color w:val="000000" w:themeColor="text1"/>
                <w:sz w:val="20"/>
                <w:szCs w:val="20"/>
              </w:rPr>
            </w:pPr>
          </w:p>
        </w:tc>
      </w:tr>
    </w:tbl>
    <w:p w14:paraId="0E22A142" w14:textId="2DEE88A3" w:rsidR="00D43E27" w:rsidRPr="001362A8" w:rsidRDefault="002E227A" w:rsidP="001A1D4B">
      <w:pPr>
        <w:spacing w:after="0" w:line="360" w:lineRule="auto"/>
        <w:rPr>
          <w:rFonts w:ascii="Times New Roman" w:hAnsi="Times New Roman" w:cs="Times New Roman"/>
          <w:color w:val="000000" w:themeColor="text1"/>
          <w:sz w:val="20"/>
          <w:szCs w:val="18"/>
        </w:rPr>
      </w:pPr>
      <w:r w:rsidRPr="001362A8">
        <w:rPr>
          <w:rFonts w:ascii="Times New Roman" w:hAnsi="Times New Roman" w:cs="Times New Roman"/>
          <w:b/>
          <w:color w:val="000000" w:themeColor="text1"/>
          <w:sz w:val="20"/>
          <w:szCs w:val="18"/>
        </w:rPr>
        <w:t>Abbreviations:</w:t>
      </w:r>
      <w:r w:rsidR="000B557F" w:rsidRPr="001362A8">
        <w:rPr>
          <w:rFonts w:ascii="Times New Roman" w:hAnsi="Times New Roman" w:cs="Times New Roman"/>
          <w:color w:val="000000" w:themeColor="text1"/>
          <w:sz w:val="20"/>
          <w:szCs w:val="18"/>
        </w:rPr>
        <w:t xml:space="preserve"> AMR: </w:t>
      </w:r>
      <w:r w:rsidR="00F8179F" w:rsidRPr="001362A8">
        <w:rPr>
          <w:rFonts w:ascii="Times New Roman" w:hAnsi="Times New Roman" w:cs="Times New Roman"/>
          <w:color w:val="000000" w:themeColor="text1"/>
          <w:sz w:val="20"/>
          <w:szCs w:val="18"/>
        </w:rPr>
        <w:t>antimicrobial</w:t>
      </w:r>
      <w:r w:rsidR="000B557F" w:rsidRPr="001362A8">
        <w:rPr>
          <w:rFonts w:ascii="Times New Roman" w:hAnsi="Times New Roman" w:cs="Times New Roman"/>
          <w:color w:val="000000" w:themeColor="text1"/>
          <w:sz w:val="20"/>
          <w:szCs w:val="18"/>
        </w:rPr>
        <w:t xml:space="preserve">-resistance; </w:t>
      </w:r>
      <w:r w:rsidR="00F8179F" w:rsidRPr="001362A8">
        <w:rPr>
          <w:rFonts w:ascii="Times New Roman" w:hAnsi="Times New Roman" w:cs="Times New Roman"/>
          <w:color w:val="000000" w:themeColor="text1"/>
          <w:sz w:val="20"/>
          <w:szCs w:val="18"/>
        </w:rPr>
        <w:t>AS</w:t>
      </w:r>
      <w:r w:rsidR="00631ACE" w:rsidRPr="001362A8">
        <w:rPr>
          <w:rFonts w:ascii="Times New Roman" w:hAnsi="Times New Roman" w:cs="Times New Roman"/>
          <w:color w:val="000000" w:themeColor="text1"/>
          <w:sz w:val="20"/>
          <w:szCs w:val="18"/>
        </w:rPr>
        <w:t>:</w:t>
      </w:r>
      <w:r w:rsidR="00F8179F" w:rsidRPr="001362A8">
        <w:rPr>
          <w:rFonts w:ascii="Times New Roman" w:hAnsi="Times New Roman" w:cs="Times New Roman"/>
          <w:color w:val="000000" w:themeColor="text1"/>
          <w:sz w:val="20"/>
          <w:szCs w:val="18"/>
        </w:rPr>
        <w:t xml:space="preserve"> antimicrobial stewardship; </w:t>
      </w:r>
      <w:r w:rsidR="000B557F" w:rsidRPr="001362A8">
        <w:rPr>
          <w:rFonts w:ascii="Times New Roman" w:hAnsi="Times New Roman" w:cs="Times New Roman"/>
          <w:color w:val="000000" w:themeColor="text1"/>
          <w:sz w:val="20"/>
          <w:szCs w:val="18"/>
        </w:rPr>
        <w:t xml:space="preserve">BSI: bloodstream infections; </w:t>
      </w:r>
      <w:r w:rsidRPr="001362A8">
        <w:rPr>
          <w:rFonts w:ascii="Times New Roman" w:hAnsi="Times New Roman" w:cs="Times New Roman"/>
          <w:b/>
          <w:color w:val="000000" w:themeColor="text1"/>
          <w:sz w:val="20"/>
          <w:szCs w:val="18"/>
        </w:rPr>
        <w:t xml:space="preserve"> </w:t>
      </w:r>
      <w:r w:rsidRPr="001362A8">
        <w:rPr>
          <w:rFonts w:ascii="Times New Roman" w:hAnsi="Times New Roman" w:cs="Times New Roman"/>
          <w:color w:val="000000" w:themeColor="text1"/>
          <w:sz w:val="20"/>
          <w:szCs w:val="18"/>
        </w:rPr>
        <w:t xml:space="preserve">CAUTI: catheter-associated urinary tract infections; </w:t>
      </w:r>
      <w:r w:rsidR="000A772E" w:rsidRPr="001362A8">
        <w:rPr>
          <w:rFonts w:ascii="Times New Roman" w:hAnsi="Times New Roman" w:cs="Times New Roman"/>
          <w:color w:val="000000" w:themeColor="text1"/>
          <w:sz w:val="20"/>
          <w:szCs w:val="18"/>
        </w:rPr>
        <w:t>CDC</w:t>
      </w:r>
      <w:r w:rsidR="001705B3" w:rsidRPr="001362A8">
        <w:rPr>
          <w:rFonts w:ascii="Times New Roman" w:hAnsi="Times New Roman" w:cs="Times New Roman"/>
          <w:color w:val="000000" w:themeColor="text1"/>
          <w:sz w:val="20"/>
          <w:szCs w:val="18"/>
        </w:rPr>
        <w:t>:</w:t>
      </w:r>
      <w:r w:rsidR="000A772E" w:rsidRPr="001362A8">
        <w:rPr>
          <w:rFonts w:ascii="Times New Roman" w:hAnsi="Times New Roman" w:cs="Times New Roman"/>
          <w:color w:val="000000" w:themeColor="text1"/>
          <w:sz w:val="20"/>
          <w:szCs w:val="18"/>
        </w:rPr>
        <w:t xml:space="preserve"> Centers for</w:t>
      </w:r>
      <w:r w:rsidR="00470761" w:rsidRPr="001362A8">
        <w:rPr>
          <w:rFonts w:ascii="Times New Roman" w:hAnsi="Times New Roman" w:cs="Times New Roman"/>
          <w:color w:val="000000" w:themeColor="text1"/>
          <w:sz w:val="20"/>
          <w:szCs w:val="18"/>
        </w:rPr>
        <w:t xml:space="preserve"> Disease</w:t>
      </w:r>
      <w:r w:rsidR="000A772E" w:rsidRPr="001362A8">
        <w:rPr>
          <w:rFonts w:ascii="Times New Roman" w:hAnsi="Times New Roman" w:cs="Times New Roman"/>
          <w:color w:val="000000" w:themeColor="text1"/>
          <w:sz w:val="20"/>
          <w:szCs w:val="18"/>
        </w:rPr>
        <w:t xml:space="preserve"> Control; </w:t>
      </w:r>
      <w:r w:rsidRPr="001362A8">
        <w:rPr>
          <w:rFonts w:ascii="Times New Roman" w:hAnsi="Times New Roman" w:cs="Times New Roman"/>
          <w:color w:val="000000" w:themeColor="text1"/>
          <w:sz w:val="20"/>
          <w:szCs w:val="18"/>
        </w:rPr>
        <w:t xml:space="preserve">CLABSI: central line-associated bloodstream infections; HAI: healthcare-associated infections; </w:t>
      </w:r>
      <w:r w:rsidR="008301BD" w:rsidRPr="001362A8">
        <w:rPr>
          <w:rFonts w:ascii="Times New Roman" w:hAnsi="Times New Roman" w:cs="Times New Roman"/>
          <w:color w:val="000000" w:themeColor="text1"/>
          <w:sz w:val="20"/>
          <w:szCs w:val="18"/>
        </w:rPr>
        <w:t xml:space="preserve">FTE: full-time equivalent; </w:t>
      </w:r>
      <w:r w:rsidR="000B557F" w:rsidRPr="001362A8">
        <w:rPr>
          <w:rFonts w:ascii="Times New Roman" w:hAnsi="Times New Roman" w:cs="Times New Roman"/>
          <w:color w:val="000000" w:themeColor="text1"/>
          <w:sz w:val="20"/>
          <w:szCs w:val="18"/>
        </w:rPr>
        <w:t>HAP: hospital-acquired pneumonia;</w:t>
      </w:r>
      <w:r w:rsidR="00F8179F" w:rsidRPr="001362A8">
        <w:rPr>
          <w:rFonts w:ascii="Times New Roman" w:hAnsi="Times New Roman" w:cs="Times New Roman"/>
          <w:color w:val="000000" w:themeColor="text1"/>
          <w:sz w:val="20"/>
          <w:szCs w:val="18"/>
        </w:rPr>
        <w:t xml:space="preserve"> IC: infection control;</w:t>
      </w:r>
      <w:r w:rsidR="000B557F" w:rsidRPr="001362A8">
        <w:rPr>
          <w:rFonts w:ascii="Times New Roman" w:hAnsi="Times New Roman" w:cs="Times New Roman"/>
          <w:color w:val="000000" w:themeColor="text1"/>
          <w:sz w:val="20"/>
          <w:szCs w:val="18"/>
        </w:rPr>
        <w:t xml:space="preserve"> ICD: infection control doctor; ICN: infection control nurse; ICP: Infection </w:t>
      </w:r>
      <w:r w:rsidR="003309A1" w:rsidRPr="001362A8">
        <w:rPr>
          <w:rFonts w:ascii="Times New Roman" w:hAnsi="Times New Roman" w:cs="Times New Roman"/>
          <w:color w:val="000000" w:themeColor="text1"/>
          <w:sz w:val="20"/>
          <w:szCs w:val="18"/>
        </w:rPr>
        <w:t>c</w:t>
      </w:r>
      <w:r w:rsidR="000B557F" w:rsidRPr="001362A8">
        <w:rPr>
          <w:rFonts w:ascii="Times New Roman" w:hAnsi="Times New Roman" w:cs="Times New Roman"/>
          <w:color w:val="000000" w:themeColor="text1"/>
          <w:sz w:val="20"/>
          <w:szCs w:val="18"/>
        </w:rPr>
        <w:t xml:space="preserve">ontrol </w:t>
      </w:r>
      <w:r w:rsidR="00E32DE4" w:rsidRPr="001362A8">
        <w:rPr>
          <w:rFonts w:ascii="Times New Roman" w:hAnsi="Times New Roman" w:cs="Times New Roman"/>
          <w:color w:val="000000" w:themeColor="text1"/>
          <w:sz w:val="20"/>
          <w:szCs w:val="18"/>
        </w:rPr>
        <w:t>personnel</w:t>
      </w:r>
      <w:r w:rsidR="000B557F" w:rsidRPr="001362A8">
        <w:rPr>
          <w:rFonts w:ascii="Times New Roman" w:hAnsi="Times New Roman" w:cs="Times New Roman"/>
          <w:color w:val="000000" w:themeColor="text1"/>
          <w:sz w:val="20"/>
          <w:szCs w:val="18"/>
        </w:rPr>
        <w:t xml:space="preserve">; ICU: intensive care units; IPC: Infection prevention and control; JANIS: Japan nosocomial infection surveillance; KONIS: Korean national healthcare-associated infection surveillance; MDRO: </w:t>
      </w:r>
      <w:r w:rsidR="000B557F" w:rsidRPr="001362A8">
        <w:rPr>
          <w:rFonts w:ascii="Times New Roman" w:hAnsi="Times New Roman" w:cs="Times New Roman"/>
          <w:color w:val="000000" w:themeColor="text1"/>
          <w:sz w:val="20"/>
          <w:szCs w:val="18"/>
        </w:rPr>
        <w:lastRenderedPageBreak/>
        <w:t xml:space="preserve">multi-drug resistant organisms; TNIS: Taiwan nosocomial infection surveillance; </w:t>
      </w:r>
      <w:r w:rsidRPr="001362A8">
        <w:rPr>
          <w:rFonts w:ascii="Times New Roman" w:hAnsi="Times New Roman" w:cs="Times New Roman"/>
          <w:color w:val="000000" w:themeColor="text1"/>
          <w:sz w:val="20"/>
          <w:szCs w:val="18"/>
        </w:rPr>
        <w:t xml:space="preserve">UTI: urinary tract infections; </w:t>
      </w:r>
      <w:r w:rsidR="000B557F" w:rsidRPr="001362A8">
        <w:rPr>
          <w:rFonts w:ascii="Times New Roman" w:hAnsi="Times New Roman" w:cs="Times New Roman"/>
          <w:color w:val="000000" w:themeColor="text1"/>
          <w:sz w:val="20"/>
          <w:szCs w:val="18"/>
        </w:rPr>
        <w:t xml:space="preserve">VAP: ventilator-associated pneumonia. </w:t>
      </w:r>
    </w:p>
    <w:p w14:paraId="4AF04B73" w14:textId="3D132905" w:rsidR="00F16DC6" w:rsidRPr="001362A8" w:rsidRDefault="00F16DC6" w:rsidP="001A1D4B">
      <w:pPr>
        <w:spacing w:after="0" w:line="360" w:lineRule="auto"/>
        <w:rPr>
          <w:rFonts w:ascii="Times New Roman" w:hAnsi="Times New Roman" w:cs="Times New Roman"/>
          <w:b/>
          <w:color w:val="000000" w:themeColor="text1"/>
          <w:sz w:val="20"/>
          <w:szCs w:val="18"/>
        </w:rPr>
      </w:pPr>
      <w:r w:rsidRPr="001362A8">
        <w:rPr>
          <w:rFonts w:ascii="Times New Roman" w:hAnsi="Times New Roman" w:cs="Times New Roman"/>
          <w:b/>
          <w:color w:val="000000" w:themeColor="text1"/>
          <w:sz w:val="20"/>
          <w:szCs w:val="18"/>
        </w:rPr>
        <w:t>References</w:t>
      </w:r>
      <w:r w:rsidR="009353D6" w:rsidRPr="001362A8">
        <w:rPr>
          <w:rFonts w:ascii="Times New Roman" w:hAnsi="Times New Roman" w:cs="Times New Roman"/>
          <w:b/>
          <w:color w:val="000000" w:themeColor="text1"/>
          <w:sz w:val="20"/>
          <w:szCs w:val="18"/>
        </w:rPr>
        <w:t>:</w:t>
      </w:r>
    </w:p>
    <w:p w14:paraId="7F8B6120"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sidDel="00FB5534">
        <w:rPr>
          <w:rFonts w:ascii="Times New Roman" w:hAnsi="Times New Roman" w:cs="Times New Roman"/>
          <w:color w:val="000000" w:themeColor="text1"/>
          <w:sz w:val="20"/>
          <w:szCs w:val="18"/>
        </w:rPr>
        <w:t xml:space="preserve"> </w:t>
      </w:r>
      <w:r w:rsidRPr="001362A8">
        <w:rPr>
          <w:rFonts w:ascii="Times New Roman" w:hAnsi="Times New Roman" w:cs="Times New Roman"/>
          <w:color w:val="000000" w:themeColor="text1"/>
          <w:sz w:val="20"/>
          <w:szCs w:val="18"/>
        </w:rPr>
        <w:t>1.</w:t>
      </w:r>
      <w:r w:rsidRPr="001362A8">
        <w:rPr>
          <w:rFonts w:ascii="Times New Roman" w:hAnsi="Times New Roman" w:cs="Times New Roman"/>
          <w:color w:val="000000" w:themeColor="text1"/>
          <w:sz w:val="20"/>
          <w:szCs w:val="18"/>
        </w:rPr>
        <w:tab/>
        <w:t xml:space="preserve">Centers for Disease Control, R.O.C (Taiwan). Infection Control Manual for Medical Care Facilities. 2014. Available at: </w:t>
      </w:r>
      <w:hyperlink r:id="rId8" w:history="1">
        <w:r w:rsidRPr="001362A8">
          <w:rPr>
            <w:rStyle w:val="Hyperlink"/>
            <w:rFonts w:ascii="Times New Roman" w:hAnsi="Times New Roman" w:cs="Times New Roman"/>
            <w:color w:val="000000" w:themeColor="text1"/>
            <w:sz w:val="20"/>
            <w:szCs w:val="18"/>
            <w:u w:val="none"/>
          </w:rPr>
          <w:t>https://www.cdc.gov.tw/professional/list.aspx?treeid=beac9c103df952c4&amp;nowtreeid=52e2faab2576d7b1</w:t>
        </w:r>
      </w:hyperlink>
      <w:r w:rsidRPr="001362A8">
        <w:rPr>
          <w:rFonts w:ascii="Times New Roman" w:hAnsi="Times New Roman" w:cs="Times New Roman"/>
          <w:color w:val="000000" w:themeColor="text1"/>
          <w:sz w:val="20"/>
          <w:szCs w:val="18"/>
        </w:rPr>
        <w:t>. Accessed 24 March 2018.</w:t>
      </w:r>
    </w:p>
    <w:p w14:paraId="211A0D7A"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2.</w:t>
      </w:r>
      <w:r w:rsidRPr="001362A8">
        <w:rPr>
          <w:rFonts w:ascii="Times New Roman" w:hAnsi="Times New Roman" w:cs="Times New Roman"/>
          <w:color w:val="000000" w:themeColor="text1"/>
          <w:sz w:val="20"/>
          <w:szCs w:val="18"/>
        </w:rPr>
        <w:tab/>
        <w:t xml:space="preserve">Centers for Disease Control, R.O.C (Taiwan). Regulation of infection control in medical facilities. 2008. Available at: </w:t>
      </w:r>
      <w:hyperlink r:id="rId9" w:history="1">
        <w:r w:rsidRPr="001362A8">
          <w:rPr>
            <w:rStyle w:val="Hyperlink"/>
            <w:rFonts w:ascii="Times New Roman" w:hAnsi="Times New Roman" w:cs="Times New Roman"/>
            <w:color w:val="000000" w:themeColor="text1"/>
            <w:sz w:val="20"/>
            <w:szCs w:val="18"/>
            <w:u w:val="none"/>
          </w:rPr>
          <w:t>www.cdc.gov.tw/professional/downloadfile.aspx?fid=9F265771F1EE004E</w:t>
        </w:r>
      </w:hyperlink>
      <w:r w:rsidRPr="001362A8">
        <w:rPr>
          <w:rFonts w:ascii="Times New Roman" w:hAnsi="Times New Roman" w:cs="Times New Roman"/>
          <w:color w:val="000000" w:themeColor="text1"/>
          <w:sz w:val="20"/>
          <w:szCs w:val="18"/>
        </w:rPr>
        <w:t>. Accessed 24 March 2018.</w:t>
      </w:r>
    </w:p>
    <w:p w14:paraId="7F83B6BE"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3.</w:t>
      </w:r>
      <w:r w:rsidRPr="001362A8">
        <w:rPr>
          <w:rFonts w:ascii="Times New Roman" w:hAnsi="Times New Roman" w:cs="Times New Roman"/>
          <w:color w:val="000000" w:themeColor="text1"/>
          <w:sz w:val="20"/>
          <w:szCs w:val="18"/>
        </w:rPr>
        <w:tab/>
        <w:t xml:space="preserve">Centers for Disease Control, R.O.C (Taiwan). Regulation of infection control in medical facilities. 2017. Available at: </w:t>
      </w:r>
      <w:hyperlink r:id="rId10" w:history="1">
        <w:r w:rsidRPr="001362A8">
          <w:rPr>
            <w:rStyle w:val="Hyperlink"/>
            <w:rFonts w:ascii="Times New Roman" w:hAnsi="Times New Roman" w:cs="Times New Roman"/>
            <w:color w:val="000000" w:themeColor="text1"/>
            <w:sz w:val="20"/>
            <w:szCs w:val="18"/>
            <w:u w:val="none"/>
          </w:rPr>
          <w:t>https://www.cdc.gov.tw/professional/info.aspx?treeid=beac9c103df952c4&amp;nowtreeid=bd387fa55fef03f0&amp;tid=DBE92A531EC6E44A</w:t>
        </w:r>
      </w:hyperlink>
      <w:r w:rsidRPr="001362A8">
        <w:rPr>
          <w:rFonts w:ascii="Times New Roman" w:hAnsi="Times New Roman" w:cs="Times New Roman"/>
          <w:color w:val="000000" w:themeColor="text1"/>
          <w:sz w:val="20"/>
          <w:szCs w:val="18"/>
        </w:rPr>
        <w:t>. Accessed 24 March 2018.</w:t>
      </w:r>
    </w:p>
    <w:p w14:paraId="7B06846A"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4.</w:t>
      </w:r>
      <w:r w:rsidRPr="001362A8">
        <w:rPr>
          <w:rFonts w:ascii="Times New Roman" w:hAnsi="Times New Roman" w:cs="Times New Roman"/>
          <w:color w:val="000000" w:themeColor="text1"/>
          <w:sz w:val="20"/>
          <w:szCs w:val="18"/>
        </w:rPr>
        <w:tab/>
        <w:t xml:space="preserve">UPMC Center for Health Security. IHR Joint External Evaluation of Taiwan. 2016. Available at: </w:t>
      </w:r>
      <w:hyperlink r:id="rId11" w:history="1">
        <w:r w:rsidRPr="001362A8">
          <w:rPr>
            <w:rStyle w:val="Hyperlink"/>
            <w:rFonts w:ascii="Times New Roman" w:hAnsi="Times New Roman" w:cs="Times New Roman"/>
            <w:color w:val="000000" w:themeColor="text1"/>
            <w:sz w:val="20"/>
            <w:szCs w:val="18"/>
            <w:u w:val="none"/>
          </w:rPr>
          <w:t>http://www.cdc.gov.tw/uploads/files/201701/cbf247f3-64b0-4675-a5e8-d4f70eaf24e5.pdf</w:t>
        </w:r>
      </w:hyperlink>
      <w:r w:rsidRPr="001362A8">
        <w:rPr>
          <w:rFonts w:ascii="Times New Roman" w:hAnsi="Times New Roman" w:cs="Times New Roman"/>
          <w:color w:val="000000" w:themeColor="text1"/>
          <w:sz w:val="20"/>
          <w:szCs w:val="18"/>
        </w:rPr>
        <w:t>. Accessed 24 March 2018.</w:t>
      </w:r>
    </w:p>
    <w:p w14:paraId="4412DE34"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5.</w:t>
      </w:r>
      <w:r w:rsidRPr="001362A8">
        <w:rPr>
          <w:rFonts w:ascii="Times New Roman" w:hAnsi="Times New Roman" w:cs="Times New Roman"/>
          <w:color w:val="000000" w:themeColor="text1"/>
          <w:sz w:val="20"/>
          <w:szCs w:val="18"/>
        </w:rPr>
        <w:tab/>
        <w:t>Chen YC, Sheng WH, Wang JT et al. Effectiveness and Limitations of Hand Hygiene Promotion on Decreasing Healthcare–Associated Infections. PLoS One, 2011; 6:e27163.</w:t>
      </w:r>
    </w:p>
    <w:p w14:paraId="22E348EF"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6.</w:t>
      </w:r>
      <w:r w:rsidRPr="001362A8">
        <w:rPr>
          <w:rFonts w:ascii="Times New Roman" w:hAnsi="Times New Roman" w:cs="Times New Roman"/>
          <w:color w:val="000000" w:themeColor="text1"/>
          <w:sz w:val="20"/>
          <w:szCs w:val="18"/>
        </w:rPr>
        <w:tab/>
        <w:t xml:space="preserve">Centers for Disease Control, R.O.C (Taiwan). Hand Hygiene. Available at: </w:t>
      </w:r>
      <w:hyperlink r:id="rId12" w:history="1">
        <w:r w:rsidRPr="001362A8">
          <w:rPr>
            <w:rStyle w:val="Hyperlink"/>
            <w:rFonts w:ascii="Times New Roman" w:hAnsi="Times New Roman" w:cs="Times New Roman"/>
            <w:color w:val="000000" w:themeColor="text1"/>
            <w:sz w:val="20"/>
            <w:szCs w:val="18"/>
            <w:u w:val="none"/>
          </w:rPr>
          <w:t>https://www.cdc.gov.tw/professional/HandHygiene.aspx?theme=HandHygiene&amp;treeid=15ea1948ffc4fa7a&amp;nowtreeid=46C503C6997FECF3</w:t>
        </w:r>
      </w:hyperlink>
      <w:r w:rsidRPr="001362A8">
        <w:rPr>
          <w:rFonts w:ascii="Times New Roman" w:hAnsi="Times New Roman" w:cs="Times New Roman"/>
          <w:color w:val="000000" w:themeColor="text1"/>
          <w:sz w:val="20"/>
          <w:szCs w:val="18"/>
        </w:rPr>
        <w:t xml:space="preserve">. Accessed 24 March 2018. </w:t>
      </w:r>
    </w:p>
    <w:p w14:paraId="0471BCB7"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7.</w:t>
      </w:r>
      <w:r w:rsidRPr="001362A8">
        <w:rPr>
          <w:rFonts w:ascii="Times New Roman" w:hAnsi="Times New Roman" w:cs="Times New Roman"/>
          <w:color w:val="000000" w:themeColor="text1"/>
          <w:sz w:val="20"/>
          <w:szCs w:val="18"/>
        </w:rPr>
        <w:tab/>
        <w:t>Ho M,  Hsiung CA, Yu HT, Chi CL, Chang HJ. Changes before and after a policy to restrict antimicrobial usage in upper respiratory infections in Taiwan. Int J Antimicrob Agents, 2004; 23:438-445.</w:t>
      </w:r>
    </w:p>
    <w:p w14:paraId="1A615B53"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8.</w:t>
      </w:r>
      <w:r w:rsidRPr="001362A8">
        <w:rPr>
          <w:rFonts w:ascii="Times New Roman" w:hAnsi="Times New Roman" w:cs="Times New Roman"/>
          <w:color w:val="000000" w:themeColor="text1"/>
          <w:sz w:val="20"/>
          <w:szCs w:val="18"/>
        </w:rPr>
        <w:tab/>
        <w:t>Tseng SH, Lee CM, Lin TY et al. Combating antimicrobial resistance: Antimicrobial stewardship program in Taiwan. J Microbiol Immunol Infect, 2012; 45:79-89.</w:t>
      </w:r>
    </w:p>
    <w:p w14:paraId="23F94463"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9.</w:t>
      </w:r>
      <w:r w:rsidRPr="001362A8">
        <w:rPr>
          <w:rFonts w:ascii="Times New Roman" w:hAnsi="Times New Roman" w:cs="Times New Roman"/>
          <w:color w:val="000000" w:themeColor="text1"/>
          <w:sz w:val="20"/>
          <w:szCs w:val="18"/>
        </w:rPr>
        <w:tab/>
        <w:t xml:space="preserve">Centers for Disease Control, R.O.C (Taiwan). National Action Plan for Antimicrobial Stewardship Program. 2015. Available at: </w:t>
      </w:r>
      <w:hyperlink r:id="rId13" w:history="1">
        <w:r w:rsidRPr="001362A8">
          <w:rPr>
            <w:rStyle w:val="Hyperlink"/>
            <w:rFonts w:ascii="Times New Roman" w:hAnsi="Times New Roman" w:cs="Times New Roman"/>
            <w:color w:val="000000" w:themeColor="text1"/>
            <w:sz w:val="20"/>
            <w:szCs w:val="18"/>
            <w:u w:val="none"/>
          </w:rPr>
          <w:t>https://www.cdc.gov.tw/uploads/files/201601/fa3be5b4-7a0d-4ed1-b930-1eb97f711b7c.pdf</w:t>
        </w:r>
      </w:hyperlink>
      <w:r w:rsidRPr="001362A8">
        <w:rPr>
          <w:rFonts w:ascii="Times New Roman" w:hAnsi="Times New Roman" w:cs="Times New Roman"/>
          <w:color w:val="000000" w:themeColor="text1"/>
          <w:sz w:val="20"/>
          <w:szCs w:val="18"/>
        </w:rPr>
        <w:t>. Accessed 24 March 2018.</w:t>
      </w:r>
    </w:p>
    <w:p w14:paraId="2CC15D83"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10.</w:t>
      </w:r>
      <w:r w:rsidRPr="001362A8">
        <w:rPr>
          <w:rFonts w:ascii="Times New Roman" w:hAnsi="Times New Roman" w:cs="Times New Roman"/>
          <w:color w:val="000000" w:themeColor="text1"/>
          <w:sz w:val="20"/>
          <w:szCs w:val="18"/>
        </w:rPr>
        <w:tab/>
        <w:t>Kim BN, Kim HB, Oh MD. Antibiotic control policies in South Korea, 2000-2013. Infect Chemother, 2016; 48:151-159.</w:t>
      </w:r>
    </w:p>
    <w:p w14:paraId="112D3260"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11.</w:t>
      </w:r>
      <w:r w:rsidRPr="001362A8">
        <w:rPr>
          <w:rFonts w:ascii="Times New Roman" w:hAnsi="Times New Roman" w:cs="Times New Roman"/>
          <w:color w:val="000000" w:themeColor="text1"/>
          <w:sz w:val="20"/>
          <w:szCs w:val="18"/>
        </w:rPr>
        <w:tab/>
        <w:t xml:space="preserve">World Health Organization. Joint external evaluation of IHR core capacities of the Republic of Korea. 2017. Available at: </w:t>
      </w:r>
      <w:hyperlink r:id="rId14" w:history="1">
        <w:r w:rsidRPr="001362A8">
          <w:rPr>
            <w:rStyle w:val="Hyperlink"/>
            <w:rFonts w:ascii="Times New Roman" w:hAnsi="Times New Roman" w:cs="Times New Roman"/>
            <w:color w:val="000000" w:themeColor="text1"/>
            <w:sz w:val="20"/>
            <w:szCs w:val="18"/>
            <w:u w:val="none"/>
          </w:rPr>
          <w:t>https://extranet.who.int/spp/sites/default/files/jeeta/WHO-WHE-CPI-2017.65-eng.pdf</w:t>
        </w:r>
      </w:hyperlink>
      <w:r w:rsidRPr="001362A8">
        <w:rPr>
          <w:rFonts w:ascii="Times New Roman" w:hAnsi="Times New Roman" w:cs="Times New Roman"/>
          <w:color w:val="000000" w:themeColor="text1"/>
          <w:sz w:val="20"/>
          <w:szCs w:val="18"/>
        </w:rPr>
        <w:t>. Accessed 24 March 2018.</w:t>
      </w:r>
    </w:p>
    <w:p w14:paraId="0DF240CE"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12.</w:t>
      </w:r>
      <w:r w:rsidRPr="001362A8">
        <w:rPr>
          <w:rFonts w:ascii="Times New Roman" w:hAnsi="Times New Roman" w:cs="Times New Roman"/>
          <w:color w:val="000000" w:themeColor="text1"/>
          <w:sz w:val="20"/>
          <w:szCs w:val="18"/>
        </w:rPr>
        <w:tab/>
        <w:t>Oh HS, Cheong HW, Yi SE, Kim H, Choe KW, Cho SI. Development and Application of Evaluation Indices for Hospital Infection Surveillance and Control Programs in the Republic of Korea. Infect Control Hosp Epidemiol, 2007; 28:435-445.</w:t>
      </w:r>
    </w:p>
    <w:p w14:paraId="21ACCD98"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lastRenderedPageBreak/>
        <w:t>13.</w:t>
      </w:r>
      <w:r w:rsidRPr="001362A8">
        <w:rPr>
          <w:rFonts w:ascii="Times New Roman" w:hAnsi="Times New Roman" w:cs="Times New Roman"/>
          <w:color w:val="000000" w:themeColor="text1"/>
          <w:sz w:val="20"/>
          <w:szCs w:val="18"/>
        </w:rPr>
        <w:tab/>
        <w:t>Kwak YG, Choi JY, Yoo HM, et al. Validation of the Korean National Healthcare-associated Infections Surveillance System (KONIS): an intensive care unit module report. J Hosp Infect, 2017; 96:377-384.</w:t>
      </w:r>
    </w:p>
    <w:p w14:paraId="7D5800E1"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14.</w:t>
      </w:r>
      <w:r w:rsidRPr="001362A8">
        <w:rPr>
          <w:rFonts w:ascii="Times New Roman" w:hAnsi="Times New Roman" w:cs="Times New Roman"/>
          <w:color w:val="000000" w:themeColor="text1"/>
          <w:sz w:val="20"/>
          <w:szCs w:val="18"/>
        </w:rPr>
        <w:tab/>
        <w:t>Yoon YK, Lee SE, Seo BS et al. Current status of personnel and infrastructure resources for infection prevention and control programs in the Republic of Korea: A national survey. Am J Infect Control, 2016; 44:e189-e193.</w:t>
      </w:r>
    </w:p>
    <w:p w14:paraId="3426AE93"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15.</w:t>
      </w:r>
      <w:r w:rsidRPr="001362A8">
        <w:rPr>
          <w:rFonts w:ascii="Times New Roman" w:hAnsi="Times New Roman" w:cs="Times New Roman"/>
          <w:color w:val="000000" w:themeColor="text1"/>
          <w:sz w:val="20"/>
          <w:szCs w:val="18"/>
        </w:rPr>
        <w:tab/>
        <w:t>Ryu S. The new Korean action plan for containment of antimicrobial resistance. J Glob Antimicrob Resist, 2017; 8:70-73.</w:t>
      </w:r>
    </w:p>
    <w:p w14:paraId="4B041A8A"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16.</w:t>
      </w:r>
      <w:r w:rsidRPr="001362A8">
        <w:rPr>
          <w:rFonts w:ascii="Times New Roman" w:hAnsi="Times New Roman" w:cs="Times New Roman"/>
          <w:color w:val="000000" w:themeColor="text1"/>
          <w:sz w:val="20"/>
          <w:szCs w:val="18"/>
        </w:rPr>
        <w:tab/>
        <w:t>Kim HB. National hand hygiene campaign in Korea-progress and challenges. J Microbiol Immunol Infect, 2015; 48:S11.</w:t>
      </w:r>
    </w:p>
    <w:p w14:paraId="777AF180" w14:textId="7777777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17.</w:t>
      </w:r>
      <w:r w:rsidRPr="001362A8">
        <w:rPr>
          <w:rFonts w:ascii="Times New Roman" w:hAnsi="Times New Roman" w:cs="Times New Roman"/>
          <w:color w:val="000000" w:themeColor="text1"/>
          <w:sz w:val="20"/>
          <w:szCs w:val="18"/>
        </w:rPr>
        <w:tab/>
        <w:t>Oh HS, Chung HW, Kim JS, Cho SI. National survey of the status of infection surveillance and control programs in acute care hospitals with more than 300 beds in the Republic of Korea. Am J Infect Control, 2006; 34:223-233. .</w:t>
      </w:r>
    </w:p>
    <w:p w14:paraId="428FC5BE" w14:textId="0310D3E7" w:rsidR="00F16DC6" w:rsidRPr="001362A8" w:rsidRDefault="00F16DC6" w:rsidP="001A1D4B">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18.</w:t>
      </w:r>
      <w:r w:rsidRPr="001362A8">
        <w:rPr>
          <w:rFonts w:ascii="Times New Roman" w:hAnsi="Times New Roman" w:cs="Times New Roman"/>
          <w:color w:val="000000" w:themeColor="text1"/>
          <w:sz w:val="20"/>
          <w:szCs w:val="18"/>
        </w:rPr>
        <w:tab/>
      </w:r>
      <w:r w:rsidR="000031C0" w:rsidRPr="001362A8">
        <w:rPr>
          <w:rFonts w:ascii="Times New Roman" w:hAnsi="Times New Roman" w:cs="Times New Roman"/>
          <w:color w:val="000000" w:themeColor="text1"/>
          <w:sz w:val="20"/>
          <w:szCs w:val="18"/>
        </w:rPr>
        <w:t>Morikane K. Infection control in healthcare settings in Japan. J Epidemiol, 2012; 22:86-90.</w:t>
      </w:r>
    </w:p>
    <w:p w14:paraId="40ED4B3F" w14:textId="77777777" w:rsidR="00384BB8" w:rsidRPr="001362A8" w:rsidRDefault="00F16DC6" w:rsidP="00FC1F3F">
      <w:pPr>
        <w:pStyle w:val="EndNoteBibliography"/>
        <w:spacing w:after="0" w:line="360" w:lineRule="auto"/>
        <w:ind w:left="720" w:hanging="720"/>
        <w:rPr>
          <w:rFonts w:ascii="Times New Roman" w:hAnsi="Times New Roman" w:cs="Times New Roman"/>
          <w:color w:val="000000" w:themeColor="text1"/>
          <w:sz w:val="20"/>
          <w:szCs w:val="18"/>
        </w:rPr>
      </w:pPr>
      <w:r w:rsidRPr="001362A8">
        <w:rPr>
          <w:rFonts w:ascii="Times New Roman" w:hAnsi="Times New Roman" w:cs="Times New Roman"/>
          <w:color w:val="000000" w:themeColor="text1"/>
          <w:sz w:val="20"/>
          <w:szCs w:val="18"/>
        </w:rPr>
        <w:t>19.</w:t>
      </w:r>
      <w:r w:rsidRPr="001362A8">
        <w:rPr>
          <w:rFonts w:ascii="Times New Roman" w:hAnsi="Times New Roman" w:cs="Times New Roman"/>
          <w:color w:val="000000" w:themeColor="text1"/>
          <w:sz w:val="20"/>
          <w:szCs w:val="18"/>
        </w:rPr>
        <w:tab/>
      </w:r>
      <w:r w:rsidR="000031C0" w:rsidRPr="001362A8">
        <w:rPr>
          <w:rFonts w:ascii="Times New Roman" w:hAnsi="Times New Roman" w:cs="Times New Roman"/>
          <w:color w:val="000000" w:themeColor="text1"/>
          <w:sz w:val="20"/>
          <w:szCs w:val="18"/>
        </w:rPr>
        <w:t>Krein SL, Greene MT, Apisarnthanarak A et al. Infection prevention practices in Japan, Thailand, and the United States: results from national surveys. Clin Infect Dis, 2017; 64(suppl_2):S105-S111</w:t>
      </w:r>
      <w:r w:rsidR="00384BB8" w:rsidRPr="001362A8">
        <w:rPr>
          <w:rFonts w:ascii="Times New Roman" w:hAnsi="Times New Roman" w:cs="Times New Roman"/>
          <w:color w:val="000000" w:themeColor="text1"/>
          <w:sz w:val="20"/>
          <w:szCs w:val="18"/>
        </w:rPr>
        <w:t>.</w:t>
      </w:r>
    </w:p>
    <w:p w14:paraId="42B86479" w14:textId="52564C1F" w:rsidR="00030DD5" w:rsidRPr="001362A8" w:rsidRDefault="00030DD5">
      <w:pPr>
        <w:spacing w:beforeLines="50" w:before="120" w:after="120" w:line="360" w:lineRule="auto"/>
        <w:rPr>
          <w:rFonts w:ascii="Tahoma" w:hAnsi="Tahoma" w:cs="Tahoma"/>
          <w:b/>
          <w:color w:val="000000" w:themeColor="text1"/>
          <w:sz w:val="24"/>
          <w:szCs w:val="24"/>
        </w:rPr>
      </w:pPr>
    </w:p>
    <w:sectPr w:rsidR="00030DD5" w:rsidRPr="001362A8" w:rsidSect="00F0366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3EDB" w14:textId="77777777" w:rsidR="007F425E" w:rsidRDefault="007F425E" w:rsidP="00256B24">
      <w:pPr>
        <w:spacing w:after="0" w:line="240" w:lineRule="auto"/>
      </w:pPr>
      <w:r>
        <w:separator/>
      </w:r>
    </w:p>
  </w:endnote>
  <w:endnote w:type="continuationSeparator" w:id="0">
    <w:p w14:paraId="5D346A33" w14:textId="77777777" w:rsidR="007F425E" w:rsidRDefault="007F425E" w:rsidP="0025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dvTrebu-B">
    <w:altName w:val="Times New Roman"/>
    <w:panose1 w:val="00000000000000000000"/>
    <w:charset w:val="00"/>
    <w:family w:val="roman"/>
    <w:notTrueType/>
    <w:pitch w:val="default"/>
  </w:font>
  <w:font w:name="AdvTrebu-R">
    <w:altName w:val="Arial"/>
    <w:panose1 w:val="00000000000000000000"/>
    <w:charset w:val="00"/>
    <w:family w:val="roman"/>
    <w:notTrueType/>
    <w:pitch w:val="default"/>
  </w:font>
  <w:font w:name="AdvTrebu-I">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19946"/>
      <w:docPartObj>
        <w:docPartGallery w:val="Page Numbers (Bottom of Page)"/>
        <w:docPartUnique/>
      </w:docPartObj>
    </w:sdtPr>
    <w:sdtEndPr/>
    <w:sdtContent>
      <w:p w14:paraId="203BEF81" w14:textId="5B7811D6" w:rsidR="006570B8" w:rsidRDefault="006570B8">
        <w:pPr>
          <w:pStyle w:val="Footer"/>
          <w:jc w:val="center"/>
        </w:pPr>
        <w:r>
          <w:fldChar w:fldCharType="begin"/>
        </w:r>
        <w:r>
          <w:instrText>PAGE   \* MERGEFORMAT</w:instrText>
        </w:r>
        <w:r>
          <w:fldChar w:fldCharType="separate"/>
        </w:r>
        <w:r w:rsidR="00A0509E" w:rsidRPr="00A0509E">
          <w:rPr>
            <w:noProof/>
            <w:lang w:val="zh-TW"/>
          </w:rPr>
          <w:t>1</w:t>
        </w:r>
        <w:r>
          <w:fldChar w:fldCharType="end"/>
        </w:r>
      </w:p>
    </w:sdtContent>
  </w:sdt>
  <w:p w14:paraId="6696B5B2" w14:textId="77777777" w:rsidR="006570B8" w:rsidRDefault="00657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7C53" w14:textId="77777777" w:rsidR="007F425E" w:rsidRDefault="007F425E" w:rsidP="00256B24">
      <w:pPr>
        <w:spacing w:after="0" w:line="240" w:lineRule="auto"/>
      </w:pPr>
      <w:r>
        <w:separator/>
      </w:r>
    </w:p>
  </w:footnote>
  <w:footnote w:type="continuationSeparator" w:id="0">
    <w:p w14:paraId="46C7955E" w14:textId="77777777" w:rsidR="007F425E" w:rsidRDefault="007F425E" w:rsidP="0025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DCB"/>
    <w:multiLevelType w:val="hybridMultilevel"/>
    <w:tmpl w:val="10C4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079D"/>
    <w:multiLevelType w:val="hybridMultilevel"/>
    <w:tmpl w:val="07FA5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5A8"/>
    <w:multiLevelType w:val="hybridMultilevel"/>
    <w:tmpl w:val="FCDE76B2"/>
    <w:lvl w:ilvl="0" w:tplc="F68611A4">
      <w:start w:val="1"/>
      <w:numFmt w:val="bullet"/>
      <w:lvlText w:val="•"/>
      <w:lvlJc w:val="left"/>
      <w:pPr>
        <w:tabs>
          <w:tab w:val="num" w:pos="720"/>
        </w:tabs>
        <w:ind w:left="720" w:hanging="360"/>
      </w:pPr>
      <w:rPr>
        <w:rFonts w:ascii="Arial" w:hAnsi="Arial" w:hint="default"/>
      </w:rPr>
    </w:lvl>
    <w:lvl w:ilvl="1" w:tplc="3E0A67B8" w:tentative="1">
      <w:start w:val="1"/>
      <w:numFmt w:val="bullet"/>
      <w:lvlText w:val="•"/>
      <w:lvlJc w:val="left"/>
      <w:pPr>
        <w:tabs>
          <w:tab w:val="num" w:pos="1440"/>
        </w:tabs>
        <w:ind w:left="1440" w:hanging="360"/>
      </w:pPr>
      <w:rPr>
        <w:rFonts w:ascii="Arial" w:hAnsi="Arial" w:hint="default"/>
      </w:rPr>
    </w:lvl>
    <w:lvl w:ilvl="2" w:tplc="9DF8DC32" w:tentative="1">
      <w:start w:val="1"/>
      <w:numFmt w:val="bullet"/>
      <w:lvlText w:val="•"/>
      <w:lvlJc w:val="left"/>
      <w:pPr>
        <w:tabs>
          <w:tab w:val="num" w:pos="2160"/>
        </w:tabs>
        <w:ind w:left="2160" w:hanging="360"/>
      </w:pPr>
      <w:rPr>
        <w:rFonts w:ascii="Arial" w:hAnsi="Arial" w:hint="default"/>
      </w:rPr>
    </w:lvl>
    <w:lvl w:ilvl="3" w:tplc="037E36E6" w:tentative="1">
      <w:start w:val="1"/>
      <w:numFmt w:val="bullet"/>
      <w:lvlText w:val="•"/>
      <w:lvlJc w:val="left"/>
      <w:pPr>
        <w:tabs>
          <w:tab w:val="num" w:pos="2880"/>
        </w:tabs>
        <w:ind w:left="2880" w:hanging="360"/>
      </w:pPr>
      <w:rPr>
        <w:rFonts w:ascii="Arial" w:hAnsi="Arial" w:hint="default"/>
      </w:rPr>
    </w:lvl>
    <w:lvl w:ilvl="4" w:tplc="9D706200" w:tentative="1">
      <w:start w:val="1"/>
      <w:numFmt w:val="bullet"/>
      <w:lvlText w:val="•"/>
      <w:lvlJc w:val="left"/>
      <w:pPr>
        <w:tabs>
          <w:tab w:val="num" w:pos="3600"/>
        </w:tabs>
        <w:ind w:left="3600" w:hanging="360"/>
      </w:pPr>
      <w:rPr>
        <w:rFonts w:ascii="Arial" w:hAnsi="Arial" w:hint="default"/>
      </w:rPr>
    </w:lvl>
    <w:lvl w:ilvl="5" w:tplc="FC8A038C" w:tentative="1">
      <w:start w:val="1"/>
      <w:numFmt w:val="bullet"/>
      <w:lvlText w:val="•"/>
      <w:lvlJc w:val="left"/>
      <w:pPr>
        <w:tabs>
          <w:tab w:val="num" w:pos="4320"/>
        </w:tabs>
        <w:ind w:left="4320" w:hanging="360"/>
      </w:pPr>
      <w:rPr>
        <w:rFonts w:ascii="Arial" w:hAnsi="Arial" w:hint="default"/>
      </w:rPr>
    </w:lvl>
    <w:lvl w:ilvl="6" w:tplc="61DCA77A" w:tentative="1">
      <w:start w:val="1"/>
      <w:numFmt w:val="bullet"/>
      <w:lvlText w:val="•"/>
      <w:lvlJc w:val="left"/>
      <w:pPr>
        <w:tabs>
          <w:tab w:val="num" w:pos="5040"/>
        </w:tabs>
        <w:ind w:left="5040" w:hanging="360"/>
      </w:pPr>
      <w:rPr>
        <w:rFonts w:ascii="Arial" w:hAnsi="Arial" w:hint="default"/>
      </w:rPr>
    </w:lvl>
    <w:lvl w:ilvl="7" w:tplc="A282CCB0" w:tentative="1">
      <w:start w:val="1"/>
      <w:numFmt w:val="bullet"/>
      <w:lvlText w:val="•"/>
      <w:lvlJc w:val="left"/>
      <w:pPr>
        <w:tabs>
          <w:tab w:val="num" w:pos="5760"/>
        </w:tabs>
        <w:ind w:left="5760" w:hanging="360"/>
      </w:pPr>
      <w:rPr>
        <w:rFonts w:ascii="Arial" w:hAnsi="Arial" w:hint="default"/>
      </w:rPr>
    </w:lvl>
    <w:lvl w:ilvl="8" w:tplc="1702EA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DF17CB"/>
    <w:multiLevelType w:val="hybridMultilevel"/>
    <w:tmpl w:val="0E96DAC6"/>
    <w:lvl w:ilvl="0" w:tplc="5D48ED3E">
      <w:start w:val="1"/>
      <w:numFmt w:val="bullet"/>
      <w:lvlText w:val="•"/>
      <w:lvlJc w:val="left"/>
      <w:pPr>
        <w:tabs>
          <w:tab w:val="num" w:pos="720"/>
        </w:tabs>
        <w:ind w:left="720" w:hanging="360"/>
      </w:pPr>
      <w:rPr>
        <w:rFonts w:ascii="Arial" w:hAnsi="Arial" w:hint="default"/>
      </w:rPr>
    </w:lvl>
    <w:lvl w:ilvl="1" w:tplc="F93AAB04" w:tentative="1">
      <w:start w:val="1"/>
      <w:numFmt w:val="bullet"/>
      <w:lvlText w:val="•"/>
      <w:lvlJc w:val="left"/>
      <w:pPr>
        <w:tabs>
          <w:tab w:val="num" w:pos="1440"/>
        </w:tabs>
        <w:ind w:left="1440" w:hanging="360"/>
      </w:pPr>
      <w:rPr>
        <w:rFonts w:ascii="Arial" w:hAnsi="Arial" w:hint="default"/>
      </w:rPr>
    </w:lvl>
    <w:lvl w:ilvl="2" w:tplc="3834B5F0" w:tentative="1">
      <w:start w:val="1"/>
      <w:numFmt w:val="bullet"/>
      <w:lvlText w:val="•"/>
      <w:lvlJc w:val="left"/>
      <w:pPr>
        <w:tabs>
          <w:tab w:val="num" w:pos="2160"/>
        </w:tabs>
        <w:ind w:left="2160" w:hanging="360"/>
      </w:pPr>
      <w:rPr>
        <w:rFonts w:ascii="Arial" w:hAnsi="Arial" w:hint="default"/>
      </w:rPr>
    </w:lvl>
    <w:lvl w:ilvl="3" w:tplc="3FECAF3A" w:tentative="1">
      <w:start w:val="1"/>
      <w:numFmt w:val="bullet"/>
      <w:lvlText w:val="•"/>
      <w:lvlJc w:val="left"/>
      <w:pPr>
        <w:tabs>
          <w:tab w:val="num" w:pos="2880"/>
        </w:tabs>
        <w:ind w:left="2880" w:hanging="360"/>
      </w:pPr>
      <w:rPr>
        <w:rFonts w:ascii="Arial" w:hAnsi="Arial" w:hint="default"/>
      </w:rPr>
    </w:lvl>
    <w:lvl w:ilvl="4" w:tplc="FA38D5C8" w:tentative="1">
      <w:start w:val="1"/>
      <w:numFmt w:val="bullet"/>
      <w:lvlText w:val="•"/>
      <w:lvlJc w:val="left"/>
      <w:pPr>
        <w:tabs>
          <w:tab w:val="num" w:pos="3600"/>
        </w:tabs>
        <w:ind w:left="3600" w:hanging="360"/>
      </w:pPr>
      <w:rPr>
        <w:rFonts w:ascii="Arial" w:hAnsi="Arial" w:hint="default"/>
      </w:rPr>
    </w:lvl>
    <w:lvl w:ilvl="5" w:tplc="EA4630D6" w:tentative="1">
      <w:start w:val="1"/>
      <w:numFmt w:val="bullet"/>
      <w:lvlText w:val="•"/>
      <w:lvlJc w:val="left"/>
      <w:pPr>
        <w:tabs>
          <w:tab w:val="num" w:pos="4320"/>
        </w:tabs>
        <w:ind w:left="4320" w:hanging="360"/>
      </w:pPr>
      <w:rPr>
        <w:rFonts w:ascii="Arial" w:hAnsi="Arial" w:hint="default"/>
      </w:rPr>
    </w:lvl>
    <w:lvl w:ilvl="6" w:tplc="014E6FAA" w:tentative="1">
      <w:start w:val="1"/>
      <w:numFmt w:val="bullet"/>
      <w:lvlText w:val="•"/>
      <w:lvlJc w:val="left"/>
      <w:pPr>
        <w:tabs>
          <w:tab w:val="num" w:pos="5040"/>
        </w:tabs>
        <w:ind w:left="5040" w:hanging="360"/>
      </w:pPr>
      <w:rPr>
        <w:rFonts w:ascii="Arial" w:hAnsi="Arial" w:hint="default"/>
      </w:rPr>
    </w:lvl>
    <w:lvl w:ilvl="7" w:tplc="2FA8B8EA" w:tentative="1">
      <w:start w:val="1"/>
      <w:numFmt w:val="bullet"/>
      <w:lvlText w:val="•"/>
      <w:lvlJc w:val="left"/>
      <w:pPr>
        <w:tabs>
          <w:tab w:val="num" w:pos="5760"/>
        </w:tabs>
        <w:ind w:left="5760" w:hanging="360"/>
      </w:pPr>
      <w:rPr>
        <w:rFonts w:ascii="Arial" w:hAnsi="Arial" w:hint="default"/>
      </w:rPr>
    </w:lvl>
    <w:lvl w:ilvl="8" w:tplc="95E02C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06B25"/>
    <w:multiLevelType w:val="hybridMultilevel"/>
    <w:tmpl w:val="74B0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86D1F"/>
    <w:multiLevelType w:val="hybridMultilevel"/>
    <w:tmpl w:val="0CEAB188"/>
    <w:lvl w:ilvl="0" w:tplc="EC94A6D8">
      <w:start w:val="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C03EBD"/>
    <w:multiLevelType w:val="hybridMultilevel"/>
    <w:tmpl w:val="38206BAA"/>
    <w:lvl w:ilvl="0" w:tplc="D6062720">
      <w:start w:val="1"/>
      <w:numFmt w:val="bullet"/>
      <w:lvlText w:val="•"/>
      <w:lvlJc w:val="left"/>
      <w:pPr>
        <w:tabs>
          <w:tab w:val="num" w:pos="720"/>
        </w:tabs>
        <w:ind w:left="720" w:hanging="360"/>
      </w:pPr>
      <w:rPr>
        <w:rFonts w:ascii="Arial" w:hAnsi="Arial" w:hint="default"/>
      </w:rPr>
    </w:lvl>
    <w:lvl w:ilvl="1" w:tplc="698CA128" w:tentative="1">
      <w:start w:val="1"/>
      <w:numFmt w:val="bullet"/>
      <w:lvlText w:val="•"/>
      <w:lvlJc w:val="left"/>
      <w:pPr>
        <w:tabs>
          <w:tab w:val="num" w:pos="1440"/>
        </w:tabs>
        <w:ind w:left="1440" w:hanging="360"/>
      </w:pPr>
      <w:rPr>
        <w:rFonts w:ascii="Arial" w:hAnsi="Arial" w:hint="default"/>
      </w:rPr>
    </w:lvl>
    <w:lvl w:ilvl="2" w:tplc="285EF002" w:tentative="1">
      <w:start w:val="1"/>
      <w:numFmt w:val="bullet"/>
      <w:lvlText w:val="•"/>
      <w:lvlJc w:val="left"/>
      <w:pPr>
        <w:tabs>
          <w:tab w:val="num" w:pos="2160"/>
        </w:tabs>
        <w:ind w:left="2160" w:hanging="360"/>
      </w:pPr>
      <w:rPr>
        <w:rFonts w:ascii="Arial" w:hAnsi="Arial" w:hint="default"/>
      </w:rPr>
    </w:lvl>
    <w:lvl w:ilvl="3" w:tplc="2AA08BAA" w:tentative="1">
      <w:start w:val="1"/>
      <w:numFmt w:val="bullet"/>
      <w:lvlText w:val="•"/>
      <w:lvlJc w:val="left"/>
      <w:pPr>
        <w:tabs>
          <w:tab w:val="num" w:pos="2880"/>
        </w:tabs>
        <w:ind w:left="2880" w:hanging="360"/>
      </w:pPr>
      <w:rPr>
        <w:rFonts w:ascii="Arial" w:hAnsi="Arial" w:hint="default"/>
      </w:rPr>
    </w:lvl>
    <w:lvl w:ilvl="4" w:tplc="5F16602A" w:tentative="1">
      <w:start w:val="1"/>
      <w:numFmt w:val="bullet"/>
      <w:lvlText w:val="•"/>
      <w:lvlJc w:val="left"/>
      <w:pPr>
        <w:tabs>
          <w:tab w:val="num" w:pos="3600"/>
        </w:tabs>
        <w:ind w:left="3600" w:hanging="360"/>
      </w:pPr>
      <w:rPr>
        <w:rFonts w:ascii="Arial" w:hAnsi="Arial" w:hint="default"/>
      </w:rPr>
    </w:lvl>
    <w:lvl w:ilvl="5" w:tplc="B748C82A" w:tentative="1">
      <w:start w:val="1"/>
      <w:numFmt w:val="bullet"/>
      <w:lvlText w:val="•"/>
      <w:lvlJc w:val="left"/>
      <w:pPr>
        <w:tabs>
          <w:tab w:val="num" w:pos="4320"/>
        </w:tabs>
        <w:ind w:left="4320" w:hanging="360"/>
      </w:pPr>
      <w:rPr>
        <w:rFonts w:ascii="Arial" w:hAnsi="Arial" w:hint="default"/>
      </w:rPr>
    </w:lvl>
    <w:lvl w:ilvl="6" w:tplc="8A1E0FA4" w:tentative="1">
      <w:start w:val="1"/>
      <w:numFmt w:val="bullet"/>
      <w:lvlText w:val="•"/>
      <w:lvlJc w:val="left"/>
      <w:pPr>
        <w:tabs>
          <w:tab w:val="num" w:pos="5040"/>
        </w:tabs>
        <w:ind w:left="5040" w:hanging="360"/>
      </w:pPr>
      <w:rPr>
        <w:rFonts w:ascii="Arial" w:hAnsi="Arial" w:hint="default"/>
      </w:rPr>
    </w:lvl>
    <w:lvl w:ilvl="7" w:tplc="63EE2556" w:tentative="1">
      <w:start w:val="1"/>
      <w:numFmt w:val="bullet"/>
      <w:lvlText w:val="•"/>
      <w:lvlJc w:val="left"/>
      <w:pPr>
        <w:tabs>
          <w:tab w:val="num" w:pos="5760"/>
        </w:tabs>
        <w:ind w:left="5760" w:hanging="360"/>
      </w:pPr>
      <w:rPr>
        <w:rFonts w:ascii="Arial" w:hAnsi="Arial" w:hint="default"/>
      </w:rPr>
    </w:lvl>
    <w:lvl w:ilvl="8" w:tplc="CA9C62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017B4C"/>
    <w:multiLevelType w:val="hybridMultilevel"/>
    <w:tmpl w:val="EC6EB992"/>
    <w:lvl w:ilvl="0" w:tplc="F76C94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DF5808"/>
    <w:multiLevelType w:val="hybridMultilevel"/>
    <w:tmpl w:val="926E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039D0"/>
    <w:multiLevelType w:val="hybridMultilevel"/>
    <w:tmpl w:val="39F24EDE"/>
    <w:lvl w:ilvl="0" w:tplc="1F1A6F38">
      <w:start w:val="1"/>
      <w:numFmt w:val="bullet"/>
      <w:lvlText w:val="•"/>
      <w:lvlJc w:val="left"/>
      <w:pPr>
        <w:tabs>
          <w:tab w:val="num" w:pos="720"/>
        </w:tabs>
        <w:ind w:left="720" w:hanging="360"/>
      </w:pPr>
      <w:rPr>
        <w:rFonts w:ascii="Arial" w:hAnsi="Arial" w:hint="default"/>
      </w:rPr>
    </w:lvl>
    <w:lvl w:ilvl="1" w:tplc="4246CE8E" w:tentative="1">
      <w:start w:val="1"/>
      <w:numFmt w:val="bullet"/>
      <w:lvlText w:val="•"/>
      <w:lvlJc w:val="left"/>
      <w:pPr>
        <w:tabs>
          <w:tab w:val="num" w:pos="1440"/>
        </w:tabs>
        <w:ind w:left="1440" w:hanging="360"/>
      </w:pPr>
      <w:rPr>
        <w:rFonts w:ascii="Arial" w:hAnsi="Arial" w:hint="default"/>
      </w:rPr>
    </w:lvl>
    <w:lvl w:ilvl="2" w:tplc="D152F37A" w:tentative="1">
      <w:start w:val="1"/>
      <w:numFmt w:val="bullet"/>
      <w:lvlText w:val="•"/>
      <w:lvlJc w:val="left"/>
      <w:pPr>
        <w:tabs>
          <w:tab w:val="num" w:pos="2160"/>
        </w:tabs>
        <w:ind w:left="2160" w:hanging="360"/>
      </w:pPr>
      <w:rPr>
        <w:rFonts w:ascii="Arial" w:hAnsi="Arial" w:hint="default"/>
      </w:rPr>
    </w:lvl>
    <w:lvl w:ilvl="3" w:tplc="23C0C786" w:tentative="1">
      <w:start w:val="1"/>
      <w:numFmt w:val="bullet"/>
      <w:lvlText w:val="•"/>
      <w:lvlJc w:val="left"/>
      <w:pPr>
        <w:tabs>
          <w:tab w:val="num" w:pos="2880"/>
        </w:tabs>
        <w:ind w:left="2880" w:hanging="360"/>
      </w:pPr>
      <w:rPr>
        <w:rFonts w:ascii="Arial" w:hAnsi="Arial" w:hint="default"/>
      </w:rPr>
    </w:lvl>
    <w:lvl w:ilvl="4" w:tplc="10FABEBA" w:tentative="1">
      <w:start w:val="1"/>
      <w:numFmt w:val="bullet"/>
      <w:lvlText w:val="•"/>
      <w:lvlJc w:val="left"/>
      <w:pPr>
        <w:tabs>
          <w:tab w:val="num" w:pos="3600"/>
        </w:tabs>
        <w:ind w:left="3600" w:hanging="360"/>
      </w:pPr>
      <w:rPr>
        <w:rFonts w:ascii="Arial" w:hAnsi="Arial" w:hint="default"/>
      </w:rPr>
    </w:lvl>
    <w:lvl w:ilvl="5" w:tplc="919C75BA" w:tentative="1">
      <w:start w:val="1"/>
      <w:numFmt w:val="bullet"/>
      <w:lvlText w:val="•"/>
      <w:lvlJc w:val="left"/>
      <w:pPr>
        <w:tabs>
          <w:tab w:val="num" w:pos="4320"/>
        </w:tabs>
        <w:ind w:left="4320" w:hanging="360"/>
      </w:pPr>
      <w:rPr>
        <w:rFonts w:ascii="Arial" w:hAnsi="Arial" w:hint="default"/>
      </w:rPr>
    </w:lvl>
    <w:lvl w:ilvl="6" w:tplc="F5B47A36" w:tentative="1">
      <w:start w:val="1"/>
      <w:numFmt w:val="bullet"/>
      <w:lvlText w:val="•"/>
      <w:lvlJc w:val="left"/>
      <w:pPr>
        <w:tabs>
          <w:tab w:val="num" w:pos="5040"/>
        </w:tabs>
        <w:ind w:left="5040" w:hanging="360"/>
      </w:pPr>
      <w:rPr>
        <w:rFonts w:ascii="Arial" w:hAnsi="Arial" w:hint="default"/>
      </w:rPr>
    </w:lvl>
    <w:lvl w:ilvl="7" w:tplc="F1FCFB4E" w:tentative="1">
      <w:start w:val="1"/>
      <w:numFmt w:val="bullet"/>
      <w:lvlText w:val="•"/>
      <w:lvlJc w:val="left"/>
      <w:pPr>
        <w:tabs>
          <w:tab w:val="num" w:pos="5760"/>
        </w:tabs>
        <w:ind w:left="5760" w:hanging="360"/>
      </w:pPr>
      <w:rPr>
        <w:rFonts w:ascii="Arial" w:hAnsi="Arial" w:hint="default"/>
      </w:rPr>
    </w:lvl>
    <w:lvl w:ilvl="8" w:tplc="62C217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86701A"/>
    <w:multiLevelType w:val="hybridMultilevel"/>
    <w:tmpl w:val="B8E82FD8"/>
    <w:lvl w:ilvl="0" w:tplc="F76C94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010DAE"/>
    <w:multiLevelType w:val="hybridMultilevel"/>
    <w:tmpl w:val="0B6A4FB0"/>
    <w:lvl w:ilvl="0" w:tplc="B9C2CDA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61F92"/>
    <w:multiLevelType w:val="hybridMultilevel"/>
    <w:tmpl w:val="B8E82FD8"/>
    <w:lvl w:ilvl="0" w:tplc="F76C94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AF1275"/>
    <w:multiLevelType w:val="hybridMultilevel"/>
    <w:tmpl w:val="D9541734"/>
    <w:lvl w:ilvl="0" w:tplc="60D06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0"/>
  </w:num>
  <w:num w:numId="4">
    <w:abstractNumId w:val="12"/>
  </w:num>
  <w:num w:numId="5">
    <w:abstractNumId w:val="5"/>
  </w:num>
  <w:num w:numId="6">
    <w:abstractNumId w:val="4"/>
  </w:num>
  <w:num w:numId="7">
    <w:abstractNumId w:val="3"/>
  </w:num>
  <w:num w:numId="8">
    <w:abstractNumId w:val="6"/>
  </w:num>
  <w:num w:numId="9">
    <w:abstractNumId w:val="2"/>
  </w:num>
  <w:num w:numId="10">
    <w:abstractNumId w:val="9"/>
  </w:num>
  <w:num w:numId="11">
    <w:abstractNumId w:val="0"/>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wpdw50fw9pfdepetsv0fej2pvv2fspdsaf&quot;&gt;HAI&lt;record-ids&gt;&lt;item&gt;11&lt;/item&gt;&lt;item&gt;25&lt;/item&gt;&lt;item&gt;41&lt;/item&gt;&lt;item&gt;42&lt;/item&gt;&lt;item&gt;94&lt;/item&gt;&lt;item&gt;95&lt;/item&gt;&lt;item&gt;96&lt;/item&gt;&lt;item&gt;120&lt;/item&gt;&lt;item&gt;121&lt;/item&gt;&lt;item&gt;122&lt;/item&gt;&lt;item&gt;132&lt;/item&gt;&lt;item&gt;133&lt;/item&gt;&lt;item&gt;134&lt;/item&gt;&lt;item&gt;135&lt;/item&gt;&lt;item&gt;136&lt;/item&gt;&lt;item&gt;137&lt;/item&gt;&lt;item&gt;138&lt;/item&gt;&lt;item&gt;139&lt;/item&gt;&lt;/record-ids&gt;&lt;/item&gt;&lt;/Libraries&gt;"/>
    <w:docVar w:name="Total_Editing_Time" w:val="2"/>
  </w:docVars>
  <w:rsids>
    <w:rsidRoot w:val="00481DCB"/>
    <w:rsid w:val="00001F64"/>
    <w:rsid w:val="000031C0"/>
    <w:rsid w:val="0000626C"/>
    <w:rsid w:val="00010F07"/>
    <w:rsid w:val="000123DE"/>
    <w:rsid w:val="00012D8B"/>
    <w:rsid w:val="00021F3F"/>
    <w:rsid w:val="00023016"/>
    <w:rsid w:val="000253B7"/>
    <w:rsid w:val="00025723"/>
    <w:rsid w:val="00026981"/>
    <w:rsid w:val="00026EC5"/>
    <w:rsid w:val="000303D6"/>
    <w:rsid w:val="00030DD5"/>
    <w:rsid w:val="00032A0C"/>
    <w:rsid w:val="00033DFE"/>
    <w:rsid w:val="00034343"/>
    <w:rsid w:val="00036A42"/>
    <w:rsid w:val="0004059C"/>
    <w:rsid w:val="000421D1"/>
    <w:rsid w:val="00042ADD"/>
    <w:rsid w:val="00045B11"/>
    <w:rsid w:val="00045BF2"/>
    <w:rsid w:val="00050324"/>
    <w:rsid w:val="00050583"/>
    <w:rsid w:val="00051187"/>
    <w:rsid w:val="0005340C"/>
    <w:rsid w:val="00055356"/>
    <w:rsid w:val="0006050D"/>
    <w:rsid w:val="00061365"/>
    <w:rsid w:val="00062AF7"/>
    <w:rsid w:val="00063E56"/>
    <w:rsid w:val="000647BA"/>
    <w:rsid w:val="00065460"/>
    <w:rsid w:val="00066583"/>
    <w:rsid w:val="00071B2C"/>
    <w:rsid w:val="000727B3"/>
    <w:rsid w:val="00073455"/>
    <w:rsid w:val="0007485B"/>
    <w:rsid w:val="00074C3A"/>
    <w:rsid w:val="000834A2"/>
    <w:rsid w:val="00084BD2"/>
    <w:rsid w:val="00086BD8"/>
    <w:rsid w:val="000876A4"/>
    <w:rsid w:val="00090255"/>
    <w:rsid w:val="000916BF"/>
    <w:rsid w:val="00093D78"/>
    <w:rsid w:val="00094E18"/>
    <w:rsid w:val="0009675E"/>
    <w:rsid w:val="00097062"/>
    <w:rsid w:val="000A1443"/>
    <w:rsid w:val="000A2C6B"/>
    <w:rsid w:val="000A4190"/>
    <w:rsid w:val="000A4988"/>
    <w:rsid w:val="000A5937"/>
    <w:rsid w:val="000A6E0A"/>
    <w:rsid w:val="000A772E"/>
    <w:rsid w:val="000B0C66"/>
    <w:rsid w:val="000B18EB"/>
    <w:rsid w:val="000B1C69"/>
    <w:rsid w:val="000B2633"/>
    <w:rsid w:val="000B2734"/>
    <w:rsid w:val="000B3BDA"/>
    <w:rsid w:val="000B3F72"/>
    <w:rsid w:val="000B44E2"/>
    <w:rsid w:val="000B557F"/>
    <w:rsid w:val="000B6096"/>
    <w:rsid w:val="000B6279"/>
    <w:rsid w:val="000C0025"/>
    <w:rsid w:val="000C01F8"/>
    <w:rsid w:val="000C1D88"/>
    <w:rsid w:val="000C30A8"/>
    <w:rsid w:val="000C45CC"/>
    <w:rsid w:val="000C5BEF"/>
    <w:rsid w:val="000C680D"/>
    <w:rsid w:val="000C71B8"/>
    <w:rsid w:val="000C7532"/>
    <w:rsid w:val="000C79E5"/>
    <w:rsid w:val="000C7BE2"/>
    <w:rsid w:val="000D2037"/>
    <w:rsid w:val="000D4067"/>
    <w:rsid w:val="000D42ED"/>
    <w:rsid w:val="000D5931"/>
    <w:rsid w:val="000D5B4E"/>
    <w:rsid w:val="000D6246"/>
    <w:rsid w:val="000E00A7"/>
    <w:rsid w:val="000E00BE"/>
    <w:rsid w:val="000E0648"/>
    <w:rsid w:val="000E0748"/>
    <w:rsid w:val="000E2DAC"/>
    <w:rsid w:val="000E31CD"/>
    <w:rsid w:val="000E3AEC"/>
    <w:rsid w:val="000E4568"/>
    <w:rsid w:val="000E588F"/>
    <w:rsid w:val="000E695F"/>
    <w:rsid w:val="000E69E7"/>
    <w:rsid w:val="000E7755"/>
    <w:rsid w:val="000E7EFC"/>
    <w:rsid w:val="000F068D"/>
    <w:rsid w:val="000F0926"/>
    <w:rsid w:val="000F10E2"/>
    <w:rsid w:val="000F2D6F"/>
    <w:rsid w:val="000F3379"/>
    <w:rsid w:val="000F3892"/>
    <w:rsid w:val="000F3EE0"/>
    <w:rsid w:val="000F4452"/>
    <w:rsid w:val="000F5E40"/>
    <w:rsid w:val="0010064A"/>
    <w:rsid w:val="00100750"/>
    <w:rsid w:val="00107365"/>
    <w:rsid w:val="00110C21"/>
    <w:rsid w:val="001119F1"/>
    <w:rsid w:val="00111CF6"/>
    <w:rsid w:val="00114606"/>
    <w:rsid w:val="0011589B"/>
    <w:rsid w:val="00116F4A"/>
    <w:rsid w:val="00117886"/>
    <w:rsid w:val="00117CDF"/>
    <w:rsid w:val="00117D42"/>
    <w:rsid w:val="001204E0"/>
    <w:rsid w:val="001224BE"/>
    <w:rsid w:val="001233A2"/>
    <w:rsid w:val="0012590E"/>
    <w:rsid w:val="00125FED"/>
    <w:rsid w:val="001274F3"/>
    <w:rsid w:val="00127F08"/>
    <w:rsid w:val="0013561E"/>
    <w:rsid w:val="001362A8"/>
    <w:rsid w:val="001374DF"/>
    <w:rsid w:val="00140C69"/>
    <w:rsid w:val="0014380F"/>
    <w:rsid w:val="00150E56"/>
    <w:rsid w:val="00151641"/>
    <w:rsid w:val="00152BC3"/>
    <w:rsid w:val="00156A19"/>
    <w:rsid w:val="00156E80"/>
    <w:rsid w:val="00160FBC"/>
    <w:rsid w:val="001623C5"/>
    <w:rsid w:val="00162569"/>
    <w:rsid w:val="00163B2F"/>
    <w:rsid w:val="00163FEC"/>
    <w:rsid w:val="00164ACC"/>
    <w:rsid w:val="001659D3"/>
    <w:rsid w:val="00165C0F"/>
    <w:rsid w:val="00166FD8"/>
    <w:rsid w:val="001705B3"/>
    <w:rsid w:val="001708E8"/>
    <w:rsid w:val="00170E7F"/>
    <w:rsid w:val="001746B9"/>
    <w:rsid w:val="00174B38"/>
    <w:rsid w:val="0018028F"/>
    <w:rsid w:val="00180902"/>
    <w:rsid w:val="00182079"/>
    <w:rsid w:val="0018225D"/>
    <w:rsid w:val="00182C84"/>
    <w:rsid w:val="00183A6A"/>
    <w:rsid w:val="00185B16"/>
    <w:rsid w:val="001864C5"/>
    <w:rsid w:val="00191253"/>
    <w:rsid w:val="001946F0"/>
    <w:rsid w:val="001951D7"/>
    <w:rsid w:val="001975C4"/>
    <w:rsid w:val="001A0EBA"/>
    <w:rsid w:val="001A12AA"/>
    <w:rsid w:val="001A1A4B"/>
    <w:rsid w:val="001A1D4B"/>
    <w:rsid w:val="001B11C3"/>
    <w:rsid w:val="001B14C9"/>
    <w:rsid w:val="001B6054"/>
    <w:rsid w:val="001C0E4E"/>
    <w:rsid w:val="001C1603"/>
    <w:rsid w:val="001C1EB3"/>
    <w:rsid w:val="001C74CE"/>
    <w:rsid w:val="001D2F2F"/>
    <w:rsid w:val="001D61F1"/>
    <w:rsid w:val="001D6664"/>
    <w:rsid w:val="001D6FC0"/>
    <w:rsid w:val="001E0203"/>
    <w:rsid w:val="001E0FC8"/>
    <w:rsid w:val="001E149E"/>
    <w:rsid w:val="001E24C2"/>
    <w:rsid w:val="001E2C57"/>
    <w:rsid w:val="001E3291"/>
    <w:rsid w:val="001E52A1"/>
    <w:rsid w:val="001E5E88"/>
    <w:rsid w:val="001E62F4"/>
    <w:rsid w:val="001E73B3"/>
    <w:rsid w:val="001F1740"/>
    <w:rsid w:val="001F398D"/>
    <w:rsid w:val="001F4DFA"/>
    <w:rsid w:val="001F7A95"/>
    <w:rsid w:val="001F7C98"/>
    <w:rsid w:val="00202711"/>
    <w:rsid w:val="0020402A"/>
    <w:rsid w:val="00204CB0"/>
    <w:rsid w:val="00205AAD"/>
    <w:rsid w:val="00206D58"/>
    <w:rsid w:val="00206E57"/>
    <w:rsid w:val="00207CC9"/>
    <w:rsid w:val="00210067"/>
    <w:rsid w:val="0021078F"/>
    <w:rsid w:val="00212891"/>
    <w:rsid w:val="002133CC"/>
    <w:rsid w:val="00215927"/>
    <w:rsid w:val="00216B45"/>
    <w:rsid w:val="00216BF2"/>
    <w:rsid w:val="00220B70"/>
    <w:rsid w:val="00221B2D"/>
    <w:rsid w:val="00223D13"/>
    <w:rsid w:val="00226F1A"/>
    <w:rsid w:val="0023090F"/>
    <w:rsid w:val="00230C3A"/>
    <w:rsid w:val="00232A76"/>
    <w:rsid w:val="002349C4"/>
    <w:rsid w:val="00234B8F"/>
    <w:rsid w:val="00234DD2"/>
    <w:rsid w:val="00237068"/>
    <w:rsid w:val="00237BCE"/>
    <w:rsid w:val="00242289"/>
    <w:rsid w:val="0024480C"/>
    <w:rsid w:val="00244AF8"/>
    <w:rsid w:val="00245123"/>
    <w:rsid w:val="00247115"/>
    <w:rsid w:val="00247CA6"/>
    <w:rsid w:val="002549D0"/>
    <w:rsid w:val="00254BBD"/>
    <w:rsid w:val="00256B24"/>
    <w:rsid w:val="00257D38"/>
    <w:rsid w:val="00262561"/>
    <w:rsid w:val="002632CF"/>
    <w:rsid w:val="0026435E"/>
    <w:rsid w:val="002643C1"/>
    <w:rsid w:val="00265378"/>
    <w:rsid w:val="00265D48"/>
    <w:rsid w:val="00270F1E"/>
    <w:rsid w:val="00273E82"/>
    <w:rsid w:val="0027680D"/>
    <w:rsid w:val="00280217"/>
    <w:rsid w:val="002808F1"/>
    <w:rsid w:val="0028293B"/>
    <w:rsid w:val="002833D2"/>
    <w:rsid w:val="00284607"/>
    <w:rsid w:val="00284C2E"/>
    <w:rsid w:val="002857A0"/>
    <w:rsid w:val="00285EB1"/>
    <w:rsid w:val="00286F65"/>
    <w:rsid w:val="002878A7"/>
    <w:rsid w:val="00290A32"/>
    <w:rsid w:val="00290AB2"/>
    <w:rsid w:val="00290CA8"/>
    <w:rsid w:val="00291EF0"/>
    <w:rsid w:val="0029264D"/>
    <w:rsid w:val="00293825"/>
    <w:rsid w:val="002943DE"/>
    <w:rsid w:val="00296BE4"/>
    <w:rsid w:val="00297745"/>
    <w:rsid w:val="002A0350"/>
    <w:rsid w:val="002A210C"/>
    <w:rsid w:val="002A292F"/>
    <w:rsid w:val="002A51ED"/>
    <w:rsid w:val="002A5595"/>
    <w:rsid w:val="002A5E84"/>
    <w:rsid w:val="002A6B75"/>
    <w:rsid w:val="002A7145"/>
    <w:rsid w:val="002B1D46"/>
    <w:rsid w:val="002B21EA"/>
    <w:rsid w:val="002B5C30"/>
    <w:rsid w:val="002B6A06"/>
    <w:rsid w:val="002B6C65"/>
    <w:rsid w:val="002C1E47"/>
    <w:rsid w:val="002C370B"/>
    <w:rsid w:val="002C5627"/>
    <w:rsid w:val="002C7E25"/>
    <w:rsid w:val="002D0C04"/>
    <w:rsid w:val="002D35CD"/>
    <w:rsid w:val="002D419D"/>
    <w:rsid w:val="002D42DB"/>
    <w:rsid w:val="002D59AA"/>
    <w:rsid w:val="002D6F7C"/>
    <w:rsid w:val="002E227A"/>
    <w:rsid w:val="002E3965"/>
    <w:rsid w:val="002E54DA"/>
    <w:rsid w:val="002F17E1"/>
    <w:rsid w:val="002F1CBA"/>
    <w:rsid w:val="002F2115"/>
    <w:rsid w:val="002F24D9"/>
    <w:rsid w:val="002F2D94"/>
    <w:rsid w:val="002F4416"/>
    <w:rsid w:val="00303A94"/>
    <w:rsid w:val="00303E5B"/>
    <w:rsid w:val="003052F2"/>
    <w:rsid w:val="00305837"/>
    <w:rsid w:val="003111BE"/>
    <w:rsid w:val="0031218C"/>
    <w:rsid w:val="00313C69"/>
    <w:rsid w:val="00316C69"/>
    <w:rsid w:val="003217B9"/>
    <w:rsid w:val="00323431"/>
    <w:rsid w:val="003309A1"/>
    <w:rsid w:val="003311EC"/>
    <w:rsid w:val="00331C2F"/>
    <w:rsid w:val="003322D6"/>
    <w:rsid w:val="00333A83"/>
    <w:rsid w:val="003353F2"/>
    <w:rsid w:val="00336481"/>
    <w:rsid w:val="003436A3"/>
    <w:rsid w:val="0034406F"/>
    <w:rsid w:val="00344216"/>
    <w:rsid w:val="0034425C"/>
    <w:rsid w:val="00344AC0"/>
    <w:rsid w:val="00344C1B"/>
    <w:rsid w:val="00351481"/>
    <w:rsid w:val="00352B54"/>
    <w:rsid w:val="00355997"/>
    <w:rsid w:val="003572D6"/>
    <w:rsid w:val="003574BC"/>
    <w:rsid w:val="00360650"/>
    <w:rsid w:val="00362721"/>
    <w:rsid w:val="00363FC3"/>
    <w:rsid w:val="00366FDA"/>
    <w:rsid w:val="003705B7"/>
    <w:rsid w:val="003718DC"/>
    <w:rsid w:val="00373DDE"/>
    <w:rsid w:val="0037567A"/>
    <w:rsid w:val="00377C03"/>
    <w:rsid w:val="00377DB7"/>
    <w:rsid w:val="00382D4E"/>
    <w:rsid w:val="00384BB8"/>
    <w:rsid w:val="003877D5"/>
    <w:rsid w:val="00387892"/>
    <w:rsid w:val="00387FD1"/>
    <w:rsid w:val="00392355"/>
    <w:rsid w:val="00394F0E"/>
    <w:rsid w:val="003A16CD"/>
    <w:rsid w:val="003A230D"/>
    <w:rsid w:val="003A2A58"/>
    <w:rsid w:val="003A503B"/>
    <w:rsid w:val="003A590E"/>
    <w:rsid w:val="003A69FF"/>
    <w:rsid w:val="003A7BDA"/>
    <w:rsid w:val="003B42C9"/>
    <w:rsid w:val="003B4707"/>
    <w:rsid w:val="003B4B38"/>
    <w:rsid w:val="003B4CF5"/>
    <w:rsid w:val="003B6077"/>
    <w:rsid w:val="003B7D9B"/>
    <w:rsid w:val="003C0519"/>
    <w:rsid w:val="003C29D5"/>
    <w:rsid w:val="003C31D5"/>
    <w:rsid w:val="003C4159"/>
    <w:rsid w:val="003C5C35"/>
    <w:rsid w:val="003C5FA5"/>
    <w:rsid w:val="003C6693"/>
    <w:rsid w:val="003D078D"/>
    <w:rsid w:val="003D12F7"/>
    <w:rsid w:val="003D3025"/>
    <w:rsid w:val="003D71B1"/>
    <w:rsid w:val="003D79DA"/>
    <w:rsid w:val="003E1260"/>
    <w:rsid w:val="003E2124"/>
    <w:rsid w:val="003E5B7E"/>
    <w:rsid w:val="003E6744"/>
    <w:rsid w:val="003E7769"/>
    <w:rsid w:val="003E7EC1"/>
    <w:rsid w:val="003F0AE5"/>
    <w:rsid w:val="003F1A4A"/>
    <w:rsid w:val="003F1B22"/>
    <w:rsid w:val="003F1DC3"/>
    <w:rsid w:val="003F274E"/>
    <w:rsid w:val="003F62F5"/>
    <w:rsid w:val="004011E2"/>
    <w:rsid w:val="004013AB"/>
    <w:rsid w:val="00401A80"/>
    <w:rsid w:val="0040432B"/>
    <w:rsid w:val="00404909"/>
    <w:rsid w:val="004070AA"/>
    <w:rsid w:val="00410762"/>
    <w:rsid w:val="00410AD6"/>
    <w:rsid w:val="00411733"/>
    <w:rsid w:val="00411B9A"/>
    <w:rsid w:val="00412F81"/>
    <w:rsid w:val="00413F7A"/>
    <w:rsid w:val="00415ED3"/>
    <w:rsid w:val="00416534"/>
    <w:rsid w:val="004166EB"/>
    <w:rsid w:val="00420912"/>
    <w:rsid w:val="00421618"/>
    <w:rsid w:val="004217E6"/>
    <w:rsid w:val="00424628"/>
    <w:rsid w:val="004251EC"/>
    <w:rsid w:val="00425243"/>
    <w:rsid w:val="0042612E"/>
    <w:rsid w:val="0042616E"/>
    <w:rsid w:val="004306AF"/>
    <w:rsid w:val="00431354"/>
    <w:rsid w:val="00432FE8"/>
    <w:rsid w:val="00434817"/>
    <w:rsid w:val="00434B6C"/>
    <w:rsid w:val="00436D93"/>
    <w:rsid w:val="004376ED"/>
    <w:rsid w:val="00437838"/>
    <w:rsid w:val="00437C88"/>
    <w:rsid w:val="00440CE5"/>
    <w:rsid w:val="0044556F"/>
    <w:rsid w:val="00445E86"/>
    <w:rsid w:val="00450D59"/>
    <w:rsid w:val="00456F72"/>
    <w:rsid w:val="00461BAF"/>
    <w:rsid w:val="004630D6"/>
    <w:rsid w:val="00464BE7"/>
    <w:rsid w:val="00464C10"/>
    <w:rsid w:val="00464D03"/>
    <w:rsid w:val="004671B9"/>
    <w:rsid w:val="00470761"/>
    <w:rsid w:val="00470E0F"/>
    <w:rsid w:val="004717BA"/>
    <w:rsid w:val="004725BF"/>
    <w:rsid w:val="00474922"/>
    <w:rsid w:val="00474AB5"/>
    <w:rsid w:val="00481DCB"/>
    <w:rsid w:val="0048428C"/>
    <w:rsid w:val="00484607"/>
    <w:rsid w:val="004846BD"/>
    <w:rsid w:val="00485C5F"/>
    <w:rsid w:val="00486303"/>
    <w:rsid w:val="004865E7"/>
    <w:rsid w:val="00493345"/>
    <w:rsid w:val="004935E5"/>
    <w:rsid w:val="00494291"/>
    <w:rsid w:val="0049459D"/>
    <w:rsid w:val="00494D18"/>
    <w:rsid w:val="004A0CAF"/>
    <w:rsid w:val="004A1697"/>
    <w:rsid w:val="004A2E68"/>
    <w:rsid w:val="004A561F"/>
    <w:rsid w:val="004A6B85"/>
    <w:rsid w:val="004A7A05"/>
    <w:rsid w:val="004B0CDC"/>
    <w:rsid w:val="004B0F33"/>
    <w:rsid w:val="004B6308"/>
    <w:rsid w:val="004B6DAA"/>
    <w:rsid w:val="004C147D"/>
    <w:rsid w:val="004C2708"/>
    <w:rsid w:val="004C2898"/>
    <w:rsid w:val="004C434A"/>
    <w:rsid w:val="004C61CB"/>
    <w:rsid w:val="004C709F"/>
    <w:rsid w:val="004C7B2F"/>
    <w:rsid w:val="004D09DE"/>
    <w:rsid w:val="004D331D"/>
    <w:rsid w:val="004D4056"/>
    <w:rsid w:val="004D5F9D"/>
    <w:rsid w:val="004D6D2A"/>
    <w:rsid w:val="004E06C0"/>
    <w:rsid w:val="004E476F"/>
    <w:rsid w:val="004E4F6F"/>
    <w:rsid w:val="004E7F11"/>
    <w:rsid w:val="004F0A53"/>
    <w:rsid w:val="004F0D03"/>
    <w:rsid w:val="004F1F2B"/>
    <w:rsid w:val="004F57A3"/>
    <w:rsid w:val="004F6283"/>
    <w:rsid w:val="004F657F"/>
    <w:rsid w:val="005000A7"/>
    <w:rsid w:val="00502077"/>
    <w:rsid w:val="005021E2"/>
    <w:rsid w:val="0050343D"/>
    <w:rsid w:val="005034E4"/>
    <w:rsid w:val="005054C1"/>
    <w:rsid w:val="00506AD5"/>
    <w:rsid w:val="00507B0F"/>
    <w:rsid w:val="005104F8"/>
    <w:rsid w:val="00511F6F"/>
    <w:rsid w:val="00512C16"/>
    <w:rsid w:val="00513443"/>
    <w:rsid w:val="00513E49"/>
    <w:rsid w:val="005149FF"/>
    <w:rsid w:val="00515BA3"/>
    <w:rsid w:val="00517398"/>
    <w:rsid w:val="00517532"/>
    <w:rsid w:val="00517D5C"/>
    <w:rsid w:val="00520272"/>
    <w:rsid w:val="005217F3"/>
    <w:rsid w:val="00524197"/>
    <w:rsid w:val="00525631"/>
    <w:rsid w:val="00527048"/>
    <w:rsid w:val="00530733"/>
    <w:rsid w:val="005317CE"/>
    <w:rsid w:val="00532269"/>
    <w:rsid w:val="00532310"/>
    <w:rsid w:val="00533480"/>
    <w:rsid w:val="00534647"/>
    <w:rsid w:val="005354B9"/>
    <w:rsid w:val="00536463"/>
    <w:rsid w:val="00537A9D"/>
    <w:rsid w:val="00540176"/>
    <w:rsid w:val="005403ED"/>
    <w:rsid w:val="0054259D"/>
    <w:rsid w:val="00542B45"/>
    <w:rsid w:val="005452B1"/>
    <w:rsid w:val="0054615A"/>
    <w:rsid w:val="00547EC0"/>
    <w:rsid w:val="00551280"/>
    <w:rsid w:val="00555480"/>
    <w:rsid w:val="00555878"/>
    <w:rsid w:val="00555D8E"/>
    <w:rsid w:val="00556907"/>
    <w:rsid w:val="00556DF8"/>
    <w:rsid w:val="00556F91"/>
    <w:rsid w:val="005600E6"/>
    <w:rsid w:val="0056132D"/>
    <w:rsid w:val="005617E3"/>
    <w:rsid w:val="00562415"/>
    <w:rsid w:val="00562892"/>
    <w:rsid w:val="00562CA9"/>
    <w:rsid w:val="00562D05"/>
    <w:rsid w:val="005630CF"/>
    <w:rsid w:val="00563E06"/>
    <w:rsid w:val="00565D30"/>
    <w:rsid w:val="00565E30"/>
    <w:rsid w:val="0057359A"/>
    <w:rsid w:val="00576D42"/>
    <w:rsid w:val="0058195B"/>
    <w:rsid w:val="0058379B"/>
    <w:rsid w:val="00584D19"/>
    <w:rsid w:val="00585DFE"/>
    <w:rsid w:val="0058646D"/>
    <w:rsid w:val="00586725"/>
    <w:rsid w:val="00586860"/>
    <w:rsid w:val="00586E07"/>
    <w:rsid w:val="00586F56"/>
    <w:rsid w:val="005923A7"/>
    <w:rsid w:val="00596947"/>
    <w:rsid w:val="00596CDF"/>
    <w:rsid w:val="0059783C"/>
    <w:rsid w:val="00597CBF"/>
    <w:rsid w:val="00597CE5"/>
    <w:rsid w:val="005A127E"/>
    <w:rsid w:val="005A1BDE"/>
    <w:rsid w:val="005A2BD3"/>
    <w:rsid w:val="005A4ED4"/>
    <w:rsid w:val="005A5A94"/>
    <w:rsid w:val="005A6EE6"/>
    <w:rsid w:val="005B554F"/>
    <w:rsid w:val="005B5BCE"/>
    <w:rsid w:val="005B6939"/>
    <w:rsid w:val="005B7D18"/>
    <w:rsid w:val="005C00B6"/>
    <w:rsid w:val="005C08E0"/>
    <w:rsid w:val="005C240B"/>
    <w:rsid w:val="005C310D"/>
    <w:rsid w:val="005C4E23"/>
    <w:rsid w:val="005C4E41"/>
    <w:rsid w:val="005D2FFB"/>
    <w:rsid w:val="005D3971"/>
    <w:rsid w:val="005D4A22"/>
    <w:rsid w:val="005D52C4"/>
    <w:rsid w:val="005D7CC5"/>
    <w:rsid w:val="005E12FF"/>
    <w:rsid w:val="005E25B6"/>
    <w:rsid w:val="005E6867"/>
    <w:rsid w:val="005F7CCC"/>
    <w:rsid w:val="00601338"/>
    <w:rsid w:val="00603BEE"/>
    <w:rsid w:val="006049C1"/>
    <w:rsid w:val="0060797E"/>
    <w:rsid w:val="00610943"/>
    <w:rsid w:val="006117D1"/>
    <w:rsid w:val="006121CD"/>
    <w:rsid w:val="006134DD"/>
    <w:rsid w:val="0061401A"/>
    <w:rsid w:val="0061438A"/>
    <w:rsid w:val="00617C3A"/>
    <w:rsid w:val="00617FC9"/>
    <w:rsid w:val="00620837"/>
    <w:rsid w:val="0062156D"/>
    <w:rsid w:val="006219B3"/>
    <w:rsid w:val="00622A34"/>
    <w:rsid w:val="006265DE"/>
    <w:rsid w:val="00627CB0"/>
    <w:rsid w:val="00631ACE"/>
    <w:rsid w:val="00633D91"/>
    <w:rsid w:val="00634A4A"/>
    <w:rsid w:val="00634A91"/>
    <w:rsid w:val="0063543A"/>
    <w:rsid w:val="00641EA6"/>
    <w:rsid w:val="00646609"/>
    <w:rsid w:val="00650C46"/>
    <w:rsid w:val="00651B6B"/>
    <w:rsid w:val="00652A11"/>
    <w:rsid w:val="00654225"/>
    <w:rsid w:val="006550A2"/>
    <w:rsid w:val="00655B05"/>
    <w:rsid w:val="006562F2"/>
    <w:rsid w:val="0065647B"/>
    <w:rsid w:val="006570B8"/>
    <w:rsid w:val="00657562"/>
    <w:rsid w:val="006579F7"/>
    <w:rsid w:val="0066067D"/>
    <w:rsid w:val="00662640"/>
    <w:rsid w:val="00663D88"/>
    <w:rsid w:val="006643AE"/>
    <w:rsid w:val="00665EA2"/>
    <w:rsid w:val="00666187"/>
    <w:rsid w:val="006724F4"/>
    <w:rsid w:val="00672A01"/>
    <w:rsid w:val="0067327C"/>
    <w:rsid w:val="00676B18"/>
    <w:rsid w:val="00676F5F"/>
    <w:rsid w:val="00677155"/>
    <w:rsid w:val="00677345"/>
    <w:rsid w:val="006773FD"/>
    <w:rsid w:val="00680AAE"/>
    <w:rsid w:val="00681BA1"/>
    <w:rsid w:val="00686A34"/>
    <w:rsid w:val="00686AF9"/>
    <w:rsid w:val="006905B9"/>
    <w:rsid w:val="00695B3F"/>
    <w:rsid w:val="006968EA"/>
    <w:rsid w:val="00696D9B"/>
    <w:rsid w:val="006A249C"/>
    <w:rsid w:val="006A2897"/>
    <w:rsid w:val="006A309D"/>
    <w:rsid w:val="006A5ECD"/>
    <w:rsid w:val="006B25E0"/>
    <w:rsid w:val="006B3560"/>
    <w:rsid w:val="006B4758"/>
    <w:rsid w:val="006B4A51"/>
    <w:rsid w:val="006B5384"/>
    <w:rsid w:val="006B5A20"/>
    <w:rsid w:val="006B65F5"/>
    <w:rsid w:val="006B69B2"/>
    <w:rsid w:val="006B7D7C"/>
    <w:rsid w:val="006C1613"/>
    <w:rsid w:val="006C2682"/>
    <w:rsid w:val="006C2C58"/>
    <w:rsid w:val="006C2F34"/>
    <w:rsid w:val="006C4092"/>
    <w:rsid w:val="006C4C17"/>
    <w:rsid w:val="006C74F9"/>
    <w:rsid w:val="006C762E"/>
    <w:rsid w:val="006C7D8A"/>
    <w:rsid w:val="006D19B6"/>
    <w:rsid w:val="006D2A4A"/>
    <w:rsid w:val="006E0A6A"/>
    <w:rsid w:val="006E0E0A"/>
    <w:rsid w:val="006E16D9"/>
    <w:rsid w:val="006E62E4"/>
    <w:rsid w:val="006E7E63"/>
    <w:rsid w:val="006F5974"/>
    <w:rsid w:val="006F5FCA"/>
    <w:rsid w:val="006F6B10"/>
    <w:rsid w:val="006F7D6D"/>
    <w:rsid w:val="00701979"/>
    <w:rsid w:val="00703251"/>
    <w:rsid w:val="0070578C"/>
    <w:rsid w:val="00706B0B"/>
    <w:rsid w:val="00712BEE"/>
    <w:rsid w:val="00713292"/>
    <w:rsid w:val="007133C5"/>
    <w:rsid w:val="00713CBD"/>
    <w:rsid w:val="00715D2E"/>
    <w:rsid w:val="00715D66"/>
    <w:rsid w:val="00716B7F"/>
    <w:rsid w:val="00716E08"/>
    <w:rsid w:val="00717A4B"/>
    <w:rsid w:val="00721EC3"/>
    <w:rsid w:val="007224E3"/>
    <w:rsid w:val="00722AA6"/>
    <w:rsid w:val="00723188"/>
    <w:rsid w:val="007231CB"/>
    <w:rsid w:val="00727A43"/>
    <w:rsid w:val="00730169"/>
    <w:rsid w:val="00730470"/>
    <w:rsid w:val="0073113A"/>
    <w:rsid w:val="00732EDF"/>
    <w:rsid w:val="0073343D"/>
    <w:rsid w:val="00740EA1"/>
    <w:rsid w:val="00741858"/>
    <w:rsid w:val="00741B0B"/>
    <w:rsid w:val="00743731"/>
    <w:rsid w:val="00744023"/>
    <w:rsid w:val="00744DFD"/>
    <w:rsid w:val="007503C5"/>
    <w:rsid w:val="00752ABF"/>
    <w:rsid w:val="00753B2B"/>
    <w:rsid w:val="00754125"/>
    <w:rsid w:val="00757B2F"/>
    <w:rsid w:val="0076044D"/>
    <w:rsid w:val="007610A0"/>
    <w:rsid w:val="007627E5"/>
    <w:rsid w:val="00763F69"/>
    <w:rsid w:val="0076446D"/>
    <w:rsid w:val="00766674"/>
    <w:rsid w:val="00766B42"/>
    <w:rsid w:val="00767526"/>
    <w:rsid w:val="007706AB"/>
    <w:rsid w:val="007717B5"/>
    <w:rsid w:val="00774421"/>
    <w:rsid w:val="007753EC"/>
    <w:rsid w:val="007763CE"/>
    <w:rsid w:val="00776FF8"/>
    <w:rsid w:val="00781AE7"/>
    <w:rsid w:val="00785B7E"/>
    <w:rsid w:val="007863D9"/>
    <w:rsid w:val="0078739A"/>
    <w:rsid w:val="00787F7D"/>
    <w:rsid w:val="0079011F"/>
    <w:rsid w:val="00790C2D"/>
    <w:rsid w:val="007913F7"/>
    <w:rsid w:val="0079170A"/>
    <w:rsid w:val="00792F29"/>
    <w:rsid w:val="007977F3"/>
    <w:rsid w:val="007A0355"/>
    <w:rsid w:val="007A3EA5"/>
    <w:rsid w:val="007A566E"/>
    <w:rsid w:val="007A5680"/>
    <w:rsid w:val="007A5ADC"/>
    <w:rsid w:val="007A70DD"/>
    <w:rsid w:val="007A7D81"/>
    <w:rsid w:val="007B10C2"/>
    <w:rsid w:val="007B50E7"/>
    <w:rsid w:val="007B5D2F"/>
    <w:rsid w:val="007B70F1"/>
    <w:rsid w:val="007B788B"/>
    <w:rsid w:val="007C0ADE"/>
    <w:rsid w:val="007C1050"/>
    <w:rsid w:val="007C2328"/>
    <w:rsid w:val="007C3533"/>
    <w:rsid w:val="007C52FB"/>
    <w:rsid w:val="007C5EF4"/>
    <w:rsid w:val="007C7396"/>
    <w:rsid w:val="007C7655"/>
    <w:rsid w:val="007D0B2A"/>
    <w:rsid w:val="007D419F"/>
    <w:rsid w:val="007D4355"/>
    <w:rsid w:val="007D50D1"/>
    <w:rsid w:val="007D6FA6"/>
    <w:rsid w:val="007D7E68"/>
    <w:rsid w:val="007E0AF2"/>
    <w:rsid w:val="007E1BE1"/>
    <w:rsid w:val="007E252C"/>
    <w:rsid w:val="007E338B"/>
    <w:rsid w:val="007E4F02"/>
    <w:rsid w:val="007E5424"/>
    <w:rsid w:val="007E77AE"/>
    <w:rsid w:val="007F07F2"/>
    <w:rsid w:val="007F283A"/>
    <w:rsid w:val="007F425E"/>
    <w:rsid w:val="007F46CD"/>
    <w:rsid w:val="007F5DB4"/>
    <w:rsid w:val="007F6631"/>
    <w:rsid w:val="0080678E"/>
    <w:rsid w:val="00810952"/>
    <w:rsid w:val="00811256"/>
    <w:rsid w:val="00815A88"/>
    <w:rsid w:val="00820E69"/>
    <w:rsid w:val="00821EE3"/>
    <w:rsid w:val="00823D14"/>
    <w:rsid w:val="008301BD"/>
    <w:rsid w:val="00832B54"/>
    <w:rsid w:val="00832BDC"/>
    <w:rsid w:val="00836E2A"/>
    <w:rsid w:val="0083780B"/>
    <w:rsid w:val="0084013B"/>
    <w:rsid w:val="008409F1"/>
    <w:rsid w:val="008418F9"/>
    <w:rsid w:val="00842E1E"/>
    <w:rsid w:val="00846B23"/>
    <w:rsid w:val="00847284"/>
    <w:rsid w:val="00852C99"/>
    <w:rsid w:val="00855FC4"/>
    <w:rsid w:val="00856BB5"/>
    <w:rsid w:val="00856EAD"/>
    <w:rsid w:val="00860887"/>
    <w:rsid w:val="008608E7"/>
    <w:rsid w:val="008625B2"/>
    <w:rsid w:val="008678C2"/>
    <w:rsid w:val="0087007F"/>
    <w:rsid w:val="00871A15"/>
    <w:rsid w:val="00872003"/>
    <w:rsid w:val="0087415B"/>
    <w:rsid w:val="00882004"/>
    <w:rsid w:val="00883A8C"/>
    <w:rsid w:val="00885239"/>
    <w:rsid w:val="00891360"/>
    <w:rsid w:val="00891B71"/>
    <w:rsid w:val="0089508D"/>
    <w:rsid w:val="0089640A"/>
    <w:rsid w:val="00896DFE"/>
    <w:rsid w:val="00897E0A"/>
    <w:rsid w:val="008A60A6"/>
    <w:rsid w:val="008A62A5"/>
    <w:rsid w:val="008B0200"/>
    <w:rsid w:val="008B298A"/>
    <w:rsid w:val="008B29F4"/>
    <w:rsid w:val="008B307D"/>
    <w:rsid w:val="008B4559"/>
    <w:rsid w:val="008B45CD"/>
    <w:rsid w:val="008B472B"/>
    <w:rsid w:val="008B6E73"/>
    <w:rsid w:val="008B7C9D"/>
    <w:rsid w:val="008C0B9C"/>
    <w:rsid w:val="008C4EB2"/>
    <w:rsid w:val="008C5D4F"/>
    <w:rsid w:val="008C69EA"/>
    <w:rsid w:val="008C6BBB"/>
    <w:rsid w:val="008C78EA"/>
    <w:rsid w:val="008D0736"/>
    <w:rsid w:val="008D2769"/>
    <w:rsid w:val="008D3AAB"/>
    <w:rsid w:val="008D4037"/>
    <w:rsid w:val="008D523F"/>
    <w:rsid w:val="008D52ED"/>
    <w:rsid w:val="008D57AA"/>
    <w:rsid w:val="008D6ED1"/>
    <w:rsid w:val="008E1AC1"/>
    <w:rsid w:val="008E2038"/>
    <w:rsid w:val="008E2D01"/>
    <w:rsid w:val="008E3C57"/>
    <w:rsid w:val="008E7724"/>
    <w:rsid w:val="008F2F0A"/>
    <w:rsid w:val="008F35BC"/>
    <w:rsid w:val="008F56FE"/>
    <w:rsid w:val="008F61A3"/>
    <w:rsid w:val="008F636D"/>
    <w:rsid w:val="008F6B67"/>
    <w:rsid w:val="00900401"/>
    <w:rsid w:val="00901EFA"/>
    <w:rsid w:val="00902D56"/>
    <w:rsid w:val="00902F5A"/>
    <w:rsid w:val="00903388"/>
    <w:rsid w:val="00903E63"/>
    <w:rsid w:val="00904B3C"/>
    <w:rsid w:val="00904EB4"/>
    <w:rsid w:val="009066ED"/>
    <w:rsid w:val="00907C71"/>
    <w:rsid w:val="009144C6"/>
    <w:rsid w:val="00914F3D"/>
    <w:rsid w:val="00915663"/>
    <w:rsid w:val="00916BF3"/>
    <w:rsid w:val="00920AB0"/>
    <w:rsid w:val="009229EA"/>
    <w:rsid w:val="00924C25"/>
    <w:rsid w:val="009254B6"/>
    <w:rsid w:val="0093293C"/>
    <w:rsid w:val="009334D1"/>
    <w:rsid w:val="00933C15"/>
    <w:rsid w:val="009353D6"/>
    <w:rsid w:val="00936E48"/>
    <w:rsid w:val="00940291"/>
    <w:rsid w:val="00944764"/>
    <w:rsid w:val="009447AE"/>
    <w:rsid w:val="00945125"/>
    <w:rsid w:val="0094785C"/>
    <w:rsid w:val="00950F55"/>
    <w:rsid w:val="00951F7E"/>
    <w:rsid w:val="00952A78"/>
    <w:rsid w:val="00953309"/>
    <w:rsid w:val="00955601"/>
    <w:rsid w:val="0095781F"/>
    <w:rsid w:val="00957F89"/>
    <w:rsid w:val="00961665"/>
    <w:rsid w:val="00961744"/>
    <w:rsid w:val="009621FD"/>
    <w:rsid w:val="00962C0B"/>
    <w:rsid w:val="00963546"/>
    <w:rsid w:val="009646F9"/>
    <w:rsid w:val="00964EE7"/>
    <w:rsid w:val="009667CD"/>
    <w:rsid w:val="00967A62"/>
    <w:rsid w:val="00970517"/>
    <w:rsid w:val="009718B6"/>
    <w:rsid w:val="00972C8B"/>
    <w:rsid w:val="00972D46"/>
    <w:rsid w:val="0097560B"/>
    <w:rsid w:val="00977472"/>
    <w:rsid w:val="00980389"/>
    <w:rsid w:val="009829DF"/>
    <w:rsid w:val="00984BA8"/>
    <w:rsid w:val="009865C9"/>
    <w:rsid w:val="00991330"/>
    <w:rsid w:val="00993BFD"/>
    <w:rsid w:val="009A34A7"/>
    <w:rsid w:val="009A39AA"/>
    <w:rsid w:val="009A627B"/>
    <w:rsid w:val="009A7153"/>
    <w:rsid w:val="009A793F"/>
    <w:rsid w:val="009B3458"/>
    <w:rsid w:val="009B40AA"/>
    <w:rsid w:val="009B41A9"/>
    <w:rsid w:val="009B48CB"/>
    <w:rsid w:val="009B65E4"/>
    <w:rsid w:val="009B6B17"/>
    <w:rsid w:val="009B710D"/>
    <w:rsid w:val="009B747F"/>
    <w:rsid w:val="009B76E1"/>
    <w:rsid w:val="009B7ED4"/>
    <w:rsid w:val="009C1971"/>
    <w:rsid w:val="009C2B50"/>
    <w:rsid w:val="009C309C"/>
    <w:rsid w:val="009C5D7F"/>
    <w:rsid w:val="009D1F4F"/>
    <w:rsid w:val="009D366B"/>
    <w:rsid w:val="009D541B"/>
    <w:rsid w:val="009D7964"/>
    <w:rsid w:val="009E3275"/>
    <w:rsid w:val="009E44B8"/>
    <w:rsid w:val="009E6284"/>
    <w:rsid w:val="009E7554"/>
    <w:rsid w:val="009E77D3"/>
    <w:rsid w:val="009F09DE"/>
    <w:rsid w:val="009F0A48"/>
    <w:rsid w:val="009F2972"/>
    <w:rsid w:val="009F60ED"/>
    <w:rsid w:val="009F6197"/>
    <w:rsid w:val="009F75BC"/>
    <w:rsid w:val="00A0152B"/>
    <w:rsid w:val="00A02A50"/>
    <w:rsid w:val="00A03A84"/>
    <w:rsid w:val="00A03B25"/>
    <w:rsid w:val="00A042F7"/>
    <w:rsid w:val="00A0509E"/>
    <w:rsid w:val="00A06613"/>
    <w:rsid w:val="00A06623"/>
    <w:rsid w:val="00A06877"/>
    <w:rsid w:val="00A068DF"/>
    <w:rsid w:val="00A107D3"/>
    <w:rsid w:val="00A11A11"/>
    <w:rsid w:val="00A128F2"/>
    <w:rsid w:val="00A12E00"/>
    <w:rsid w:val="00A13092"/>
    <w:rsid w:val="00A14001"/>
    <w:rsid w:val="00A1491D"/>
    <w:rsid w:val="00A165E2"/>
    <w:rsid w:val="00A17496"/>
    <w:rsid w:val="00A17E02"/>
    <w:rsid w:val="00A23C57"/>
    <w:rsid w:val="00A25A47"/>
    <w:rsid w:val="00A30237"/>
    <w:rsid w:val="00A3105E"/>
    <w:rsid w:val="00A344E8"/>
    <w:rsid w:val="00A43D73"/>
    <w:rsid w:val="00A44693"/>
    <w:rsid w:val="00A44A87"/>
    <w:rsid w:val="00A4504A"/>
    <w:rsid w:val="00A5025B"/>
    <w:rsid w:val="00A50681"/>
    <w:rsid w:val="00A51266"/>
    <w:rsid w:val="00A52DFB"/>
    <w:rsid w:val="00A54DA6"/>
    <w:rsid w:val="00A55E74"/>
    <w:rsid w:val="00A57255"/>
    <w:rsid w:val="00A57291"/>
    <w:rsid w:val="00A57C7D"/>
    <w:rsid w:val="00A623F7"/>
    <w:rsid w:val="00A64E5E"/>
    <w:rsid w:val="00A66022"/>
    <w:rsid w:val="00A6740D"/>
    <w:rsid w:val="00A7194C"/>
    <w:rsid w:val="00A748FF"/>
    <w:rsid w:val="00A74E70"/>
    <w:rsid w:val="00A75A3B"/>
    <w:rsid w:val="00A75D75"/>
    <w:rsid w:val="00A77363"/>
    <w:rsid w:val="00A77C19"/>
    <w:rsid w:val="00A840F5"/>
    <w:rsid w:val="00A9020C"/>
    <w:rsid w:val="00A9118A"/>
    <w:rsid w:val="00AA0B50"/>
    <w:rsid w:val="00AA1017"/>
    <w:rsid w:val="00AA11FB"/>
    <w:rsid w:val="00AA2D45"/>
    <w:rsid w:val="00AA3A13"/>
    <w:rsid w:val="00AA50D9"/>
    <w:rsid w:val="00AA5237"/>
    <w:rsid w:val="00AB0080"/>
    <w:rsid w:val="00AB05B8"/>
    <w:rsid w:val="00AB26ED"/>
    <w:rsid w:val="00AB4F71"/>
    <w:rsid w:val="00AB4FFF"/>
    <w:rsid w:val="00AB5030"/>
    <w:rsid w:val="00AB528E"/>
    <w:rsid w:val="00AB5364"/>
    <w:rsid w:val="00AB7530"/>
    <w:rsid w:val="00AC193E"/>
    <w:rsid w:val="00AC230F"/>
    <w:rsid w:val="00AC23A3"/>
    <w:rsid w:val="00AC5DC7"/>
    <w:rsid w:val="00AC7375"/>
    <w:rsid w:val="00AD0FC8"/>
    <w:rsid w:val="00AD1172"/>
    <w:rsid w:val="00AD3874"/>
    <w:rsid w:val="00AD4497"/>
    <w:rsid w:val="00AD4DFC"/>
    <w:rsid w:val="00AD75F0"/>
    <w:rsid w:val="00AE08A9"/>
    <w:rsid w:val="00AE0D8A"/>
    <w:rsid w:val="00AE1C1B"/>
    <w:rsid w:val="00AE5484"/>
    <w:rsid w:val="00AF061C"/>
    <w:rsid w:val="00AF2038"/>
    <w:rsid w:val="00AF22BE"/>
    <w:rsid w:val="00AF2D77"/>
    <w:rsid w:val="00AF2FD6"/>
    <w:rsid w:val="00AF4B96"/>
    <w:rsid w:val="00AF709A"/>
    <w:rsid w:val="00B01E37"/>
    <w:rsid w:val="00B03859"/>
    <w:rsid w:val="00B04B03"/>
    <w:rsid w:val="00B05BF7"/>
    <w:rsid w:val="00B117B8"/>
    <w:rsid w:val="00B12667"/>
    <w:rsid w:val="00B12E63"/>
    <w:rsid w:val="00B13BE7"/>
    <w:rsid w:val="00B15CD7"/>
    <w:rsid w:val="00B1667F"/>
    <w:rsid w:val="00B20CF8"/>
    <w:rsid w:val="00B223D9"/>
    <w:rsid w:val="00B23076"/>
    <w:rsid w:val="00B23801"/>
    <w:rsid w:val="00B24015"/>
    <w:rsid w:val="00B26757"/>
    <w:rsid w:val="00B314EE"/>
    <w:rsid w:val="00B3193E"/>
    <w:rsid w:val="00B32E54"/>
    <w:rsid w:val="00B37A78"/>
    <w:rsid w:val="00B40073"/>
    <w:rsid w:val="00B401A9"/>
    <w:rsid w:val="00B40BA5"/>
    <w:rsid w:val="00B4146C"/>
    <w:rsid w:val="00B43C89"/>
    <w:rsid w:val="00B44124"/>
    <w:rsid w:val="00B51BBA"/>
    <w:rsid w:val="00B5277E"/>
    <w:rsid w:val="00B5516B"/>
    <w:rsid w:val="00B5523B"/>
    <w:rsid w:val="00B557B1"/>
    <w:rsid w:val="00B61F11"/>
    <w:rsid w:val="00B661D4"/>
    <w:rsid w:val="00B72D1B"/>
    <w:rsid w:val="00B736F7"/>
    <w:rsid w:val="00B73EB0"/>
    <w:rsid w:val="00B772D4"/>
    <w:rsid w:val="00B7735E"/>
    <w:rsid w:val="00B77ECB"/>
    <w:rsid w:val="00B8188E"/>
    <w:rsid w:val="00B82D86"/>
    <w:rsid w:val="00B87310"/>
    <w:rsid w:val="00B87D9E"/>
    <w:rsid w:val="00B903B3"/>
    <w:rsid w:val="00B90767"/>
    <w:rsid w:val="00B920EE"/>
    <w:rsid w:val="00B937D5"/>
    <w:rsid w:val="00B9485C"/>
    <w:rsid w:val="00B965FF"/>
    <w:rsid w:val="00B97EED"/>
    <w:rsid w:val="00BA0FE8"/>
    <w:rsid w:val="00BA1E72"/>
    <w:rsid w:val="00BA5FA2"/>
    <w:rsid w:val="00BB11AC"/>
    <w:rsid w:val="00BB3C93"/>
    <w:rsid w:val="00BB4FFA"/>
    <w:rsid w:val="00BB5F42"/>
    <w:rsid w:val="00BB6064"/>
    <w:rsid w:val="00BB7C24"/>
    <w:rsid w:val="00BC3F39"/>
    <w:rsid w:val="00BC4441"/>
    <w:rsid w:val="00BD0C97"/>
    <w:rsid w:val="00BD0F7E"/>
    <w:rsid w:val="00BD1488"/>
    <w:rsid w:val="00BD2537"/>
    <w:rsid w:val="00BD2806"/>
    <w:rsid w:val="00BD2D6C"/>
    <w:rsid w:val="00BD358B"/>
    <w:rsid w:val="00BD3F67"/>
    <w:rsid w:val="00BD6923"/>
    <w:rsid w:val="00BD6B45"/>
    <w:rsid w:val="00BE331C"/>
    <w:rsid w:val="00BE59AC"/>
    <w:rsid w:val="00BE61E7"/>
    <w:rsid w:val="00BE66AF"/>
    <w:rsid w:val="00BF0B29"/>
    <w:rsid w:val="00BF19B4"/>
    <w:rsid w:val="00BF2281"/>
    <w:rsid w:val="00BF3731"/>
    <w:rsid w:val="00BF5BF3"/>
    <w:rsid w:val="00BF5E2E"/>
    <w:rsid w:val="00BF5EC4"/>
    <w:rsid w:val="00BF77F7"/>
    <w:rsid w:val="00C02C74"/>
    <w:rsid w:val="00C04248"/>
    <w:rsid w:val="00C0709E"/>
    <w:rsid w:val="00C107C3"/>
    <w:rsid w:val="00C10FDE"/>
    <w:rsid w:val="00C1227F"/>
    <w:rsid w:val="00C1278D"/>
    <w:rsid w:val="00C15020"/>
    <w:rsid w:val="00C2364B"/>
    <w:rsid w:val="00C23E66"/>
    <w:rsid w:val="00C240CB"/>
    <w:rsid w:val="00C24819"/>
    <w:rsid w:val="00C2595E"/>
    <w:rsid w:val="00C25BA8"/>
    <w:rsid w:val="00C25FEA"/>
    <w:rsid w:val="00C32BE9"/>
    <w:rsid w:val="00C33B66"/>
    <w:rsid w:val="00C33DD0"/>
    <w:rsid w:val="00C35326"/>
    <w:rsid w:val="00C373B3"/>
    <w:rsid w:val="00C40A78"/>
    <w:rsid w:val="00C424D8"/>
    <w:rsid w:val="00C427B4"/>
    <w:rsid w:val="00C43CA1"/>
    <w:rsid w:val="00C51DF3"/>
    <w:rsid w:val="00C54663"/>
    <w:rsid w:val="00C5662C"/>
    <w:rsid w:val="00C63556"/>
    <w:rsid w:val="00C64717"/>
    <w:rsid w:val="00C65494"/>
    <w:rsid w:val="00C66082"/>
    <w:rsid w:val="00C67745"/>
    <w:rsid w:val="00C719B8"/>
    <w:rsid w:val="00C74C57"/>
    <w:rsid w:val="00C75E81"/>
    <w:rsid w:val="00C75EBE"/>
    <w:rsid w:val="00C76C9B"/>
    <w:rsid w:val="00C80506"/>
    <w:rsid w:val="00C8255A"/>
    <w:rsid w:val="00C83079"/>
    <w:rsid w:val="00C83AC2"/>
    <w:rsid w:val="00C87EF2"/>
    <w:rsid w:val="00C90964"/>
    <w:rsid w:val="00C90A1B"/>
    <w:rsid w:val="00C91A33"/>
    <w:rsid w:val="00C92633"/>
    <w:rsid w:val="00C9294B"/>
    <w:rsid w:val="00C9336D"/>
    <w:rsid w:val="00C93DE7"/>
    <w:rsid w:val="00C94FEF"/>
    <w:rsid w:val="00C95702"/>
    <w:rsid w:val="00C9612C"/>
    <w:rsid w:val="00C97E19"/>
    <w:rsid w:val="00CA453A"/>
    <w:rsid w:val="00CA6756"/>
    <w:rsid w:val="00CB0E28"/>
    <w:rsid w:val="00CB172E"/>
    <w:rsid w:val="00CB1BB4"/>
    <w:rsid w:val="00CB2211"/>
    <w:rsid w:val="00CB32AA"/>
    <w:rsid w:val="00CB3AF4"/>
    <w:rsid w:val="00CB6DA4"/>
    <w:rsid w:val="00CB7168"/>
    <w:rsid w:val="00CC096E"/>
    <w:rsid w:val="00CC1C39"/>
    <w:rsid w:val="00CC2DE7"/>
    <w:rsid w:val="00CC2E46"/>
    <w:rsid w:val="00CC308F"/>
    <w:rsid w:val="00CC507C"/>
    <w:rsid w:val="00CC6288"/>
    <w:rsid w:val="00CC7155"/>
    <w:rsid w:val="00CD3F2E"/>
    <w:rsid w:val="00CD47C0"/>
    <w:rsid w:val="00CD5217"/>
    <w:rsid w:val="00CE25B4"/>
    <w:rsid w:val="00CE301D"/>
    <w:rsid w:val="00CE35CE"/>
    <w:rsid w:val="00CE56BB"/>
    <w:rsid w:val="00CE6D0C"/>
    <w:rsid w:val="00CE6D38"/>
    <w:rsid w:val="00CE6D3F"/>
    <w:rsid w:val="00CF012D"/>
    <w:rsid w:val="00CF11F5"/>
    <w:rsid w:val="00CF5160"/>
    <w:rsid w:val="00CF53AB"/>
    <w:rsid w:val="00CF5524"/>
    <w:rsid w:val="00CF5953"/>
    <w:rsid w:val="00CF5AB5"/>
    <w:rsid w:val="00CF7FD5"/>
    <w:rsid w:val="00D02C3E"/>
    <w:rsid w:val="00D030F7"/>
    <w:rsid w:val="00D0646F"/>
    <w:rsid w:val="00D108A6"/>
    <w:rsid w:val="00D119E1"/>
    <w:rsid w:val="00D13232"/>
    <w:rsid w:val="00D153B2"/>
    <w:rsid w:val="00D17C18"/>
    <w:rsid w:val="00D201B3"/>
    <w:rsid w:val="00D231BA"/>
    <w:rsid w:val="00D253AD"/>
    <w:rsid w:val="00D2643A"/>
    <w:rsid w:val="00D268E9"/>
    <w:rsid w:val="00D27656"/>
    <w:rsid w:val="00D31597"/>
    <w:rsid w:val="00D318FE"/>
    <w:rsid w:val="00D34648"/>
    <w:rsid w:val="00D34D6A"/>
    <w:rsid w:val="00D3724E"/>
    <w:rsid w:val="00D40F9D"/>
    <w:rsid w:val="00D41C0D"/>
    <w:rsid w:val="00D43E27"/>
    <w:rsid w:val="00D477B0"/>
    <w:rsid w:val="00D52A0C"/>
    <w:rsid w:val="00D52B1B"/>
    <w:rsid w:val="00D52CFC"/>
    <w:rsid w:val="00D537DB"/>
    <w:rsid w:val="00D54791"/>
    <w:rsid w:val="00D54B67"/>
    <w:rsid w:val="00D56533"/>
    <w:rsid w:val="00D616CD"/>
    <w:rsid w:val="00D62B7C"/>
    <w:rsid w:val="00D63494"/>
    <w:rsid w:val="00D66419"/>
    <w:rsid w:val="00D72384"/>
    <w:rsid w:val="00D771BD"/>
    <w:rsid w:val="00D77466"/>
    <w:rsid w:val="00D82F17"/>
    <w:rsid w:val="00D85738"/>
    <w:rsid w:val="00D87B1C"/>
    <w:rsid w:val="00D87C67"/>
    <w:rsid w:val="00D92BE6"/>
    <w:rsid w:val="00DA4A90"/>
    <w:rsid w:val="00DA5F15"/>
    <w:rsid w:val="00DA7611"/>
    <w:rsid w:val="00DA7C58"/>
    <w:rsid w:val="00DB0DCE"/>
    <w:rsid w:val="00DB0DE7"/>
    <w:rsid w:val="00DB2C04"/>
    <w:rsid w:val="00DB2E6A"/>
    <w:rsid w:val="00DC00D8"/>
    <w:rsid w:val="00DC1851"/>
    <w:rsid w:val="00DC2A28"/>
    <w:rsid w:val="00DC3EFD"/>
    <w:rsid w:val="00DC587F"/>
    <w:rsid w:val="00DD0172"/>
    <w:rsid w:val="00DD0CAE"/>
    <w:rsid w:val="00DD3601"/>
    <w:rsid w:val="00DD709D"/>
    <w:rsid w:val="00DE0F62"/>
    <w:rsid w:val="00DE190D"/>
    <w:rsid w:val="00DE1D3B"/>
    <w:rsid w:val="00DE21B2"/>
    <w:rsid w:val="00DE5A0F"/>
    <w:rsid w:val="00DE7733"/>
    <w:rsid w:val="00DE7B2C"/>
    <w:rsid w:val="00DF0A1D"/>
    <w:rsid w:val="00DF4031"/>
    <w:rsid w:val="00DF7891"/>
    <w:rsid w:val="00DF7FFA"/>
    <w:rsid w:val="00E00349"/>
    <w:rsid w:val="00E00C72"/>
    <w:rsid w:val="00E018D7"/>
    <w:rsid w:val="00E01B0A"/>
    <w:rsid w:val="00E01B88"/>
    <w:rsid w:val="00E02A28"/>
    <w:rsid w:val="00E07390"/>
    <w:rsid w:val="00E1092A"/>
    <w:rsid w:val="00E1187C"/>
    <w:rsid w:val="00E15159"/>
    <w:rsid w:val="00E160F2"/>
    <w:rsid w:val="00E164CD"/>
    <w:rsid w:val="00E16C08"/>
    <w:rsid w:val="00E20CEE"/>
    <w:rsid w:val="00E21DFA"/>
    <w:rsid w:val="00E240D1"/>
    <w:rsid w:val="00E245C1"/>
    <w:rsid w:val="00E253C8"/>
    <w:rsid w:val="00E273FA"/>
    <w:rsid w:val="00E3104E"/>
    <w:rsid w:val="00E31257"/>
    <w:rsid w:val="00E32099"/>
    <w:rsid w:val="00E32DE4"/>
    <w:rsid w:val="00E33BDE"/>
    <w:rsid w:val="00E34F8F"/>
    <w:rsid w:val="00E36D5D"/>
    <w:rsid w:val="00E43B31"/>
    <w:rsid w:val="00E43E66"/>
    <w:rsid w:val="00E46415"/>
    <w:rsid w:val="00E476FC"/>
    <w:rsid w:val="00E47EC4"/>
    <w:rsid w:val="00E5048D"/>
    <w:rsid w:val="00E5140A"/>
    <w:rsid w:val="00E52822"/>
    <w:rsid w:val="00E53CFB"/>
    <w:rsid w:val="00E56AB6"/>
    <w:rsid w:val="00E57084"/>
    <w:rsid w:val="00E57E3F"/>
    <w:rsid w:val="00E602C7"/>
    <w:rsid w:val="00E60F22"/>
    <w:rsid w:val="00E62C32"/>
    <w:rsid w:val="00E67570"/>
    <w:rsid w:val="00E718B8"/>
    <w:rsid w:val="00E75013"/>
    <w:rsid w:val="00E75A15"/>
    <w:rsid w:val="00E76C55"/>
    <w:rsid w:val="00E83C99"/>
    <w:rsid w:val="00E86BDA"/>
    <w:rsid w:val="00E87018"/>
    <w:rsid w:val="00E92847"/>
    <w:rsid w:val="00E96D73"/>
    <w:rsid w:val="00E96DA0"/>
    <w:rsid w:val="00E977B0"/>
    <w:rsid w:val="00EA1344"/>
    <w:rsid w:val="00EA3A22"/>
    <w:rsid w:val="00EA612D"/>
    <w:rsid w:val="00EA72D3"/>
    <w:rsid w:val="00EA7C48"/>
    <w:rsid w:val="00EA7C82"/>
    <w:rsid w:val="00EB130F"/>
    <w:rsid w:val="00EB269C"/>
    <w:rsid w:val="00EB323A"/>
    <w:rsid w:val="00EB4754"/>
    <w:rsid w:val="00EC1A54"/>
    <w:rsid w:val="00EC1C26"/>
    <w:rsid w:val="00EC3E45"/>
    <w:rsid w:val="00EC6A34"/>
    <w:rsid w:val="00EC7A44"/>
    <w:rsid w:val="00ED0515"/>
    <w:rsid w:val="00ED1FB5"/>
    <w:rsid w:val="00ED21AA"/>
    <w:rsid w:val="00ED23A9"/>
    <w:rsid w:val="00ED46FD"/>
    <w:rsid w:val="00ED4DDF"/>
    <w:rsid w:val="00ED7FBF"/>
    <w:rsid w:val="00EE1492"/>
    <w:rsid w:val="00EE64A1"/>
    <w:rsid w:val="00EE7B24"/>
    <w:rsid w:val="00EF0F45"/>
    <w:rsid w:val="00EF4C17"/>
    <w:rsid w:val="00EF6D83"/>
    <w:rsid w:val="00EF7234"/>
    <w:rsid w:val="00EF7E5A"/>
    <w:rsid w:val="00F00E52"/>
    <w:rsid w:val="00F02982"/>
    <w:rsid w:val="00F0319E"/>
    <w:rsid w:val="00F03661"/>
    <w:rsid w:val="00F05406"/>
    <w:rsid w:val="00F06BF6"/>
    <w:rsid w:val="00F11017"/>
    <w:rsid w:val="00F128D6"/>
    <w:rsid w:val="00F12E8D"/>
    <w:rsid w:val="00F13494"/>
    <w:rsid w:val="00F13C4B"/>
    <w:rsid w:val="00F141AC"/>
    <w:rsid w:val="00F14FEF"/>
    <w:rsid w:val="00F16DC6"/>
    <w:rsid w:val="00F171A4"/>
    <w:rsid w:val="00F20F52"/>
    <w:rsid w:val="00F217FC"/>
    <w:rsid w:val="00F21D32"/>
    <w:rsid w:val="00F22E69"/>
    <w:rsid w:val="00F23629"/>
    <w:rsid w:val="00F23ADD"/>
    <w:rsid w:val="00F26731"/>
    <w:rsid w:val="00F269E7"/>
    <w:rsid w:val="00F3064B"/>
    <w:rsid w:val="00F32664"/>
    <w:rsid w:val="00F34C7E"/>
    <w:rsid w:val="00F34EF4"/>
    <w:rsid w:val="00F35381"/>
    <w:rsid w:val="00F355B8"/>
    <w:rsid w:val="00F360D4"/>
    <w:rsid w:val="00F43DE3"/>
    <w:rsid w:val="00F44479"/>
    <w:rsid w:val="00F4465C"/>
    <w:rsid w:val="00F448F9"/>
    <w:rsid w:val="00F477D2"/>
    <w:rsid w:val="00F523F2"/>
    <w:rsid w:val="00F54E7D"/>
    <w:rsid w:val="00F55A66"/>
    <w:rsid w:val="00F5650B"/>
    <w:rsid w:val="00F61D12"/>
    <w:rsid w:val="00F61DD0"/>
    <w:rsid w:val="00F63AF5"/>
    <w:rsid w:val="00F63DD9"/>
    <w:rsid w:val="00F64126"/>
    <w:rsid w:val="00F65CFA"/>
    <w:rsid w:val="00F661A7"/>
    <w:rsid w:val="00F67476"/>
    <w:rsid w:val="00F676FA"/>
    <w:rsid w:val="00F67C53"/>
    <w:rsid w:val="00F711F0"/>
    <w:rsid w:val="00F71266"/>
    <w:rsid w:val="00F72DB7"/>
    <w:rsid w:val="00F74939"/>
    <w:rsid w:val="00F7641E"/>
    <w:rsid w:val="00F8179F"/>
    <w:rsid w:val="00F8278B"/>
    <w:rsid w:val="00F82F08"/>
    <w:rsid w:val="00F8347B"/>
    <w:rsid w:val="00F8390A"/>
    <w:rsid w:val="00F85078"/>
    <w:rsid w:val="00F85136"/>
    <w:rsid w:val="00F854A6"/>
    <w:rsid w:val="00F87308"/>
    <w:rsid w:val="00F931C2"/>
    <w:rsid w:val="00F956C7"/>
    <w:rsid w:val="00F95A4E"/>
    <w:rsid w:val="00F96415"/>
    <w:rsid w:val="00FA06C2"/>
    <w:rsid w:val="00FA3006"/>
    <w:rsid w:val="00FA4F4F"/>
    <w:rsid w:val="00FA6851"/>
    <w:rsid w:val="00FA7690"/>
    <w:rsid w:val="00FB0C36"/>
    <w:rsid w:val="00FB2436"/>
    <w:rsid w:val="00FB3703"/>
    <w:rsid w:val="00FB507B"/>
    <w:rsid w:val="00FB5534"/>
    <w:rsid w:val="00FB5E25"/>
    <w:rsid w:val="00FB7B9C"/>
    <w:rsid w:val="00FC1F3F"/>
    <w:rsid w:val="00FC4A4F"/>
    <w:rsid w:val="00FC5B74"/>
    <w:rsid w:val="00FC6299"/>
    <w:rsid w:val="00FD157B"/>
    <w:rsid w:val="00FE111E"/>
    <w:rsid w:val="00FE3352"/>
    <w:rsid w:val="00FE40BD"/>
    <w:rsid w:val="00FF20FE"/>
    <w:rsid w:val="00FF7237"/>
    <w:rsid w:val="00FF7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12F2"/>
  <w15:docId w15:val="{9871352D-3854-4DC1-9A9E-79E1E893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81DCB"/>
    <w:rPr>
      <w:rFonts w:ascii="AdvTrebu-B" w:hAnsi="AdvTrebu-B" w:hint="default"/>
      <w:b w:val="0"/>
      <w:bCs w:val="0"/>
      <w:i w:val="0"/>
      <w:iCs w:val="0"/>
      <w:color w:val="000000"/>
      <w:sz w:val="18"/>
      <w:szCs w:val="18"/>
    </w:rPr>
  </w:style>
  <w:style w:type="character" w:customStyle="1" w:styleId="fontstyle21">
    <w:name w:val="fontstyle21"/>
    <w:basedOn w:val="DefaultParagraphFont"/>
    <w:rsid w:val="00481DCB"/>
    <w:rPr>
      <w:rFonts w:ascii="AdvTrebu-R" w:hAnsi="AdvTrebu-R" w:hint="default"/>
      <w:b w:val="0"/>
      <w:bCs w:val="0"/>
      <w:i w:val="0"/>
      <w:iCs w:val="0"/>
      <w:color w:val="000000"/>
      <w:sz w:val="18"/>
      <w:szCs w:val="18"/>
    </w:rPr>
  </w:style>
  <w:style w:type="character" w:customStyle="1" w:styleId="fontstyle31">
    <w:name w:val="fontstyle31"/>
    <w:basedOn w:val="DefaultParagraphFont"/>
    <w:rsid w:val="00481DCB"/>
    <w:rPr>
      <w:rFonts w:ascii="AdvTrebu-I" w:hAnsi="AdvTrebu-I" w:hint="default"/>
      <w:b w:val="0"/>
      <w:bCs w:val="0"/>
      <w:i w:val="0"/>
      <w:iCs w:val="0"/>
      <w:color w:val="000000"/>
      <w:sz w:val="18"/>
      <w:szCs w:val="18"/>
    </w:rPr>
  </w:style>
  <w:style w:type="character" w:customStyle="1" w:styleId="fontstyle41">
    <w:name w:val="fontstyle41"/>
    <w:basedOn w:val="DefaultParagraphFont"/>
    <w:rsid w:val="00481DCB"/>
    <w:rPr>
      <w:rFonts w:ascii="AdvP4C4E74" w:hAnsi="AdvP4C4E74" w:hint="default"/>
      <w:b w:val="0"/>
      <w:bCs w:val="0"/>
      <w:i w:val="0"/>
      <w:iCs w:val="0"/>
      <w:color w:val="000000"/>
      <w:sz w:val="18"/>
      <w:szCs w:val="18"/>
    </w:rPr>
  </w:style>
  <w:style w:type="character" w:customStyle="1" w:styleId="fontstyle51">
    <w:name w:val="fontstyle51"/>
    <w:basedOn w:val="DefaultParagraphFont"/>
    <w:rsid w:val="00481DCB"/>
    <w:rPr>
      <w:rFonts w:ascii="AdvP4C4E51" w:hAnsi="AdvP4C4E51" w:hint="default"/>
      <w:b w:val="0"/>
      <w:bCs w:val="0"/>
      <w:i w:val="0"/>
      <w:iCs w:val="0"/>
      <w:color w:val="000000"/>
      <w:sz w:val="18"/>
      <w:szCs w:val="18"/>
    </w:rPr>
  </w:style>
  <w:style w:type="paragraph" w:styleId="ListParagraph">
    <w:name w:val="List Paragraph"/>
    <w:basedOn w:val="Normal"/>
    <w:uiPriority w:val="34"/>
    <w:qFormat/>
    <w:rsid w:val="00206E57"/>
    <w:pPr>
      <w:ind w:left="720"/>
      <w:contextualSpacing/>
    </w:pPr>
  </w:style>
  <w:style w:type="paragraph" w:styleId="NormalWeb">
    <w:name w:val="Normal (Web)"/>
    <w:basedOn w:val="Normal"/>
    <w:uiPriority w:val="99"/>
    <w:unhideWhenUsed/>
    <w:rsid w:val="00206E5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F1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28D6"/>
    <w:rPr>
      <w:i/>
      <w:iCs/>
    </w:rPr>
  </w:style>
  <w:style w:type="paragraph" w:styleId="Header">
    <w:name w:val="header"/>
    <w:basedOn w:val="Normal"/>
    <w:link w:val="HeaderChar"/>
    <w:uiPriority w:val="99"/>
    <w:unhideWhenUsed/>
    <w:rsid w:val="00256B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56B24"/>
    <w:rPr>
      <w:sz w:val="20"/>
      <w:szCs w:val="20"/>
    </w:rPr>
  </w:style>
  <w:style w:type="paragraph" w:styleId="Footer">
    <w:name w:val="footer"/>
    <w:basedOn w:val="Normal"/>
    <w:link w:val="FooterChar"/>
    <w:uiPriority w:val="99"/>
    <w:unhideWhenUsed/>
    <w:rsid w:val="00256B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56B24"/>
    <w:rPr>
      <w:sz w:val="20"/>
      <w:szCs w:val="20"/>
    </w:rPr>
  </w:style>
  <w:style w:type="character" w:styleId="CommentReference">
    <w:name w:val="annotation reference"/>
    <w:basedOn w:val="DefaultParagraphFont"/>
    <w:uiPriority w:val="99"/>
    <w:semiHidden/>
    <w:unhideWhenUsed/>
    <w:rsid w:val="00256B24"/>
    <w:rPr>
      <w:sz w:val="18"/>
      <w:szCs w:val="18"/>
    </w:rPr>
  </w:style>
  <w:style w:type="paragraph" w:styleId="CommentText">
    <w:name w:val="annotation text"/>
    <w:basedOn w:val="Normal"/>
    <w:link w:val="CommentTextChar"/>
    <w:uiPriority w:val="99"/>
    <w:semiHidden/>
    <w:unhideWhenUsed/>
    <w:rsid w:val="00256B24"/>
  </w:style>
  <w:style w:type="character" w:customStyle="1" w:styleId="CommentTextChar">
    <w:name w:val="Comment Text Char"/>
    <w:basedOn w:val="DefaultParagraphFont"/>
    <w:link w:val="CommentText"/>
    <w:uiPriority w:val="99"/>
    <w:semiHidden/>
    <w:rsid w:val="00256B24"/>
  </w:style>
  <w:style w:type="paragraph" w:styleId="CommentSubject">
    <w:name w:val="annotation subject"/>
    <w:basedOn w:val="CommentText"/>
    <w:next w:val="CommentText"/>
    <w:link w:val="CommentSubjectChar"/>
    <w:uiPriority w:val="99"/>
    <w:semiHidden/>
    <w:unhideWhenUsed/>
    <w:rsid w:val="00256B24"/>
    <w:rPr>
      <w:b/>
      <w:bCs/>
    </w:rPr>
  </w:style>
  <w:style w:type="character" w:customStyle="1" w:styleId="CommentSubjectChar">
    <w:name w:val="Comment Subject Char"/>
    <w:basedOn w:val="CommentTextChar"/>
    <w:link w:val="CommentSubject"/>
    <w:uiPriority w:val="99"/>
    <w:semiHidden/>
    <w:rsid w:val="00256B24"/>
    <w:rPr>
      <w:b/>
      <w:bCs/>
    </w:rPr>
  </w:style>
  <w:style w:type="paragraph" w:styleId="BalloonText">
    <w:name w:val="Balloon Text"/>
    <w:basedOn w:val="Normal"/>
    <w:link w:val="BalloonTextChar"/>
    <w:uiPriority w:val="99"/>
    <w:semiHidden/>
    <w:unhideWhenUsed/>
    <w:rsid w:val="00256B2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56B2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224E3"/>
    <w:rPr>
      <w:color w:val="0563C1" w:themeColor="hyperlink"/>
      <w:u w:val="single"/>
    </w:rPr>
  </w:style>
  <w:style w:type="character" w:styleId="FollowedHyperlink">
    <w:name w:val="FollowedHyperlink"/>
    <w:basedOn w:val="DefaultParagraphFont"/>
    <w:uiPriority w:val="99"/>
    <w:semiHidden/>
    <w:unhideWhenUsed/>
    <w:rsid w:val="007224E3"/>
    <w:rPr>
      <w:color w:val="954F72" w:themeColor="followedHyperlink"/>
      <w:u w:val="single"/>
    </w:rPr>
  </w:style>
  <w:style w:type="paragraph" w:styleId="FootnoteText">
    <w:name w:val="footnote text"/>
    <w:basedOn w:val="Normal"/>
    <w:link w:val="FootnoteTextChar"/>
    <w:uiPriority w:val="99"/>
    <w:semiHidden/>
    <w:unhideWhenUsed/>
    <w:rsid w:val="00583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79B"/>
    <w:rPr>
      <w:sz w:val="20"/>
      <w:szCs w:val="20"/>
    </w:rPr>
  </w:style>
  <w:style w:type="character" w:styleId="FootnoteReference">
    <w:name w:val="footnote reference"/>
    <w:basedOn w:val="DefaultParagraphFont"/>
    <w:uiPriority w:val="99"/>
    <w:semiHidden/>
    <w:unhideWhenUsed/>
    <w:rsid w:val="0058379B"/>
    <w:rPr>
      <w:vertAlign w:val="superscript"/>
    </w:rPr>
  </w:style>
  <w:style w:type="paragraph" w:styleId="Revision">
    <w:name w:val="Revision"/>
    <w:hidden/>
    <w:uiPriority w:val="99"/>
    <w:semiHidden/>
    <w:rsid w:val="00BF77F7"/>
    <w:pPr>
      <w:spacing w:after="0" w:line="240" w:lineRule="auto"/>
    </w:pPr>
  </w:style>
  <w:style w:type="paragraph" w:customStyle="1" w:styleId="EndNoteBibliography">
    <w:name w:val="EndNote Bibliography"/>
    <w:basedOn w:val="Normal"/>
    <w:link w:val="EndNoteBibliographyChar"/>
    <w:rsid w:val="0026435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6435E"/>
    <w:rPr>
      <w:rFonts w:ascii="Calibri" w:hAnsi="Calibri" w:cs="Calibri"/>
      <w:noProof/>
    </w:rPr>
  </w:style>
  <w:style w:type="paragraph" w:customStyle="1" w:styleId="EndNoteBibliographyTitle">
    <w:name w:val="EndNote Bibliography Title"/>
    <w:basedOn w:val="Normal"/>
    <w:link w:val="EndNoteBibliographyTitleChar"/>
    <w:rsid w:val="006C2682"/>
    <w:pPr>
      <w:framePr w:hSpace="180" w:wrap="around" w:vAnchor="text" w:hAnchor="margin" w:xAlign="center" w:y="894"/>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2682"/>
    <w:rPr>
      <w:rFonts w:ascii="Calibri" w:hAnsi="Calibri" w:cs="Calibri"/>
      <w:noProof/>
    </w:rPr>
  </w:style>
  <w:style w:type="paragraph" w:customStyle="1" w:styleId="Default">
    <w:name w:val="Default"/>
    <w:rsid w:val="007B10C2"/>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hiddenreadable">
    <w:name w:val="hiddenreadable"/>
    <w:basedOn w:val="DefaultParagraphFont"/>
    <w:rsid w:val="00F02982"/>
  </w:style>
  <w:style w:type="table" w:customStyle="1" w:styleId="21">
    <w:name w:val="純表格 21"/>
    <w:basedOn w:val="TableNormal"/>
    <w:uiPriority w:val="42"/>
    <w:rsid w:val="00AC19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9982">
      <w:bodyDiv w:val="1"/>
      <w:marLeft w:val="0"/>
      <w:marRight w:val="0"/>
      <w:marTop w:val="0"/>
      <w:marBottom w:val="0"/>
      <w:divBdr>
        <w:top w:val="none" w:sz="0" w:space="0" w:color="auto"/>
        <w:left w:val="none" w:sz="0" w:space="0" w:color="auto"/>
        <w:bottom w:val="none" w:sz="0" w:space="0" w:color="auto"/>
        <w:right w:val="none" w:sz="0" w:space="0" w:color="auto"/>
      </w:divBdr>
      <w:divsChild>
        <w:div w:id="1295479268">
          <w:marLeft w:val="274"/>
          <w:marRight w:val="0"/>
          <w:marTop w:val="0"/>
          <w:marBottom w:val="0"/>
          <w:divBdr>
            <w:top w:val="none" w:sz="0" w:space="0" w:color="auto"/>
            <w:left w:val="none" w:sz="0" w:space="0" w:color="auto"/>
            <w:bottom w:val="none" w:sz="0" w:space="0" w:color="auto"/>
            <w:right w:val="none" w:sz="0" w:space="0" w:color="auto"/>
          </w:divBdr>
        </w:div>
        <w:div w:id="1869177778">
          <w:marLeft w:val="274"/>
          <w:marRight w:val="0"/>
          <w:marTop w:val="0"/>
          <w:marBottom w:val="0"/>
          <w:divBdr>
            <w:top w:val="none" w:sz="0" w:space="0" w:color="auto"/>
            <w:left w:val="none" w:sz="0" w:space="0" w:color="auto"/>
            <w:bottom w:val="none" w:sz="0" w:space="0" w:color="auto"/>
            <w:right w:val="none" w:sz="0" w:space="0" w:color="auto"/>
          </w:divBdr>
        </w:div>
        <w:div w:id="776758476">
          <w:marLeft w:val="274"/>
          <w:marRight w:val="0"/>
          <w:marTop w:val="0"/>
          <w:marBottom w:val="0"/>
          <w:divBdr>
            <w:top w:val="none" w:sz="0" w:space="0" w:color="auto"/>
            <w:left w:val="none" w:sz="0" w:space="0" w:color="auto"/>
            <w:bottom w:val="none" w:sz="0" w:space="0" w:color="auto"/>
            <w:right w:val="none" w:sz="0" w:space="0" w:color="auto"/>
          </w:divBdr>
        </w:div>
        <w:div w:id="1894197588">
          <w:marLeft w:val="274"/>
          <w:marRight w:val="0"/>
          <w:marTop w:val="0"/>
          <w:marBottom w:val="0"/>
          <w:divBdr>
            <w:top w:val="none" w:sz="0" w:space="0" w:color="auto"/>
            <w:left w:val="none" w:sz="0" w:space="0" w:color="auto"/>
            <w:bottom w:val="none" w:sz="0" w:space="0" w:color="auto"/>
            <w:right w:val="none" w:sz="0" w:space="0" w:color="auto"/>
          </w:divBdr>
        </w:div>
        <w:div w:id="273753658">
          <w:marLeft w:val="274"/>
          <w:marRight w:val="0"/>
          <w:marTop w:val="0"/>
          <w:marBottom w:val="0"/>
          <w:divBdr>
            <w:top w:val="none" w:sz="0" w:space="0" w:color="auto"/>
            <w:left w:val="none" w:sz="0" w:space="0" w:color="auto"/>
            <w:bottom w:val="none" w:sz="0" w:space="0" w:color="auto"/>
            <w:right w:val="none" w:sz="0" w:space="0" w:color="auto"/>
          </w:divBdr>
        </w:div>
      </w:divsChild>
    </w:div>
    <w:div w:id="199441854">
      <w:bodyDiv w:val="1"/>
      <w:marLeft w:val="0"/>
      <w:marRight w:val="0"/>
      <w:marTop w:val="0"/>
      <w:marBottom w:val="0"/>
      <w:divBdr>
        <w:top w:val="none" w:sz="0" w:space="0" w:color="auto"/>
        <w:left w:val="none" w:sz="0" w:space="0" w:color="auto"/>
        <w:bottom w:val="none" w:sz="0" w:space="0" w:color="auto"/>
        <w:right w:val="none" w:sz="0" w:space="0" w:color="auto"/>
      </w:divBdr>
    </w:div>
    <w:div w:id="325746433">
      <w:bodyDiv w:val="1"/>
      <w:marLeft w:val="0"/>
      <w:marRight w:val="0"/>
      <w:marTop w:val="0"/>
      <w:marBottom w:val="0"/>
      <w:divBdr>
        <w:top w:val="none" w:sz="0" w:space="0" w:color="auto"/>
        <w:left w:val="none" w:sz="0" w:space="0" w:color="auto"/>
        <w:bottom w:val="none" w:sz="0" w:space="0" w:color="auto"/>
        <w:right w:val="none" w:sz="0" w:space="0" w:color="auto"/>
      </w:divBdr>
    </w:div>
    <w:div w:id="469713314">
      <w:bodyDiv w:val="1"/>
      <w:marLeft w:val="0"/>
      <w:marRight w:val="0"/>
      <w:marTop w:val="0"/>
      <w:marBottom w:val="0"/>
      <w:divBdr>
        <w:top w:val="none" w:sz="0" w:space="0" w:color="auto"/>
        <w:left w:val="none" w:sz="0" w:space="0" w:color="auto"/>
        <w:bottom w:val="none" w:sz="0" w:space="0" w:color="auto"/>
        <w:right w:val="none" w:sz="0" w:space="0" w:color="auto"/>
      </w:divBdr>
    </w:div>
    <w:div w:id="523372490">
      <w:bodyDiv w:val="1"/>
      <w:marLeft w:val="0"/>
      <w:marRight w:val="0"/>
      <w:marTop w:val="0"/>
      <w:marBottom w:val="0"/>
      <w:divBdr>
        <w:top w:val="none" w:sz="0" w:space="0" w:color="auto"/>
        <w:left w:val="none" w:sz="0" w:space="0" w:color="auto"/>
        <w:bottom w:val="none" w:sz="0" w:space="0" w:color="auto"/>
        <w:right w:val="none" w:sz="0" w:space="0" w:color="auto"/>
      </w:divBdr>
    </w:div>
    <w:div w:id="637491380">
      <w:bodyDiv w:val="1"/>
      <w:marLeft w:val="0"/>
      <w:marRight w:val="0"/>
      <w:marTop w:val="0"/>
      <w:marBottom w:val="0"/>
      <w:divBdr>
        <w:top w:val="none" w:sz="0" w:space="0" w:color="auto"/>
        <w:left w:val="none" w:sz="0" w:space="0" w:color="auto"/>
        <w:bottom w:val="none" w:sz="0" w:space="0" w:color="auto"/>
        <w:right w:val="none" w:sz="0" w:space="0" w:color="auto"/>
      </w:divBdr>
    </w:div>
    <w:div w:id="783426649">
      <w:bodyDiv w:val="1"/>
      <w:marLeft w:val="0"/>
      <w:marRight w:val="0"/>
      <w:marTop w:val="0"/>
      <w:marBottom w:val="0"/>
      <w:divBdr>
        <w:top w:val="none" w:sz="0" w:space="0" w:color="auto"/>
        <w:left w:val="none" w:sz="0" w:space="0" w:color="auto"/>
        <w:bottom w:val="none" w:sz="0" w:space="0" w:color="auto"/>
        <w:right w:val="none" w:sz="0" w:space="0" w:color="auto"/>
      </w:divBdr>
    </w:div>
    <w:div w:id="901133931">
      <w:bodyDiv w:val="1"/>
      <w:marLeft w:val="0"/>
      <w:marRight w:val="0"/>
      <w:marTop w:val="0"/>
      <w:marBottom w:val="0"/>
      <w:divBdr>
        <w:top w:val="none" w:sz="0" w:space="0" w:color="auto"/>
        <w:left w:val="none" w:sz="0" w:space="0" w:color="auto"/>
        <w:bottom w:val="none" w:sz="0" w:space="0" w:color="auto"/>
        <w:right w:val="none" w:sz="0" w:space="0" w:color="auto"/>
      </w:divBdr>
    </w:div>
    <w:div w:id="1061750917">
      <w:bodyDiv w:val="1"/>
      <w:marLeft w:val="0"/>
      <w:marRight w:val="0"/>
      <w:marTop w:val="0"/>
      <w:marBottom w:val="0"/>
      <w:divBdr>
        <w:top w:val="none" w:sz="0" w:space="0" w:color="auto"/>
        <w:left w:val="none" w:sz="0" w:space="0" w:color="auto"/>
        <w:bottom w:val="none" w:sz="0" w:space="0" w:color="auto"/>
        <w:right w:val="none" w:sz="0" w:space="0" w:color="auto"/>
      </w:divBdr>
    </w:div>
    <w:div w:id="1130593937">
      <w:bodyDiv w:val="1"/>
      <w:marLeft w:val="0"/>
      <w:marRight w:val="0"/>
      <w:marTop w:val="0"/>
      <w:marBottom w:val="0"/>
      <w:divBdr>
        <w:top w:val="none" w:sz="0" w:space="0" w:color="auto"/>
        <w:left w:val="none" w:sz="0" w:space="0" w:color="auto"/>
        <w:bottom w:val="none" w:sz="0" w:space="0" w:color="auto"/>
        <w:right w:val="none" w:sz="0" w:space="0" w:color="auto"/>
      </w:divBdr>
      <w:divsChild>
        <w:div w:id="194972602">
          <w:marLeft w:val="274"/>
          <w:marRight w:val="0"/>
          <w:marTop w:val="0"/>
          <w:marBottom w:val="0"/>
          <w:divBdr>
            <w:top w:val="none" w:sz="0" w:space="0" w:color="auto"/>
            <w:left w:val="none" w:sz="0" w:space="0" w:color="auto"/>
            <w:bottom w:val="none" w:sz="0" w:space="0" w:color="auto"/>
            <w:right w:val="none" w:sz="0" w:space="0" w:color="auto"/>
          </w:divBdr>
        </w:div>
        <w:div w:id="1344165372">
          <w:marLeft w:val="274"/>
          <w:marRight w:val="0"/>
          <w:marTop w:val="0"/>
          <w:marBottom w:val="0"/>
          <w:divBdr>
            <w:top w:val="none" w:sz="0" w:space="0" w:color="auto"/>
            <w:left w:val="none" w:sz="0" w:space="0" w:color="auto"/>
            <w:bottom w:val="none" w:sz="0" w:space="0" w:color="auto"/>
            <w:right w:val="none" w:sz="0" w:space="0" w:color="auto"/>
          </w:divBdr>
        </w:div>
      </w:divsChild>
    </w:div>
    <w:div w:id="1332485055">
      <w:bodyDiv w:val="1"/>
      <w:marLeft w:val="0"/>
      <w:marRight w:val="0"/>
      <w:marTop w:val="0"/>
      <w:marBottom w:val="0"/>
      <w:divBdr>
        <w:top w:val="none" w:sz="0" w:space="0" w:color="auto"/>
        <w:left w:val="none" w:sz="0" w:space="0" w:color="auto"/>
        <w:bottom w:val="none" w:sz="0" w:space="0" w:color="auto"/>
        <w:right w:val="none" w:sz="0" w:space="0" w:color="auto"/>
      </w:divBdr>
    </w:div>
    <w:div w:id="1345745199">
      <w:bodyDiv w:val="1"/>
      <w:marLeft w:val="0"/>
      <w:marRight w:val="0"/>
      <w:marTop w:val="0"/>
      <w:marBottom w:val="0"/>
      <w:divBdr>
        <w:top w:val="none" w:sz="0" w:space="0" w:color="auto"/>
        <w:left w:val="none" w:sz="0" w:space="0" w:color="auto"/>
        <w:bottom w:val="none" w:sz="0" w:space="0" w:color="auto"/>
        <w:right w:val="none" w:sz="0" w:space="0" w:color="auto"/>
      </w:divBdr>
    </w:div>
    <w:div w:id="1407727742">
      <w:bodyDiv w:val="1"/>
      <w:marLeft w:val="0"/>
      <w:marRight w:val="0"/>
      <w:marTop w:val="0"/>
      <w:marBottom w:val="0"/>
      <w:divBdr>
        <w:top w:val="none" w:sz="0" w:space="0" w:color="auto"/>
        <w:left w:val="none" w:sz="0" w:space="0" w:color="auto"/>
        <w:bottom w:val="none" w:sz="0" w:space="0" w:color="auto"/>
        <w:right w:val="none" w:sz="0" w:space="0" w:color="auto"/>
      </w:divBdr>
    </w:div>
    <w:div w:id="1605765377">
      <w:bodyDiv w:val="1"/>
      <w:marLeft w:val="0"/>
      <w:marRight w:val="0"/>
      <w:marTop w:val="0"/>
      <w:marBottom w:val="0"/>
      <w:divBdr>
        <w:top w:val="none" w:sz="0" w:space="0" w:color="auto"/>
        <w:left w:val="none" w:sz="0" w:space="0" w:color="auto"/>
        <w:bottom w:val="none" w:sz="0" w:space="0" w:color="auto"/>
        <w:right w:val="none" w:sz="0" w:space="0" w:color="auto"/>
      </w:divBdr>
    </w:div>
    <w:div w:id="1639191173">
      <w:bodyDiv w:val="1"/>
      <w:marLeft w:val="0"/>
      <w:marRight w:val="0"/>
      <w:marTop w:val="0"/>
      <w:marBottom w:val="0"/>
      <w:divBdr>
        <w:top w:val="none" w:sz="0" w:space="0" w:color="auto"/>
        <w:left w:val="none" w:sz="0" w:space="0" w:color="auto"/>
        <w:bottom w:val="none" w:sz="0" w:space="0" w:color="auto"/>
        <w:right w:val="none" w:sz="0" w:space="0" w:color="auto"/>
      </w:divBdr>
    </w:div>
    <w:div w:id="1663044091">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71326897">
      <w:bodyDiv w:val="1"/>
      <w:marLeft w:val="0"/>
      <w:marRight w:val="0"/>
      <w:marTop w:val="0"/>
      <w:marBottom w:val="0"/>
      <w:divBdr>
        <w:top w:val="none" w:sz="0" w:space="0" w:color="auto"/>
        <w:left w:val="none" w:sz="0" w:space="0" w:color="auto"/>
        <w:bottom w:val="none" w:sz="0" w:space="0" w:color="auto"/>
        <w:right w:val="none" w:sz="0" w:space="0" w:color="auto"/>
      </w:divBdr>
    </w:div>
    <w:div w:id="1899172413">
      <w:bodyDiv w:val="1"/>
      <w:marLeft w:val="0"/>
      <w:marRight w:val="0"/>
      <w:marTop w:val="0"/>
      <w:marBottom w:val="0"/>
      <w:divBdr>
        <w:top w:val="none" w:sz="0" w:space="0" w:color="auto"/>
        <w:left w:val="none" w:sz="0" w:space="0" w:color="auto"/>
        <w:bottom w:val="none" w:sz="0" w:space="0" w:color="auto"/>
        <w:right w:val="none" w:sz="0" w:space="0" w:color="auto"/>
      </w:divBdr>
    </w:div>
    <w:div w:id="1903566447">
      <w:bodyDiv w:val="1"/>
      <w:marLeft w:val="0"/>
      <w:marRight w:val="0"/>
      <w:marTop w:val="0"/>
      <w:marBottom w:val="0"/>
      <w:divBdr>
        <w:top w:val="none" w:sz="0" w:space="0" w:color="auto"/>
        <w:left w:val="none" w:sz="0" w:space="0" w:color="auto"/>
        <w:bottom w:val="none" w:sz="0" w:space="0" w:color="auto"/>
        <w:right w:val="none" w:sz="0" w:space="0" w:color="auto"/>
      </w:divBdr>
    </w:div>
    <w:div w:id="1968774452">
      <w:bodyDiv w:val="1"/>
      <w:marLeft w:val="0"/>
      <w:marRight w:val="0"/>
      <w:marTop w:val="0"/>
      <w:marBottom w:val="0"/>
      <w:divBdr>
        <w:top w:val="none" w:sz="0" w:space="0" w:color="auto"/>
        <w:left w:val="none" w:sz="0" w:space="0" w:color="auto"/>
        <w:bottom w:val="none" w:sz="0" w:space="0" w:color="auto"/>
        <w:right w:val="none" w:sz="0" w:space="0" w:color="auto"/>
      </w:divBdr>
    </w:div>
    <w:div w:id="1993605688">
      <w:bodyDiv w:val="1"/>
      <w:marLeft w:val="0"/>
      <w:marRight w:val="0"/>
      <w:marTop w:val="0"/>
      <w:marBottom w:val="0"/>
      <w:divBdr>
        <w:top w:val="none" w:sz="0" w:space="0" w:color="auto"/>
        <w:left w:val="none" w:sz="0" w:space="0" w:color="auto"/>
        <w:bottom w:val="none" w:sz="0" w:space="0" w:color="auto"/>
        <w:right w:val="none" w:sz="0" w:space="0" w:color="auto"/>
      </w:divBdr>
    </w:div>
    <w:div w:id="2005082476">
      <w:bodyDiv w:val="1"/>
      <w:marLeft w:val="0"/>
      <w:marRight w:val="0"/>
      <w:marTop w:val="0"/>
      <w:marBottom w:val="0"/>
      <w:divBdr>
        <w:top w:val="none" w:sz="0" w:space="0" w:color="auto"/>
        <w:left w:val="none" w:sz="0" w:space="0" w:color="auto"/>
        <w:bottom w:val="none" w:sz="0" w:space="0" w:color="auto"/>
        <w:right w:val="none" w:sz="0" w:space="0" w:color="auto"/>
      </w:divBdr>
    </w:div>
    <w:div w:id="2017341678">
      <w:bodyDiv w:val="1"/>
      <w:marLeft w:val="0"/>
      <w:marRight w:val="0"/>
      <w:marTop w:val="0"/>
      <w:marBottom w:val="0"/>
      <w:divBdr>
        <w:top w:val="none" w:sz="0" w:space="0" w:color="auto"/>
        <w:left w:val="none" w:sz="0" w:space="0" w:color="auto"/>
        <w:bottom w:val="none" w:sz="0" w:space="0" w:color="auto"/>
        <w:right w:val="none" w:sz="0" w:space="0" w:color="auto"/>
      </w:divBdr>
    </w:div>
    <w:div w:id="2105763081">
      <w:bodyDiv w:val="1"/>
      <w:marLeft w:val="0"/>
      <w:marRight w:val="0"/>
      <w:marTop w:val="0"/>
      <w:marBottom w:val="0"/>
      <w:divBdr>
        <w:top w:val="none" w:sz="0" w:space="0" w:color="auto"/>
        <w:left w:val="none" w:sz="0" w:space="0" w:color="auto"/>
        <w:bottom w:val="none" w:sz="0" w:space="0" w:color="auto"/>
        <w:right w:val="none" w:sz="0" w:space="0" w:color="auto"/>
      </w:divBdr>
      <w:divsChild>
        <w:div w:id="214850402">
          <w:marLeft w:val="0"/>
          <w:marRight w:val="0"/>
          <w:marTop w:val="0"/>
          <w:marBottom w:val="0"/>
          <w:divBdr>
            <w:top w:val="none" w:sz="0" w:space="0" w:color="auto"/>
            <w:left w:val="none" w:sz="0" w:space="0" w:color="auto"/>
            <w:bottom w:val="none" w:sz="0" w:space="0" w:color="auto"/>
            <w:right w:val="none" w:sz="0" w:space="0" w:color="auto"/>
          </w:divBdr>
        </w:div>
        <w:div w:id="1698655368">
          <w:marLeft w:val="0"/>
          <w:marRight w:val="0"/>
          <w:marTop w:val="0"/>
          <w:marBottom w:val="0"/>
          <w:divBdr>
            <w:top w:val="none" w:sz="0" w:space="0" w:color="auto"/>
            <w:left w:val="none" w:sz="0" w:space="0" w:color="auto"/>
            <w:bottom w:val="none" w:sz="0" w:space="0" w:color="auto"/>
            <w:right w:val="none" w:sz="0" w:space="0" w:color="auto"/>
          </w:divBdr>
        </w:div>
        <w:div w:id="1248029724">
          <w:marLeft w:val="0"/>
          <w:marRight w:val="0"/>
          <w:marTop w:val="0"/>
          <w:marBottom w:val="0"/>
          <w:divBdr>
            <w:top w:val="none" w:sz="0" w:space="0" w:color="auto"/>
            <w:left w:val="none" w:sz="0" w:space="0" w:color="auto"/>
            <w:bottom w:val="none" w:sz="0" w:space="0" w:color="auto"/>
            <w:right w:val="none" w:sz="0" w:space="0" w:color="auto"/>
          </w:divBdr>
        </w:div>
        <w:div w:id="583105248">
          <w:marLeft w:val="0"/>
          <w:marRight w:val="0"/>
          <w:marTop w:val="0"/>
          <w:marBottom w:val="0"/>
          <w:divBdr>
            <w:top w:val="none" w:sz="0" w:space="0" w:color="auto"/>
            <w:left w:val="none" w:sz="0" w:space="0" w:color="auto"/>
            <w:bottom w:val="none" w:sz="0" w:space="0" w:color="auto"/>
            <w:right w:val="none" w:sz="0" w:space="0" w:color="auto"/>
          </w:divBdr>
        </w:div>
      </w:divsChild>
    </w:div>
    <w:div w:id="21285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professional/list.aspx?treeid=beac9c103df952c4&amp;nowtreeid=52e2faab2576d7b1" TargetMode="External"/><Relationship Id="rId13" Type="http://schemas.openxmlformats.org/officeDocument/2006/relationships/hyperlink" Target="https://www.cdc.gov.tw/uploads/files/201601/fa3be5b4-7a0d-4ed1-b930-1eb97f711b7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professional/HandHygiene.aspx?theme=HandHygiene&amp;treeid=15ea1948ffc4fa7a&amp;nowtreeid=46C503C6997FECF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tw/uploads/files/201701/cbf247f3-64b0-4675-a5e8-d4f70eaf24e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tw/professional/info.aspx?treeid=beac9c103df952c4&amp;nowtreeid=bd387fa55fef03f0&amp;tid=DBE92A531EC6E44A" TargetMode="External"/><Relationship Id="rId4" Type="http://schemas.openxmlformats.org/officeDocument/2006/relationships/settings" Target="settings.xml"/><Relationship Id="rId9" Type="http://schemas.openxmlformats.org/officeDocument/2006/relationships/hyperlink" Target="http://www.cdc.gov.tw/professional/downloadfile.aspx?fid=9F265771F1EE004E" TargetMode="External"/><Relationship Id="rId14" Type="http://schemas.openxmlformats.org/officeDocument/2006/relationships/hyperlink" Target="https://extranet.who.int/spp/sites/default/files/jeeta/WHO-WHE-CPI-2017.65-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BA51-FEB1-4668-AAB6-AF992D82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CHIANG</dc:creator>
  <cp:lastModifiedBy>HAN CHIANG</cp:lastModifiedBy>
  <cp:revision>9</cp:revision>
  <dcterms:created xsi:type="dcterms:W3CDTF">2018-09-25T13:38:00Z</dcterms:created>
  <dcterms:modified xsi:type="dcterms:W3CDTF">2018-10-27T02:25:00Z</dcterms:modified>
</cp:coreProperties>
</file>