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A4" w:rsidRDefault="003325A4" w:rsidP="00EA4F20">
      <w:pPr>
        <w:pStyle w:val="Pr-formataoHTML"/>
        <w:shd w:val="clear" w:color="auto" w:fill="FFFFFF"/>
        <w:spacing w:after="240" w:line="36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Suplementary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file </w:t>
      </w:r>
    </w:p>
    <w:p w:rsidR="0084208C" w:rsidRDefault="0084208C" w:rsidP="00EA4F20">
      <w:pPr>
        <w:pStyle w:val="Pr-formataoHTML"/>
        <w:shd w:val="clear" w:color="auto" w:fill="FFFFFF"/>
        <w:spacing w:after="240" w:line="36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EA4F20" w:rsidRDefault="00EA4F20" w:rsidP="00EA4F20">
      <w:pPr>
        <w:spacing w:line="360" w:lineRule="auto"/>
        <w:ind w:firstLine="708"/>
        <w:jc w:val="both"/>
        <w:rPr>
          <w:color w:val="000000" w:themeColor="text1"/>
          <w:sz w:val="24"/>
          <w:szCs w:val="24"/>
          <w:lang w:val="en-US"/>
        </w:rPr>
      </w:pPr>
    </w:p>
    <w:p w:rsidR="003325A4" w:rsidRPr="00E16D3C" w:rsidRDefault="00F85622" w:rsidP="003325A4">
      <w:pPr>
        <w:autoSpaceDE w:val="0"/>
        <w:autoSpaceDN w:val="0"/>
        <w:adjustRightInd w:val="0"/>
        <w:spacing w:after="0" w:line="360" w:lineRule="auto"/>
        <w:jc w:val="both"/>
        <w:rPr>
          <w:rFonts w:cs="Caecilia LT Std Roman"/>
          <w:color w:val="000000"/>
          <w:sz w:val="20"/>
          <w:szCs w:val="20"/>
          <w:lang w:val="en-US"/>
        </w:rPr>
      </w:pPr>
      <w:proofErr w:type="spellStart"/>
      <w:r>
        <w:rPr>
          <w:b/>
          <w:lang w:val="en-US"/>
        </w:rPr>
        <w:t>Suplementary</w:t>
      </w:r>
      <w:proofErr w:type="spellEnd"/>
      <w:r>
        <w:rPr>
          <w:b/>
          <w:lang w:val="en-US"/>
        </w:rPr>
        <w:t xml:space="preserve"> Table </w:t>
      </w:r>
      <w:r w:rsidR="00F236AC">
        <w:rPr>
          <w:b/>
          <w:lang w:val="en-US"/>
        </w:rPr>
        <w:t>1</w:t>
      </w:r>
      <w:r w:rsidR="003325A4" w:rsidRPr="00811F8A">
        <w:rPr>
          <w:rFonts w:cstheme="minorHAnsi"/>
          <w:b/>
          <w:lang w:val="en-US"/>
        </w:rPr>
        <w:t>.</w:t>
      </w:r>
      <w:r w:rsidR="003325A4" w:rsidRPr="00811F8A">
        <w:rPr>
          <w:rFonts w:cstheme="minorHAnsi"/>
          <w:lang w:val="en-US"/>
        </w:rPr>
        <w:t xml:space="preserve"> </w:t>
      </w:r>
      <w:r w:rsidR="003325A4" w:rsidRPr="00880F8C">
        <w:rPr>
          <w:rFonts w:cstheme="minorHAnsi"/>
          <w:lang w:val="en-US"/>
        </w:rPr>
        <w:t>Comparison between</w:t>
      </w:r>
      <w:r w:rsidR="003325A4">
        <w:rPr>
          <w:rFonts w:cstheme="minorHAnsi"/>
          <w:lang w:val="en-US"/>
        </w:rPr>
        <w:t xml:space="preserve"> clinical stage of disease (TNM) a year of diagnoses </w:t>
      </w:r>
      <w:r w:rsidR="003325A4">
        <w:rPr>
          <w:lang w:val="en-US"/>
        </w:rPr>
        <w:t xml:space="preserve">according to </w:t>
      </w:r>
      <w:r w:rsidR="003325A4" w:rsidRPr="00D70789">
        <w:rPr>
          <w:rFonts w:cs="AdvTTb5929f4c"/>
          <w:color w:val="000000" w:themeColor="text1"/>
          <w:lang w:val="en-US"/>
        </w:rPr>
        <w:t xml:space="preserve">Population-Based Cancer Registry of </w:t>
      </w:r>
      <w:proofErr w:type="spellStart"/>
      <w:r w:rsidR="003325A4" w:rsidRPr="00D70789">
        <w:rPr>
          <w:rFonts w:cs="AdvTTb5929f4c"/>
          <w:color w:val="000000" w:themeColor="text1"/>
          <w:lang w:val="en-US"/>
        </w:rPr>
        <w:t>Barretos</w:t>
      </w:r>
      <w:proofErr w:type="spellEnd"/>
      <w:r w:rsidR="003325A4">
        <w:rPr>
          <w:rFonts w:cs="AdvTTb5929f4c"/>
          <w:color w:val="000000" w:themeColor="text1"/>
          <w:lang w:val="en-US"/>
        </w:rPr>
        <w:t xml:space="preserve"> Cancer Hospital</w:t>
      </w:r>
      <w:r w:rsidR="003325A4" w:rsidRPr="00E61C5B">
        <w:rPr>
          <w:lang w:val="en-US"/>
        </w:rPr>
        <w:t>, São Paulo, Brazil, years 2000-</w:t>
      </w:r>
      <w:r w:rsidR="003325A4">
        <w:rPr>
          <w:lang w:val="en-US"/>
        </w:rPr>
        <w:t>20</w:t>
      </w:r>
      <w:r w:rsidR="003325A4" w:rsidRPr="00E61C5B">
        <w:rPr>
          <w:lang w:val="en-US"/>
        </w:rPr>
        <w:t>15</w:t>
      </w:r>
      <w:r w:rsidR="003325A4">
        <w:rPr>
          <w:lang w:val="en-US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577"/>
        <w:gridCol w:w="1771"/>
        <w:gridCol w:w="1857"/>
        <w:gridCol w:w="1041"/>
        <w:gridCol w:w="259"/>
        <w:gridCol w:w="1641"/>
        <w:gridCol w:w="1592"/>
        <w:gridCol w:w="1577"/>
        <w:gridCol w:w="1038"/>
      </w:tblGrid>
      <w:tr w:rsidR="003325A4" w:rsidRPr="003325A4" w:rsidTr="00F20A52">
        <w:trPr>
          <w:trHeight w:val="300"/>
        </w:trPr>
        <w:tc>
          <w:tcPr>
            <w:tcW w:w="98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Clincial</w:t>
            </w:r>
            <w:proofErr w:type="spellEnd"/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 xml:space="preserve"> stage of disease </w:t>
            </w:r>
          </w:p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at Diagnosis (TNM)*</w:t>
            </w:r>
          </w:p>
        </w:tc>
        <w:tc>
          <w:tcPr>
            <w:tcW w:w="2028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Breast cancer</w:t>
            </w:r>
          </w:p>
        </w:tc>
        <w:tc>
          <w:tcPr>
            <w:tcW w:w="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99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Cervical cancer</w:t>
            </w:r>
          </w:p>
        </w:tc>
      </w:tr>
      <w:tr w:rsidR="003325A4" w:rsidRPr="003325A4" w:rsidTr="00F20A52">
        <w:trPr>
          <w:trHeight w:val="300"/>
        </w:trPr>
        <w:tc>
          <w:tcPr>
            <w:tcW w:w="989" w:type="pct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2000-2004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2005-2009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2010-2015</w:t>
            </w:r>
          </w:p>
        </w:tc>
        <w:tc>
          <w:tcPr>
            <w:tcW w:w="33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8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2000-2004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2005-2009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3325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2010-2015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p</w:t>
            </w:r>
          </w:p>
        </w:tc>
      </w:tr>
      <w:tr w:rsidR="003325A4" w:rsidRPr="003325A4" w:rsidTr="00F20A52">
        <w:trPr>
          <w:trHeight w:val="300"/>
        </w:trPr>
        <w:tc>
          <w:tcPr>
            <w:tcW w:w="98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In situ</w:t>
            </w:r>
          </w:p>
        </w:tc>
        <w:tc>
          <w:tcPr>
            <w:tcW w:w="51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32 (8.1)</w:t>
            </w:r>
          </w:p>
        </w:tc>
        <w:tc>
          <w:tcPr>
            <w:tcW w:w="575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103 (17.7)</w:t>
            </w:r>
          </w:p>
        </w:tc>
        <w:tc>
          <w:tcPr>
            <w:tcW w:w="60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203 (19.1)</w:t>
            </w:r>
          </w:p>
        </w:tc>
        <w:tc>
          <w:tcPr>
            <w:tcW w:w="338" w:type="pct"/>
            <w:tcBorders>
              <w:top w:val="double" w:sz="4" w:space="0" w:color="auto"/>
              <w:left w:val="nil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118 (51.3)</w:t>
            </w:r>
          </w:p>
        </w:tc>
        <w:tc>
          <w:tcPr>
            <w:tcW w:w="51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93 (52.8)</w:t>
            </w:r>
          </w:p>
        </w:tc>
        <w:tc>
          <w:tcPr>
            <w:tcW w:w="51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408 (76.5)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3325A4" w:rsidRPr="003325A4" w:rsidTr="00F20A52">
        <w:trPr>
          <w:trHeight w:val="300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I and II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237 (59.7)</w:t>
            </w: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333 (57.2)</w:t>
            </w:r>
          </w:p>
        </w:tc>
        <w:tc>
          <w:tcPr>
            <w:tcW w:w="6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547 (51.4)</w:t>
            </w:r>
          </w:p>
        </w:tc>
        <w:tc>
          <w:tcPr>
            <w:tcW w:w="338" w:type="pct"/>
            <w:tcBorders>
              <w:left w:val="nil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58 (25.2)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41 (23.3)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76 (14.3)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325A4" w:rsidRPr="003325A4" w:rsidTr="00F20A52">
        <w:trPr>
          <w:trHeight w:val="300"/>
        </w:trPr>
        <w:tc>
          <w:tcPr>
            <w:tcW w:w="9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III and IV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128 (32.2)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146 (25.1)</w:t>
            </w:r>
          </w:p>
        </w:tc>
        <w:tc>
          <w:tcPr>
            <w:tcW w:w="6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314 (29.5)</w:t>
            </w: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54 (23.5)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42 (23.9)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sz w:val="20"/>
                <w:szCs w:val="20"/>
                <w:lang w:val="en-US"/>
              </w:rPr>
              <w:t>49 (9.2)</w:t>
            </w:r>
          </w:p>
        </w:tc>
        <w:tc>
          <w:tcPr>
            <w:tcW w:w="337" w:type="pct"/>
            <w:tcBorders>
              <w:left w:val="nil"/>
              <w:bottom w:val="single" w:sz="4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325A4" w:rsidRPr="003325A4" w:rsidTr="00F20A52">
        <w:trPr>
          <w:trHeight w:val="300"/>
        </w:trPr>
        <w:tc>
          <w:tcPr>
            <w:tcW w:w="9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397 (100.0)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582  (100.0)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1,064  (100.0)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230  (100.0)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176 (100.0)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25A4">
              <w:rPr>
                <w:rFonts w:cstheme="minorHAnsi"/>
                <w:b/>
                <w:sz w:val="20"/>
                <w:szCs w:val="20"/>
                <w:lang w:val="en-US"/>
              </w:rPr>
              <w:t>533 (100.0)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25A4" w:rsidRPr="003325A4" w:rsidRDefault="003325A4" w:rsidP="00F20A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325A4" w:rsidRPr="000C5553" w:rsidRDefault="003325A4" w:rsidP="00332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18"/>
          <w:lang w:val="en-US"/>
        </w:rPr>
      </w:pPr>
      <w:r w:rsidRPr="000C5553">
        <w:rPr>
          <w:rFonts w:cs="Caecilia LT Std Roman"/>
          <w:color w:val="000000"/>
          <w:sz w:val="18"/>
          <w:lang w:val="en-US"/>
        </w:rPr>
        <w:t>* Numbers in these variables do not add up the overall total number of cases due to the missing values.</w:t>
      </w:r>
    </w:p>
    <w:p w:rsidR="00EA4F20" w:rsidRDefault="00EA4F20" w:rsidP="00EA4F20">
      <w:pPr>
        <w:autoSpaceDE w:val="0"/>
        <w:autoSpaceDN w:val="0"/>
        <w:adjustRightInd w:val="0"/>
        <w:spacing w:after="0" w:line="360" w:lineRule="auto"/>
        <w:jc w:val="both"/>
        <w:rPr>
          <w:b/>
          <w:lang w:val="en-US"/>
        </w:rPr>
      </w:pPr>
    </w:p>
    <w:p w:rsidR="0084208C" w:rsidRDefault="0084208C" w:rsidP="0084208C">
      <w:pPr>
        <w:spacing w:after="0" w:line="360" w:lineRule="auto"/>
        <w:jc w:val="both"/>
        <w:rPr>
          <w:rFonts w:cs="AdvTTb5929f4c"/>
          <w:b/>
          <w:color w:val="000000" w:themeColor="text1"/>
          <w:lang w:val="en-US"/>
        </w:rPr>
      </w:pPr>
    </w:p>
    <w:p w:rsidR="0084208C" w:rsidRDefault="000D2CD8" w:rsidP="0084208C">
      <w:pPr>
        <w:spacing w:after="0" w:line="360" w:lineRule="auto"/>
        <w:jc w:val="both"/>
        <w:rPr>
          <w:rFonts w:cs="AdvTTb5929f4c"/>
          <w:b/>
          <w:color w:val="000000" w:themeColor="text1"/>
          <w:lang w:val="en-US"/>
        </w:rPr>
      </w:pPr>
      <w:r>
        <w:rPr>
          <w:rFonts w:cs="AdvTTb5929f4c"/>
          <w:b/>
          <w:noProof/>
          <w:color w:val="000000" w:themeColor="text1"/>
          <w:lang w:eastAsia="pt-BR"/>
        </w:rPr>
        <w:lastRenderedPageBreak/>
        <w:drawing>
          <wp:inline distT="0" distB="0" distL="0" distR="0">
            <wp:extent cx="7418705" cy="540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_Suplementar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0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CD8" w:rsidRDefault="00F85622" w:rsidP="0084208C">
      <w:pPr>
        <w:spacing w:after="0" w:line="360" w:lineRule="auto"/>
        <w:jc w:val="both"/>
        <w:rPr>
          <w:rFonts w:cs="AdvTTb5929f4c"/>
          <w:color w:val="000000" w:themeColor="text1"/>
          <w:lang w:val="en-US"/>
        </w:rPr>
        <w:sectPr w:rsidR="000D2CD8" w:rsidSect="000D2CD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rFonts w:cs="AdvTTb5929f4c"/>
          <w:b/>
          <w:color w:val="000000" w:themeColor="text1"/>
          <w:lang w:val="en-US"/>
        </w:rPr>
        <w:t>Suplementary</w:t>
      </w:r>
      <w:proofErr w:type="spellEnd"/>
      <w:r>
        <w:rPr>
          <w:rFonts w:cs="AdvTTb5929f4c"/>
          <w:b/>
          <w:color w:val="000000" w:themeColor="text1"/>
          <w:lang w:val="en-US"/>
        </w:rPr>
        <w:t xml:space="preserve"> </w:t>
      </w:r>
      <w:r w:rsidR="0084208C" w:rsidRPr="002B5B87">
        <w:rPr>
          <w:rFonts w:cs="AdvTTb5929f4c"/>
          <w:b/>
          <w:color w:val="000000" w:themeColor="text1"/>
          <w:lang w:val="en-US"/>
        </w:rPr>
        <w:t>Figure 1.</w:t>
      </w:r>
      <w:r w:rsidR="0084208C" w:rsidRPr="002B5B87">
        <w:rPr>
          <w:rFonts w:cs="AdvTTb5929f4c"/>
          <w:color w:val="000000" w:themeColor="text1"/>
          <w:lang w:val="en-US"/>
        </w:rPr>
        <w:t xml:space="preserve"> Area of coverage of the RHD of </w:t>
      </w:r>
      <w:proofErr w:type="spellStart"/>
      <w:r w:rsidR="0084208C" w:rsidRPr="002B5B87">
        <w:rPr>
          <w:rFonts w:cs="AdvTTb5929f4c"/>
          <w:color w:val="000000" w:themeColor="text1"/>
          <w:lang w:val="en-US"/>
        </w:rPr>
        <w:t>Barretos</w:t>
      </w:r>
      <w:proofErr w:type="spellEnd"/>
      <w:r w:rsidR="0084208C" w:rsidRPr="002B5B87">
        <w:rPr>
          <w:rFonts w:cs="AdvTTb5929f4c"/>
          <w:color w:val="000000" w:themeColor="text1"/>
          <w:lang w:val="en-US"/>
        </w:rPr>
        <w:t xml:space="preserve"> (RHD-V).</w:t>
      </w:r>
    </w:p>
    <w:p w:rsidR="0084208C" w:rsidRDefault="00F236AC" w:rsidP="0084208C">
      <w:pPr>
        <w:spacing w:after="0" w:line="360" w:lineRule="auto"/>
        <w:jc w:val="both"/>
        <w:rPr>
          <w:rFonts w:cs="AdvTTb5929f4c"/>
          <w:color w:val="000000" w:themeColor="text1"/>
          <w:lang w:val="en-US"/>
        </w:rPr>
      </w:pPr>
      <w:r>
        <w:rPr>
          <w:rFonts w:cs="AdvTTb5929f4c"/>
          <w:noProof/>
          <w:color w:val="000000" w:themeColor="text1"/>
          <w:lang w:eastAsia="pt-BR"/>
        </w:rPr>
        <w:lastRenderedPageBreak/>
        <w:drawing>
          <wp:inline distT="0" distB="0" distL="0" distR="0">
            <wp:extent cx="6553200" cy="5229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8C" w:rsidRDefault="00F85622" w:rsidP="0084208C">
      <w:pPr>
        <w:spacing w:after="0" w:line="360" w:lineRule="auto"/>
        <w:jc w:val="both"/>
        <w:rPr>
          <w:lang w:val="en-US"/>
        </w:rPr>
      </w:pPr>
      <w:proofErr w:type="spellStart"/>
      <w:r>
        <w:rPr>
          <w:rFonts w:cs="AdvTTb5929f4c"/>
          <w:b/>
          <w:color w:val="000000" w:themeColor="text1"/>
          <w:lang w:val="en-US"/>
        </w:rPr>
        <w:t>Suplementary</w:t>
      </w:r>
      <w:proofErr w:type="spellEnd"/>
      <w:r>
        <w:rPr>
          <w:rFonts w:cs="AdvTTb5929f4c"/>
          <w:b/>
          <w:color w:val="000000" w:themeColor="text1"/>
          <w:lang w:val="en-US"/>
        </w:rPr>
        <w:t xml:space="preserve"> </w:t>
      </w:r>
      <w:r w:rsidR="0084208C" w:rsidRPr="002B5B87">
        <w:rPr>
          <w:b/>
          <w:lang w:val="en-US"/>
        </w:rPr>
        <w:t xml:space="preserve">Figure </w:t>
      </w:r>
      <w:r w:rsidR="0084208C">
        <w:rPr>
          <w:b/>
          <w:lang w:val="en-US"/>
        </w:rPr>
        <w:t>2</w:t>
      </w:r>
      <w:r w:rsidR="0084208C" w:rsidRPr="002B5B87">
        <w:rPr>
          <w:b/>
          <w:lang w:val="en-US"/>
        </w:rPr>
        <w:t>.</w:t>
      </w:r>
      <w:r w:rsidR="0084208C" w:rsidRPr="002B5B87">
        <w:rPr>
          <w:lang w:val="en-US"/>
        </w:rPr>
        <w:t xml:space="preserve"> Breast cancer overall </w:t>
      </w:r>
      <w:r w:rsidR="0084208C" w:rsidRPr="002B5B87">
        <w:rPr>
          <w:rFonts w:cstheme="minorHAnsi"/>
          <w:lang w:val="en-US"/>
        </w:rPr>
        <w:t>survival.</w:t>
      </w:r>
      <w:r w:rsidR="0084208C">
        <w:rPr>
          <w:rFonts w:cstheme="minorHAnsi"/>
          <w:lang w:val="en-US"/>
        </w:rPr>
        <w:t xml:space="preserve"> </w:t>
      </w:r>
      <w:r w:rsidR="0084208C" w:rsidRPr="002B5B87">
        <w:rPr>
          <w:lang w:val="en-US"/>
        </w:rPr>
        <w:t>(</w:t>
      </w:r>
      <w:proofErr w:type="gramStart"/>
      <w:r w:rsidR="0084208C" w:rsidRPr="002B5B87">
        <w:rPr>
          <w:lang w:val="en-US"/>
        </w:rPr>
        <w:t>a</w:t>
      </w:r>
      <w:proofErr w:type="gramEnd"/>
      <w:r w:rsidR="0084208C" w:rsidRPr="002B5B87">
        <w:rPr>
          <w:lang w:val="en-US"/>
        </w:rPr>
        <w:t xml:space="preserve">). </w:t>
      </w:r>
      <w:r w:rsidR="0084208C">
        <w:rPr>
          <w:lang w:val="en-US"/>
        </w:rPr>
        <w:t>Overall survival</w:t>
      </w:r>
      <w:r w:rsidR="0084208C" w:rsidRPr="002B5B87">
        <w:rPr>
          <w:lang w:val="en-US"/>
        </w:rPr>
        <w:t xml:space="preserve">; (b). </w:t>
      </w:r>
      <w:r w:rsidR="0084208C">
        <w:rPr>
          <w:lang w:val="en-US"/>
        </w:rPr>
        <w:t>Overall survival by year of diagnoses</w:t>
      </w:r>
      <w:r w:rsidR="0084208C" w:rsidRPr="002B5B87">
        <w:rPr>
          <w:lang w:val="en-US"/>
        </w:rPr>
        <w:t xml:space="preserve">; (c). </w:t>
      </w:r>
      <w:r w:rsidR="0084208C">
        <w:rPr>
          <w:lang w:val="en-US"/>
        </w:rPr>
        <w:t>Overall survival by clinical stage</w:t>
      </w:r>
      <w:r w:rsidR="0084208C" w:rsidRPr="002B5B87">
        <w:rPr>
          <w:lang w:val="en-US"/>
        </w:rPr>
        <w:t>.</w:t>
      </w:r>
    </w:p>
    <w:p w:rsidR="0084208C" w:rsidRPr="002B5B87" w:rsidRDefault="000D2CD8" w:rsidP="0084208C">
      <w:pPr>
        <w:spacing w:after="0" w:line="360" w:lineRule="auto"/>
        <w:jc w:val="both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5286375"/>
            <wp:effectExtent l="0" t="0" r="254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3_Suplementar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1" b="31786"/>
                    <a:stretch/>
                  </pic:blipFill>
                  <pic:spPr bwMode="auto">
                    <a:xfrm>
                      <a:off x="0" y="0"/>
                      <a:ext cx="664591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8C" w:rsidRDefault="00F85622" w:rsidP="0084208C">
      <w:pPr>
        <w:spacing w:line="360" w:lineRule="auto"/>
        <w:jc w:val="both"/>
        <w:rPr>
          <w:lang w:val="en-US"/>
        </w:rPr>
      </w:pPr>
      <w:proofErr w:type="spellStart"/>
      <w:r>
        <w:rPr>
          <w:rFonts w:cs="AdvTTb5929f4c"/>
          <w:b/>
          <w:color w:val="000000" w:themeColor="text1"/>
          <w:lang w:val="en-US"/>
        </w:rPr>
        <w:t>Suplementary</w:t>
      </w:r>
      <w:proofErr w:type="spellEnd"/>
      <w:r>
        <w:rPr>
          <w:rFonts w:cs="AdvTTb5929f4c"/>
          <w:b/>
          <w:color w:val="000000" w:themeColor="text1"/>
          <w:lang w:val="en-US"/>
        </w:rPr>
        <w:t xml:space="preserve"> </w:t>
      </w:r>
      <w:r w:rsidR="0084208C" w:rsidRPr="002B5B87">
        <w:rPr>
          <w:b/>
          <w:lang w:val="en-US"/>
        </w:rPr>
        <w:t xml:space="preserve">Figure </w:t>
      </w:r>
      <w:r w:rsidR="0084208C">
        <w:rPr>
          <w:b/>
          <w:lang w:val="en-US"/>
        </w:rPr>
        <w:t>3</w:t>
      </w:r>
      <w:r w:rsidR="0084208C" w:rsidRPr="002B5B87">
        <w:rPr>
          <w:b/>
          <w:lang w:val="en-US"/>
        </w:rPr>
        <w:t>.</w:t>
      </w:r>
      <w:r w:rsidR="0084208C" w:rsidRPr="002B5B87">
        <w:rPr>
          <w:lang w:val="en-US"/>
        </w:rPr>
        <w:t xml:space="preserve"> Cervical cancer overa</w:t>
      </w:r>
      <w:r w:rsidR="0084208C">
        <w:rPr>
          <w:lang w:val="en-US"/>
        </w:rPr>
        <w:t>l</w:t>
      </w:r>
      <w:r w:rsidR="0084208C" w:rsidRPr="002B5B87">
        <w:rPr>
          <w:lang w:val="en-US"/>
        </w:rPr>
        <w:t>l</w:t>
      </w:r>
      <w:r w:rsidR="0084208C" w:rsidRPr="002B5B87">
        <w:rPr>
          <w:rFonts w:cstheme="minorHAnsi"/>
          <w:lang w:val="en-US"/>
        </w:rPr>
        <w:t xml:space="preserve"> survival.</w:t>
      </w:r>
      <w:r w:rsidR="0084208C">
        <w:rPr>
          <w:rFonts w:cstheme="minorHAnsi"/>
          <w:lang w:val="en-US"/>
        </w:rPr>
        <w:t xml:space="preserve"> </w:t>
      </w:r>
      <w:r w:rsidR="0084208C" w:rsidRPr="002B5B87">
        <w:rPr>
          <w:lang w:val="en-US"/>
        </w:rPr>
        <w:t>(</w:t>
      </w:r>
      <w:proofErr w:type="gramStart"/>
      <w:r w:rsidR="0084208C" w:rsidRPr="002B5B87">
        <w:rPr>
          <w:lang w:val="en-US"/>
        </w:rPr>
        <w:t>a</w:t>
      </w:r>
      <w:proofErr w:type="gramEnd"/>
      <w:r w:rsidR="0084208C" w:rsidRPr="002B5B87">
        <w:rPr>
          <w:lang w:val="en-US"/>
        </w:rPr>
        <w:t xml:space="preserve">). </w:t>
      </w:r>
      <w:r w:rsidR="0084208C">
        <w:rPr>
          <w:lang w:val="en-US"/>
        </w:rPr>
        <w:t>Overall survival</w:t>
      </w:r>
      <w:r w:rsidR="0084208C" w:rsidRPr="002B5B87">
        <w:rPr>
          <w:lang w:val="en-US"/>
        </w:rPr>
        <w:t xml:space="preserve">; (b). </w:t>
      </w:r>
      <w:r w:rsidR="0084208C">
        <w:rPr>
          <w:lang w:val="en-US"/>
        </w:rPr>
        <w:t>Overall survival by year of diagnoses</w:t>
      </w:r>
      <w:r w:rsidR="0084208C" w:rsidRPr="002B5B87">
        <w:rPr>
          <w:lang w:val="en-US"/>
        </w:rPr>
        <w:t xml:space="preserve">; (c). </w:t>
      </w:r>
      <w:r w:rsidR="0084208C">
        <w:rPr>
          <w:lang w:val="en-US"/>
        </w:rPr>
        <w:t>Overall survival by clinical stage</w:t>
      </w:r>
      <w:r w:rsidR="0084208C" w:rsidRPr="002B5B87">
        <w:rPr>
          <w:lang w:val="en-US"/>
        </w:rPr>
        <w:t>.</w:t>
      </w:r>
    </w:p>
    <w:p w:rsidR="00A36900" w:rsidRPr="003325A4" w:rsidRDefault="00A36900">
      <w:pPr>
        <w:rPr>
          <w:lang w:val="en-US"/>
        </w:rPr>
      </w:pPr>
    </w:p>
    <w:sectPr w:rsidR="00A36900" w:rsidRPr="003325A4" w:rsidSect="000D2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ecilia LT Std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jA3NDEzMjMytTRT0lEKTi0uzszPAykwrAUAnI7MPiwAAAA="/>
  </w:docVars>
  <w:rsids>
    <w:rsidRoot w:val="00EA4F20"/>
    <w:rsid w:val="000D2CD8"/>
    <w:rsid w:val="003325A4"/>
    <w:rsid w:val="007C3924"/>
    <w:rsid w:val="0084208C"/>
    <w:rsid w:val="00A36900"/>
    <w:rsid w:val="00EA4F20"/>
    <w:rsid w:val="00F236AC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0506-9AA0-4CE5-A34E-A31C5570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4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4F2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ALLINI MAFRA DA COSTA</cp:lastModifiedBy>
  <cp:revision>2</cp:revision>
  <dcterms:created xsi:type="dcterms:W3CDTF">2018-10-05T17:24:00Z</dcterms:created>
  <dcterms:modified xsi:type="dcterms:W3CDTF">2018-10-05T17:24:00Z</dcterms:modified>
</cp:coreProperties>
</file>