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9BCB0" w14:textId="214D178E" w:rsidR="008A3944" w:rsidRPr="006C256B" w:rsidRDefault="008A3944" w:rsidP="00C417B9">
      <w:pPr>
        <w:spacing w:after="0"/>
        <w:rPr>
          <w:rFonts w:ascii="Calibri" w:eastAsia="Times New Roman" w:hAnsi="Calibri" w:cs="Times New Roman"/>
          <w:color w:val="000000"/>
        </w:rPr>
      </w:pPr>
      <w:r>
        <w:rPr>
          <w:rFonts w:ascii="Calibri" w:eastAsia="Times New Roman" w:hAnsi="Calibri" w:cs="Times New Roman"/>
          <w:b/>
          <w:color w:val="000000"/>
        </w:rPr>
        <w:t xml:space="preserve">Additional file </w:t>
      </w:r>
      <w:r w:rsidR="00250023">
        <w:rPr>
          <w:rFonts w:ascii="Calibri" w:eastAsia="Times New Roman" w:hAnsi="Calibri" w:cs="Times New Roman"/>
          <w:b/>
          <w:color w:val="000000"/>
        </w:rPr>
        <w:t>7</w:t>
      </w:r>
      <w:bookmarkStart w:id="0" w:name="_GoBack"/>
      <w:bookmarkEnd w:id="0"/>
      <w:r>
        <w:rPr>
          <w:rFonts w:ascii="Calibri" w:eastAsia="Times New Roman" w:hAnsi="Calibri" w:cs="Times New Roman"/>
          <w:b/>
          <w:color w:val="000000"/>
        </w:rPr>
        <w:t xml:space="preserve"> </w:t>
      </w:r>
      <w:r w:rsidRPr="00AB0193">
        <w:rPr>
          <w:rFonts w:ascii="Calibri" w:eastAsia="Times New Roman" w:hAnsi="Calibri" w:cs="Times New Roman"/>
          <w:bCs/>
          <w:color w:val="000000"/>
        </w:rPr>
        <w:t xml:space="preserve">Other cardiovascular events observed, </w:t>
      </w:r>
      <w:proofErr w:type="spellStart"/>
      <w:r w:rsidRPr="00AB0193">
        <w:rPr>
          <w:rFonts w:ascii="Calibri" w:eastAsia="Times New Roman" w:hAnsi="Calibri" w:cs="Times New Roman"/>
          <w:bCs/>
          <w:color w:val="000000"/>
        </w:rPr>
        <w:t>organised</w:t>
      </w:r>
      <w:proofErr w:type="spellEnd"/>
      <w:r w:rsidRPr="00AB0193">
        <w:rPr>
          <w:rFonts w:ascii="Calibri" w:eastAsia="Times New Roman" w:hAnsi="Calibri" w:cs="Times New Roman"/>
          <w:bCs/>
          <w:color w:val="000000"/>
        </w:rPr>
        <w:t xml:space="preserve"> by arrhythmia</w:t>
      </w:r>
    </w:p>
    <w:tbl>
      <w:tblPr>
        <w:tblW w:w="5000" w:type="pct"/>
        <w:shd w:val="clear" w:color="auto" w:fill="FFFFFF" w:themeFill="background1"/>
        <w:tblLayout w:type="fixed"/>
        <w:tblLook w:val="04A0" w:firstRow="1" w:lastRow="0" w:firstColumn="1" w:lastColumn="0" w:noHBand="0" w:noVBand="1"/>
      </w:tblPr>
      <w:tblGrid>
        <w:gridCol w:w="1505"/>
        <w:gridCol w:w="1580"/>
        <w:gridCol w:w="6491"/>
      </w:tblGrid>
      <w:tr w:rsidR="008A3944" w:rsidRPr="00AB0193" w14:paraId="310CDB9A" w14:textId="77777777" w:rsidTr="002372CE">
        <w:trPr>
          <w:cantSplit/>
          <w:trHeight w:val="300"/>
          <w:tblHeader/>
        </w:trPr>
        <w:tc>
          <w:tcPr>
            <w:tcW w:w="1611" w:type="pct"/>
            <w:gridSpan w:val="2"/>
            <w:tcBorders>
              <w:top w:val="single" w:sz="4" w:space="0" w:color="auto"/>
              <w:bottom w:val="single" w:sz="4" w:space="0" w:color="auto"/>
            </w:tcBorders>
            <w:shd w:val="clear" w:color="auto" w:fill="FFFFFF" w:themeFill="background1"/>
            <w:noWrap/>
            <w:hideMark/>
          </w:tcPr>
          <w:p w14:paraId="69788D7E" w14:textId="77777777" w:rsidR="008A3944" w:rsidRPr="00AB0193" w:rsidRDefault="008A3944" w:rsidP="00E05C3A">
            <w:pPr>
              <w:rPr>
                <w:rFonts w:ascii="Calibri" w:eastAsia="Times New Roman" w:hAnsi="Calibri" w:cs="Times New Roman"/>
                <w:b/>
                <w:bCs/>
                <w:color w:val="000000"/>
              </w:rPr>
            </w:pPr>
            <w:r w:rsidRPr="00AB0193">
              <w:rPr>
                <w:rFonts w:ascii="Calibri" w:eastAsia="Times New Roman" w:hAnsi="Calibri" w:cs="Times New Roman"/>
                <w:b/>
                <w:bCs/>
                <w:color w:val="000000"/>
              </w:rPr>
              <w:t>Drug, reference</w:t>
            </w:r>
          </w:p>
        </w:tc>
        <w:tc>
          <w:tcPr>
            <w:tcW w:w="3389" w:type="pct"/>
            <w:tcBorders>
              <w:top w:val="single" w:sz="4" w:space="0" w:color="auto"/>
              <w:bottom w:val="single" w:sz="4" w:space="0" w:color="auto"/>
            </w:tcBorders>
            <w:shd w:val="clear" w:color="auto" w:fill="FFFFFF" w:themeFill="background1"/>
            <w:noWrap/>
            <w:hideMark/>
          </w:tcPr>
          <w:p w14:paraId="50D907CB" w14:textId="77777777" w:rsidR="008A3944" w:rsidRPr="00AB0193" w:rsidRDefault="008A3944" w:rsidP="00E05C3A">
            <w:pPr>
              <w:rPr>
                <w:rFonts w:ascii="Calibri" w:eastAsia="Times New Roman" w:hAnsi="Calibri" w:cs="Times New Roman"/>
                <w:b/>
                <w:bCs/>
                <w:color w:val="000000"/>
              </w:rPr>
            </w:pPr>
            <w:r w:rsidRPr="00AB0193">
              <w:rPr>
                <w:rFonts w:ascii="Calibri" w:eastAsia="Times New Roman" w:hAnsi="Calibri" w:cs="Times New Roman"/>
                <w:b/>
                <w:bCs/>
                <w:color w:val="000000"/>
              </w:rPr>
              <w:t>Detail of arrhythmia</w:t>
            </w:r>
          </w:p>
        </w:tc>
      </w:tr>
      <w:tr w:rsidR="008A3944" w:rsidRPr="00AB0193" w14:paraId="2F3BDE93" w14:textId="77777777" w:rsidTr="00E05C3A">
        <w:trPr>
          <w:cantSplit/>
          <w:trHeight w:val="300"/>
        </w:trPr>
        <w:tc>
          <w:tcPr>
            <w:tcW w:w="5000" w:type="pct"/>
            <w:gridSpan w:val="3"/>
            <w:tcBorders>
              <w:top w:val="single" w:sz="4" w:space="0" w:color="auto"/>
              <w:bottom w:val="single" w:sz="4" w:space="0" w:color="auto"/>
            </w:tcBorders>
            <w:shd w:val="clear" w:color="auto" w:fill="FFFFFF" w:themeFill="background1"/>
            <w:noWrap/>
          </w:tcPr>
          <w:p w14:paraId="55516927" w14:textId="77777777" w:rsidR="008A3944" w:rsidRPr="00AB0193" w:rsidRDefault="008A3944" w:rsidP="00E05C3A">
            <w:pPr>
              <w:rPr>
                <w:rFonts w:ascii="Calibri" w:eastAsia="Times New Roman" w:hAnsi="Calibri" w:cs="Times New Roman"/>
                <w:b/>
                <w:bCs/>
                <w:color w:val="000000"/>
              </w:rPr>
            </w:pPr>
            <w:r w:rsidRPr="00AB0193">
              <w:rPr>
                <w:rFonts w:ascii="Calibri" w:eastAsia="Times New Roman" w:hAnsi="Calibri" w:cs="Times New Roman"/>
                <w:b/>
                <w:bCs/>
                <w:color w:val="000000"/>
              </w:rPr>
              <w:t>First degree heart block</w:t>
            </w:r>
          </w:p>
        </w:tc>
      </w:tr>
      <w:tr w:rsidR="008A3944" w:rsidRPr="00AB0193" w14:paraId="72659D99" w14:textId="77777777" w:rsidTr="002372CE">
        <w:trPr>
          <w:cantSplit/>
          <w:trHeight w:val="280"/>
        </w:trPr>
        <w:tc>
          <w:tcPr>
            <w:tcW w:w="786" w:type="pct"/>
            <w:tcBorders>
              <w:top w:val="single" w:sz="4" w:space="0" w:color="auto"/>
            </w:tcBorders>
            <w:shd w:val="clear" w:color="auto" w:fill="FFFFFF" w:themeFill="background1"/>
            <w:noWrap/>
            <w:hideMark/>
          </w:tcPr>
          <w:p w14:paraId="26D68C57"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Quinine</w:t>
            </w:r>
          </w:p>
        </w:tc>
        <w:tc>
          <w:tcPr>
            <w:tcW w:w="825" w:type="pct"/>
            <w:tcBorders>
              <w:top w:val="single" w:sz="4" w:space="0" w:color="auto"/>
            </w:tcBorders>
            <w:shd w:val="clear" w:color="auto" w:fill="FFFFFF" w:themeFill="background1"/>
            <w:noWrap/>
            <w:hideMark/>
          </w:tcPr>
          <w:p w14:paraId="0FD29E68"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Miller, 2006</w:t>
            </w:r>
          </w:p>
        </w:tc>
        <w:tc>
          <w:tcPr>
            <w:tcW w:w="3389" w:type="pct"/>
            <w:tcBorders>
              <w:top w:val="single" w:sz="4" w:space="0" w:color="auto"/>
            </w:tcBorders>
            <w:shd w:val="clear" w:color="auto" w:fill="FFFFFF" w:themeFill="background1"/>
            <w:noWrap/>
            <w:hideMark/>
          </w:tcPr>
          <w:p w14:paraId="1E13A31F"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1/50 developed transient 1</w:t>
            </w:r>
            <w:r w:rsidRPr="00AB0193">
              <w:rPr>
                <w:rFonts w:ascii="Calibri" w:eastAsia="Times New Roman" w:hAnsi="Calibri" w:cs="Times New Roman"/>
                <w:color w:val="000000"/>
                <w:vertAlign w:val="superscript"/>
              </w:rPr>
              <w:t xml:space="preserve"> </w:t>
            </w:r>
            <w:proofErr w:type="spellStart"/>
            <w:r w:rsidRPr="00AB0193">
              <w:rPr>
                <w:rFonts w:ascii="Calibri" w:eastAsia="Times New Roman" w:hAnsi="Calibri" w:cs="Times New Roman"/>
                <w:color w:val="000000"/>
                <w:vertAlign w:val="superscript"/>
              </w:rPr>
              <w:t>st</w:t>
            </w:r>
            <w:proofErr w:type="spellEnd"/>
            <w:r w:rsidRPr="00AB0193">
              <w:rPr>
                <w:rFonts w:ascii="Calibri" w:eastAsia="Times New Roman" w:hAnsi="Calibri" w:cs="Times New Roman"/>
                <w:color w:val="000000"/>
              </w:rPr>
              <w:t xml:space="preserve"> degree heart block in quinine-azithromycin group; 0/10 in quinine-doxycycline comparator group</w:t>
            </w:r>
          </w:p>
        </w:tc>
      </w:tr>
      <w:tr w:rsidR="008A3944" w:rsidRPr="00AB0193" w14:paraId="28B5C028" w14:textId="77777777" w:rsidTr="002372CE">
        <w:trPr>
          <w:cantSplit/>
          <w:trHeight w:val="280"/>
        </w:trPr>
        <w:tc>
          <w:tcPr>
            <w:tcW w:w="786" w:type="pct"/>
            <w:shd w:val="clear" w:color="auto" w:fill="FFFFFF" w:themeFill="background1"/>
            <w:noWrap/>
            <w:hideMark/>
          </w:tcPr>
          <w:p w14:paraId="3F5BDF68"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Quinine</w:t>
            </w:r>
          </w:p>
        </w:tc>
        <w:tc>
          <w:tcPr>
            <w:tcW w:w="825" w:type="pct"/>
            <w:shd w:val="clear" w:color="auto" w:fill="FFFFFF" w:themeFill="background1"/>
            <w:noWrap/>
            <w:hideMark/>
          </w:tcPr>
          <w:p w14:paraId="4296771E"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Sabchareon</w:t>
            </w:r>
            <w:proofErr w:type="spellEnd"/>
            <w:r w:rsidRPr="00AB0193">
              <w:rPr>
                <w:rFonts w:ascii="Calibri" w:eastAsia="Times New Roman" w:hAnsi="Calibri" w:cs="Times New Roman"/>
                <w:color w:val="000000"/>
              </w:rPr>
              <w:t>, 1988</w:t>
            </w:r>
          </w:p>
        </w:tc>
        <w:tc>
          <w:tcPr>
            <w:tcW w:w="3389" w:type="pct"/>
            <w:shd w:val="clear" w:color="auto" w:fill="FFFFFF" w:themeFill="background1"/>
            <w:noWrap/>
            <w:hideMark/>
          </w:tcPr>
          <w:p w14:paraId="216487AD"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56 events of prolonged PR in 33 patients over 7 days, 16 significantly so; 67 events in 33 patients in quinidine comparator group</w:t>
            </w:r>
          </w:p>
        </w:tc>
      </w:tr>
      <w:tr w:rsidR="008A3944" w:rsidRPr="00AB0193" w14:paraId="031D730B" w14:textId="77777777" w:rsidTr="002372CE">
        <w:trPr>
          <w:cantSplit/>
          <w:trHeight w:val="320"/>
        </w:trPr>
        <w:tc>
          <w:tcPr>
            <w:tcW w:w="786" w:type="pct"/>
            <w:shd w:val="clear" w:color="auto" w:fill="FFFFFF" w:themeFill="background1"/>
            <w:noWrap/>
            <w:hideMark/>
          </w:tcPr>
          <w:p w14:paraId="5F997CDF"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Mefloquine, SP</w:t>
            </w:r>
          </w:p>
        </w:tc>
        <w:tc>
          <w:tcPr>
            <w:tcW w:w="825" w:type="pct"/>
            <w:shd w:val="clear" w:color="auto" w:fill="FFFFFF" w:themeFill="background1"/>
            <w:noWrap/>
            <w:hideMark/>
          </w:tcPr>
          <w:p w14:paraId="1E5855A6"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Bunnag</w:t>
            </w:r>
            <w:proofErr w:type="spellEnd"/>
            <w:r w:rsidRPr="00AB0193">
              <w:rPr>
                <w:rFonts w:ascii="Calibri" w:eastAsia="Times New Roman" w:hAnsi="Calibri" w:cs="Times New Roman"/>
                <w:color w:val="000000"/>
              </w:rPr>
              <w:t>, 1992</w:t>
            </w:r>
          </w:p>
        </w:tc>
        <w:tc>
          <w:tcPr>
            <w:tcW w:w="3389" w:type="pct"/>
            <w:shd w:val="clear" w:color="auto" w:fill="FFFFFF" w:themeFill="background1"/>
            <w:noWrap/>
            <w:hideMark/>
          </w:tcPr>
          <w:p w14:paraId="3DDA8497"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1/24 developed 1</w:t>
            </w:r>
            <w:r w:rsidRPr="00AB0193">
              <w:rPr>
                <w:rFonts w:ascii="Calibri" w:eastAsia="Times New Roman" w:hAnsi="Calibri" w:cs="Times New Roman"/>
                <w:color w:val="000000"/>
                <w:vertAlign w:val="superscript"/>
              </w:rPr>
              <w:t xml:space="preserve">st </w:t>
            </w:r>
            <w:r w:rsidRPr="00AB0193">
              <w:rPr>
                <w:rFonts w:ascii="Calibri" w:eastAsia="Times New Roman" w:hAnsi="Calibri" w:cs="Times New Roman"/>
                <w:color w:val="000000"/>
              </w:rPr>
              <w:t xml:space="preserve">degree heart block in mefloquine group; 2/26 in </w:t>
            </w:r>
            <w:proofErr w:type="spellStart"/>
            <w:r w:rsidRPr="00AB0193">
              <w:rPr>
                <w:rFonts w:ascii="Calibri" w:eastAsia="Times New Roman" w:hAnsi="Calibri" w:cs="Times New Roman"/>
                <w:color w:val="000000"/>
              </w:rPr>
              <w:t>mefloquine+sulfadoxine+pyrimethamine</w:t>
            </w:r>
            <w:proofErr w:type="spellEnd"/>
            <w:r w:rsidRPr="00AB0193">
              <w:rPr>
                <w:rFonts w:ascii="Calibri" w:eastAsia="Times New Roman" w:hAnsi="Calibri" w:cs="Times New Roman"/>
                <w:color w:val="000000"/>
              </w:rPr>
              <w:t xml:space="preserve"> comparator group</w:t>
            </w:r>
          </w:p>
        </w:tc>
      </w:tr>
      <w:tr w:rsidR="008A3944" w:rsidRPr="00AB0193" w14:paraId="66088FB7" w14:textId="77777777" w:rsidTr="002372CE">
        <w:trPr>
          <w:cantSplit/>
          <w:trHeight w:val="280"/>
        </w:trPr>
        <w:tc>
          <w:tcPr>
            <w:tcW w:w="786" w:type="pct"/>
            <w:shd w:val="clear" w:color="auto" w:fill="FFFFFF" w:themeFill="background1"/>
            <w:noWrap/>
            <w:hideMark/>
          </w:tcPr>
          <w:p w14:paraId="1BD32CD6"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Mefloquine, SP</w:t>
            </w:r>
          </w:p>
        </w:tc>
        <w:tc>
          <w:tcPr>
            <w:tcW w:w="825" w:type="pct"/>
            <w:shd w:val="clear" w:color="auto" w:fill="FFFFFF" w:themeFill="background1"/>
            <w:noWrap/>
            <w:hideMark/>
          </w:tcPr>
          <w:p w14:paraId="0F6BDE4C"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Harinasuta</w:t>
            </w:r>
            <w:proofErr w:type="spellEnd"/>
            <w:r w:rsidRPr="00AB0193">
              <w:rPr>
                <w:rFonts w:ascii="Calibri" w:eastAsia="Times New Roman" w:hAnsi="Calibri" w:cs="Times New Roman"/>
                <w:color w:val="000000"/>
              </w:rPr>
              <w:t>, 1987</w:t>
            </w:r>
          </w:p>
        </w:tc>
        <w:tc>
          <w:tcPr>
            <w:tcW w:w="3389" w:type="pct"/>
            <w:shd w:val="clear" w:color="auto" w:fill="FFFFFF" w:themeFill="background1"/>
            <w:noWrap/>
            <w:hideMark/>
          </w:tcPr>
          <w:p w14:paraId="383BB7D7"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4/46 transient and symptomless 1</w:t>
            </w:r>
            <w:r w:rsidRPr="00AB0193">
              <w:rPr>
                <w:rFonts w:ascii="Calibri" w:eastAsia="Times New Roman" w:hAnsi="Calibri" w:cs="Times New Roman"/>
                <w:color w:val="000000"/>
                <w:vertAlign w:val="superscript"/>
              </w:rPr>
              <w:t xml:space="preserve"> </w:t>
            </w:r>
            <w:proofErr w:type="spellStart"/>
            <w:r w:rsidRPr="00AB0193">
              <w:rPr>
                <w:rFonts w:ascii="Calibri" w:eastAsia="Times New Roman" w:hAnsi="Calibri" w:cs="Times New Roman"/>
                <w:color w:val="000000"/>
                <w:vertAlign w:val="superscript"/>
              </w:rPr>
              <w:t>st</w:t>
            </w:r>
            <w:proofErr w:type="spellEnd"/>
            <w:r w:rsidRPr="00AB0193">
              <w:rPr>
                <w:rFonts w:ascii="Calibri" w:eastAsia="Times New Roman" w:hAnsi="Calibri" w:cs="Times New Roman"/>
                <w:color w:val="000000"/>
              </w:rPr>
              <w:t xml:space="preserve"> degree heart block following moderate dose </w:t>
            </w:r>
            <w:proofErr w:type="spellStart"/>
            <w:r w:rsidRPr="00AB0193">
              <w:rPr>
                <w:rFonts w:ascii="Calibri" w:eastAsia="Times New Roman" w:hAnsi="Calibri" w:cs="Times New Roman"/>
                <w:color w:val="000000"/>
              </w:rPr>
              <w:t>mefloquine+sulfadoxine-pyrimethamine</w:t>
            </w:r>
            <w:proofErr w:type="spellEnd"/>
            <w:r w:rsidRPr="00AB0193">
              <w:rPr>
                <w:rFonts w:ascii="Calibri" w:eastAsia="Times New Roman" w:hAnsi="Calibri" w:cs="Times New Roman"/>
                <w:color w:val="000000"/>
              </w:rPr>
              <w:t>; 0/48 in higher dose comparator group</w:t>
            </w:r>
          </w:p>
        </w:tc>
      </w:tr>
      <w:tr w:rsidR="008A3944" w:rsidRPr="00AB0193" w14:paraId="1A899EAA" w14:textId="77777777" w:rsidTr="002372CE">
        <w:trPr>
          <w:cantSplit/>
          <w:trHeight w:val="280"/>
        </w:trPr>
        <w:tc>
          <w:tcPr>
            <w:tcW w:w="786" w:type="pct"/>
            <w:shd w:val="clear" w:color="auto" w:fill="FFFFFF" w:themeFill="background1"/>
            <w:noWrap/>
            <w:hideMark/>
          </w:tcPr>
          <w:p w14:paraId="717E4CCC"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Halofantrine</w:t>
            </w:r>
          </w:p>
        </w:tc>
        <w:tc>
          <w:tcPr>
            <w:tcW w:w="825" w:type="pct"/>
            <w:shd w:val="clear" w:color="auto" w:fill="FFFFFF" w:themeFill="background1"/>
            <w:noWrap/>
            <w:hideMark/>
          </w:tcPr>
          <w:p w14:paraId="15552ED7"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Sowunmi</w:t>
            </w:r>
            <w:proofErr w:type="spellEnd"/>
            <w:r w:rsidRPr="00AB0193">
              <w:rPr>
                <w:rFonts w:ascii="Calibri" w:eastAsia="Times New Roman" w:hAnsi="Calibri" w:cs="Times New Roman"/>
                <w:color w:val="000000"/>
              </w:rPr>
              <w:t>, 1998</w:t>
            </w:r>
          </w:p>
        </w:tc>
        <w:tc>
          <w:tcPr>
            <w:tcW w:w="3389" w:type="pct"/>
            <w:shd w:val="clear" w:color="auto" w:fill="FFFFFF" w:themeFill="background1"/>
            <w:noWrap/>
            <w:hideMark/>
          </w:tcPr>
          <w:p w14:paraId="7FF2A3FA"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 xml:space="preserve">9 events of the PR interval exceeding 180 </w:t>
            </w:r>
            <w:proofErr w:type="spellStart"/>
            <w:r w:rsidRPr="00AB0193">
              <w:rPr>
                <w:rFonts w:ascii="Calibri" w:eastAsia="Times New Roman" w:hAnsi="Calibri" w:cs="Times New Roman"/>
                <w:color w:val="000000"/>
              </w:rPr>
              <w:t>ms</w:t>
            </w:r>
            <w:proofErr w:type="spellEnd"/>
            <w:r w:rsidRPr="00AB0193">
              <w:rPr>
                <w:rFonts w:ascii="Calibri" w:eastAsia="Times New Roman" w:hAnsi="Calibri" w:cs="Times New Roman"/>
                <w:color w:val="000000"/>
              </w:rPr>
              <w:t xml:space="preserve"> over 48 hours in 42 patients; no comparator group</w:t>
            </w:r>
          </w:p>
        </w:tc>
      </w:tr>
      <w:tr w:rsidR="008A3944" w:rsidRPr="00AB0193" w14:paraId="3B4BF56F" w14:textId="77777777" w:rsidTr="002372CE">
        <w:trPr>
          <w:cantSplit/>
          <w:trHeight w:val="280"/>
        </w:trPr>
        <w:tc>
          <w:tcPr>
            <w:tcW w:w="786" w:type="pct"/>
            <w:shd w:val="clear" w:color="auto" w:fill="FFFFFF" w:themeFill="background1"/>
            <w:noWrap/>
            <w:hideMark/>
          </w:tcPr>
          <w:p w14:paraId="2C98A884"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Amodiaquine</w:t>
            </w:r>
          </w:p>
        </w:tc>
        <w:tc>
          <w:tcPr>
            <w:tcW w:w="825" w:type="pct"/>
            <w:shd w:val="clear" w:color="auto" w:fill="FFFFFF" w:themeFill="background1"/>
            <w:noWrap/>
            <w:hideMark/>
          </w:tcPr>
          <w:p w14:paraId="778591BD"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Liu, 2014</w:t>
            </w:r>
          </w:p>
        </w:tc>
        <w:tc>
          <w:tcPr>
            <w:tcW w:w="3389" w:type="pct"/>
            <w:shd w:val="clear" w:color="auto" w:fill="FFFFFF" w:themeFill="background1"/>
            <w:noWrap/>
            <w:hideMark/>
          </w:tcPr>
          <w:p w14:paraId="5A34EBEE"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2 events of 1</w:t>
            </w:r>
            <w:r w:rsidRPr="00AB0193">
              <w:rPr>
                <w:rFonts w:ascii="Calibri" w:eastAsia="Times New Roman" w:hAnsi="Calibri" w:cs="Times New Roman"/>
                <w:color w:val="000000"/>
                <w:vertAlign w:val="superscript"/>
              </w:rPr>
              <w:t>st</w:t>
            </w:r>
            <w:r w:rsidRPr="00AB0193">
              <w:rPr>
                <w:rFonts w:ascii="Calibri" w:eastAsia="Times New Roman" w:hAnsi="Calibri" w:cs="Times New Roman"/>
                <w:color w:val="000000"/>
              </w:rPr>
              <w:t xml:space="preserve"> degree heart block in 36 patients but no further comment on clinical significance (1 event in each of the two amodiaquine formulation groups, cross-over study)</w:t>
            </w:r>
          </w:p>
        </w:tc>
      </w:tr>
      <w:tr w:rsidR="008A3944" w:rsidRPr="00AB0193" w14:paraId="1DEB52BB" w14:textId="77777777" w:rsidTr="002372CE">
        <w:trPr>
          <w:cantSplit/>
          <w:trHeight w:val="280"/>
        </w:trPr>
        <w:tc>
          <w:tcPr>
            <w:tcW w:w="786" w:type="pct"/>
            <w:shd w:val="clear" w:color="auto" w:fill="FFFFFF" w:themeFill="background1"/>
            <w:noWrap/>
            <w:hideMark/>
          </w:tcPr>
          <w:p w14:paraId="6C137358"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Halofantrine</w:t>
            </w:r>
          </w:p>
        </w:tc>
        <w:tc>
          <w:tcPr>
            <w:tcW w:w="825" w:type="pct"/>
            <w:shd w:val="clear" w:color="auto" w:fill="FFFFFF" w:themeFill="background1"/>
            <w:noWrap/>
            <w:hideMark/>
          </w:tcPr>
          <w:p w14:paraId="413CF6DF"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Karbwang</w:t>
            </w:r>
            <w:proofErr w:type="spellEnd"/>
            <w:r w:rsidRPr="00AB0193">
              <w:rPr>
                <w:rFonts w:ascii="Calibri" w:eastAsia="Times New Roman" w:hAnsi="Calibri" w:cs="Times New Roman"/>
                <w:color w:val="000000"/>
              </w:rPr>
              <w:t>, 1993(c)</w:t>
            </w:r>
          </w:p>
        </w:tc>
        <w:tc>
          <w:tcPr>
            <w:tcW w:w="3389" w:type="pct"/>
            <w:shd w:val="clear" w:color="auto" w:fill="FFFFFF" w:themeFill="background1"/>
            <w:noWrap/>
            <w:hideMark/>
          </w:tcPr>
          <w:p w14:paraId="5AD7A53F"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1/29 developed 1</w:t>
            </w:r>
            <w:r w:rsidRPr="00AB0193">
              <w:rPr>
                <w:rFonts w:ascii="Calibri" w:eastAsia="Times New Roman" w:hAnsi="Calibri" w:cs="Times New Roman"/>
                <w:color w:val="000000"/>
                <w:vertAlign w:val="superscript"/>
              </w:rPr>
              <w:t xml:space="preserve"> </w:t>
            </w:r>
            <w:proofErr w:type="spellStart"/>
            <w:r w:rsidRPr="00AB0193">
              <w:rPr>
                <w:rFonts w:ascii="Calibri" w:eastAsia="Times New Roman" w:hAnsi="Calibri" w:cs="Times New Roman"/>
                <w:color w:val="000000"/>
                <w:vertAlign w:val="superscript"/>
              </w:rPr>
              <w:t>st</w:t>
            </w:r>
            <w:proofErr w:type="spellEnd"/>
            <w:r w:rsidRPr="00AB0193">
              <w:rPr>
                <w:rFonts w:ascii="Calibri" w:eastAsia="Times New Roman" w:hAnsi="Calibri" w:cs="Times New Roman"/>
                <w:color w:val="000000"/>
              </w:rPr>
              <w:t xml:space="preserve"> degree heart block in the acute infection group; 0/6 in the healthy control group</w:t>
            </w:r>
          </w:p>
        </w:tc>
      </w:tr>
      <w:tr w:rsidR="008A3944" w:rsidRPr="00AB0193" w14:paraId="698A2DE7" w14:textId="77777777" w:rsidTr="002372CE">
        <w:trPr>
          <w:cantSplit/>
          <w:trHeight w:val="320"/>
        </w:trPr>
        <w:tc>
          <w:tcPr>
            <w:tcW w:w="786" w:type="pct"/>
            <w:tcBorders>
              <w:bottom w:val="single" w:sz="4" w:space="0" w:color="auto"/>
            </w:tcBorders>
            <w:shd w:val="clear" w:color="auto" w:fill="FFFFFF" w:themeFill="background1"/>
            <w:noWrap/>
            <w:hideMark/>
          </w:tcPr>
          <w:p w14:paraId="67D19889"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Halofantrine, mefloquine</w:t>
            </w:r>
          </w:p>
        </w:tc>
        <w:tc>
          <w:tcPr>
            <w:tcW w:w="825" w:type="pct"/>
            <w:tcBorders>
              <w:bottom w:val="single" w:sz="4" w:space="0" w:color="auto"/>
            </w:tcBorders>
            <w:shd w:val="clear" w:color="auto" w:fill="FFFFFF" w:themeFill="background1"/>
            <w:noWrap/>
            <w:hideMark/>
          </w:tcPr>
          <w:p w14:paraId="6ED5C058"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Nosten</w:t>
            </w:r>
            <w:proofErr w:type="spellEnd"/>
            <w:r w:rsidRPr="00AB0193">
              <w:rPr>
                <w:rFonts w:ascii="Calibri" w:eastAsia="Times New Roman" w:hAnsi="Calibri" w:cs="Times New Roman"/>
                <w:color w:val="000000"/>
              </w:rPr>
              <w:t>, 1993</w:t>
            </w:r>
          </w:p>
        </w:tc>
        <w:tc>
          <w:tcPr>
            <w:tcW w:w="3389" w:type="pct"/>
            <w:tcBorders>
              <w:bottom w:val="single" w:sz="4" w:space="0" w:color="auto"/>
            </w:tcBorders>
            <w:shd w:val="clear" w:color="auto" w:fill="FFFFFF" w:themeFill="background1"/>
            <w:noWrap/>
            <w:hideMark/>
          </w:tcPr>
          <w:p w14:paraId="1940E47C"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15/51 developed 1</w:t>
            </w:r>
            <w:r w:rsidRPr="00AB0193">
              <w:rPr>
                <w:rFonts w:ascii="Calibri" w:eastAsia="Times New Roman" w:hAnsi="Calibri" w:cs="Times New Roman"/>
                <w:color w:val="000000"/>
                <w:vertAlign w:val="superscript"/>
              </w:rPr>
              <w:t>st</w:t>
            </w:r>
            <w:r w:rsidRPr="00AB0193">
              <w:rPr>
                <w:rFonts w:ascii="Calibri" w:eastAsia="Times New Roman" w:hAnsi="Calibri" w:cs="Times New Roman"/>
                <w:color w:val="000000"/>
              </w:rPr>
              <w:t xml:space="preserve"> degree heart block following halofantrine; 3/10 in those treated with mefloquine followed by halofantrine</w:t>
            </w:r>
          </w:p>
        </w:tc>
      </w:tr>
      <w:tr w:rsidR="008A3944" w:rsidRPr="00AB0193" w14:paraId="001DD6B9" w14:textId="77777777" w:rsidTr="00E05C3A">
        <w:trPr>
          <w:cantSplit/>
          <w:trHeight w:val="300"/>
        </w:trPr>
        <w:tc>
          <w:tcPr>
            <w:tcW w:w="5000" w:type="pct"/>
            <w:gridSpan w:val="3"/>
            <w:tcBorders>
              <w:top w:val="single" w:sz="4" w:space="0" w:color="auto"/>
              <w:bottom w:val="single" w:sz="4" w:space="0" w:color="auto"/>
            </w:tcBorders>
            <w:shd w:val="clear" w:color="auto" w:fill="FFFFFF" w:themeFill="background1"/>
            <w:noWrap/>
          </w:tcPr>
          <w:p w14:paraId="750FF458" w14:textId="77777777" w:rsidR="008A3944" w:rsidRPr="00AB0193" w:rsidRDefault="008A3944" w:rsidP="00E05C3A">
            <w:pPr>
              <w:rPr>
                <w:rFonts w:ascii="Calibri" w:eastAsia="Times New Roman" w:hAnsi="Calibri" w:cs="Times New Roman"/>
                <w:b/>
                <w:bCs/>
                <w:color w:val="000000"/>
              </w:rPr>
            </w:pPr>
            <w:r w:rsidRPr="00AB0193">
              <w:rPr>
                <w:rFonts w:ascii="Calibri" w:eastAsia="Times New Roman" w:hAnsi="Calibri" w:cs="Times New Roman"/>
                <w:b/>
                <w:bCs/>
                <w:color w:val="000000"/>
              </w:rPr>
              <w:t>Second degree heart block</w:t>
            </w:r>
          </w:p>
        </w:tc>
      </w:tr>
      <w:tr w:rsidR="008A3944" w:rsidRPr="00AB0193" w14:paraId="5B5C5496" w14:textId="77777777" w:rsidTr="002372CE">
        <w:trPr>
          <w:cantSplit/>
          <w:trHeight w:val="280"/>
        </w:trPr>
        <w:tc>
          <w:tcPr>
            <w:tcW w:w="786" w:type="pct"/>
            <w:tcBorders>
              <w:top w:val="single" w:sz="4" w:space="0" w:color="auto"/>
            </w:tcBorders>
            <w:shd w:val="clear" w:color="auto" w:fill="FFFFFF" w:themeFill="background1"/>
            <w:noWrap/>
            <w:hideMark/>
          </w:tcPr>
          <w:p w14:paraId="13C32956"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Halofantrine</w:t>
            </w:r>
          </w:p>
        </w:tc>
        <w:tc>
          <w:tcPr>
            <w:tcW w:w="825" w:type="pct"/>
            <w:tcBorders>
              <w:top w:val="single" w:sz="4" w:space="0" w:color="auto"/>
            </w:tcBorders>
            <w:shd w:val="clear" w:color="auto" w:fill="FFFFFF" w:themeFill="background1"/>
            <w:noWrap/>
            <w:hideMark/>
          </w:tcPr>
          <w:p w14:paraId="41158F93"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Sowunmi</w:t>
            </w:r>
            <w:proofErr w:type="spellEnd"/>
            <w:r w:rsidRPr="00AB0193">
              <w:rPr>
                <w:rFonts w:ascii="Calibri" w:eastAsia="Times New Roman" w:hAnsi="Calibri" w:cs="Times New Roman"/>
                <w:color w:val="000000"/>
              </w:rPr>
              <w:t>, 1998</w:t>
            </w:r>
          </w:p>
        </w:tc>
        <w:tc>
          <w:tcPr>
            <w:tcW w:w="3389" w:type="pct"/>
            <w:tcBorders>
              <w:top w:val="single" w:sz="4" w:space="0" w:color="auto"/>
            </w:tcBorders>
            <w:shd w:val="clear" w:color="auto" w:fill="FFFFFF" w:themeFill="background1"/>
            <w:noWrap/>
            <w:hideMark/>
          </w:tcPr>
          <w:p w14:paraId="7331DF9C"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In one child (1/42), Mobitz type I recorded at 48 hours following the start of treatment; no comparator group</w:t>
            </w:r>
          </w:p>
        </w:tc>
      </w:tr>
      <w:tr w:rsidR="008A3944" w:rsidRPr="00AB0193" w14:paraId="0A11B7E4" w14:textId="77777777" w:rsidTr="002372CE">
        <w:trPr>
          <w:cantSplit/>
          <w:trHeight w:val="320"/>
        </w:trPr>
        <w:tc>
          <w:tcPr>
            <w:tcW w:w="786" w:type="pct"/>
            <w:tcBorders>
              <w:bottom w:val="single" w:sz="4" w:space="0" w:color="auto"/>
            </w:tcBorders>
            <w:shd w:val="clear" w:color="auto" w:fill="FFFFFF" w:themeFill="background1"/>
            <w:noWrap/>
            <w:hideMark/>
          </w:tcPr>
          <w:p w14:paraId="0025F482"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Halofantrine, mefloquine</w:t>
            </w:r>
          </w:p>
        </w:tc>
        <w:tc>
          <w:tcPr>
            <w:tcW w:w="825" w:type="pct"/>
            <w:tcBorders>
              <w:bottom w:val="single" w:sz="4" w:space="0" w:color="auto"/>
            </w:tcBorders>
            <w:shd w:val="clear" w:color="auto" w:fill="FFFFFF" w:themeFill="background1"/>
            <w:noWrap/>
            <w:hideMark/>
          </w:tcPr>
          <w:p w14:paraId="4B21D5ED"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Nosten</w:t>
            </w:r>
            <w:proofErr w:type="spellEnd"/>
            <w:r w:rsidRPr="00AB0193">
              <w:rPr>
                <w:rFonts w:ascii="Calibri" w:eastAsia="Times New Roman" w:hAnsi="Calibri" w:cs="Times New Roman"/>
                <w:color w:val="000000"/>
              </w:rPr>
              <w:t>, 1993</w:t>
            </w:r>
          </w:p>
        </w:tc>
        <w:tc>
          <w:tcPr>
            <w:tcW w:w="3389" w:type="pct"/>
            <w:tcBorders>
              <w:bottom w:val="single" w:sz="4" w:space="0" w:color="auto"/>
            </w:tcBorders>
            <w:shd w:val="clear" w:color="auto" w:fill="FFFFFF" w:themeFill="background1"/>
            <w:noWrap/>
            <w:hideMark/>
          </w:tcPr>
          <w:p w14:paraId="6C18AF80"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 xml:space="preserve">A 13-year old boy developed symptomless fluctuating Mobitz 1 and 2 block which resolved after treatment with halofantrine ceased (1/61 treated with halofantrine; 0/53 treated with mefloquine) </w:t>
            </w:r>
          </w:p>
        </w:tc>
      </w:tr>
      <w:tr w:rsidR="008A3944" w:rsidRPr="00AB0193" w14:paraId="750B5786" w14:textId="77777777" w:rsidTr="00E05C3A">
        <w:trPr>
          <w:cantSplit/>
          <w:trHeight w:val="300"/>
        </w:trPr>
        <w:tc>
          <w:tcPr>
            <w:tcW w:w="5000" w:type="pct"/>
            <w:gridSpan w:val="3"/>
            <w:tcBorders>
              <w:top w:val="single" w:sz="4" w:space="0" w:color="auto"/>
              <w:bottom w:val="single" w:sz="4" w:space="0" w:color="auto"/>
            </w:tcBorders>
            <w:shd w:val="clear" w:color="auto" w:fill="FFFFFF" w:themeFill="background1"/>
            <w:noWrap/>
          </w:tcPr>
          <w:p w14:paraId="64C85901" w14:textId="77777777" w:rsidR="008A3944" w:rsidRPr="00AB0193" w:rsidRDefault="008A3944" w:rsidP="00E05C3A">
            <w:pPr>
              <w:rPr>
                <w:rFonts w:ascii="Calibri" w:eastAsia="Times New Roman" w:hAnsi="Calibri" w:cs="Times New Roman"/>
                <w:b/>
                <w:bCs/>
                <w:color w:val="000000"/>
              </w:rPr>
            </w:pPr>
            <w:r w:rsidRPr="00AB0193">
              <w:rPr>
                <w:rFonts w:ascii="Calibri" w:eastAsia="Times New Roman" w:hAnsi="Calibri" w:cs="Times New Roman"/>
                <w:b/>
                <w:bCs/>
                <w:color w:val="000000"/>
              </w:rPr>
              <w:t>Bradycardia</w:t>
            </w:r>
          </w:p>
        </w:tc>
      </w:tr>
      <w:tr w:rsidR="008A3944" w:rsidRPr="00AB0193" w14:paraId="1A1D487C" w14:textId="77777777" w:rsidTr="002372CE">
        <w:trPr>
          <w:cantSplit/>
          <w:trHeight w:val="280"/>
        </w:trPr>
        <w:tc>
          <w:tcPr>
            <w:tcW w:w="786" w:type="pct"/>
            <w:tcBorders>
              <w:top w:val="single" w:sz="4" w:space="0" w:color="auto"/>
            </w:tcBorders>
            <w:shd w:val="clear" w:color="auto" w:fill="FFFFFF" w:themeFill="background1"/>
            <w:noWrap/>
            <w:hideMark/>
          </w:tcPr>
          <w:p w14:paraId="4F29998E"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Mefloquine</w:t>
            </w:r>
          </w:p>
        </w:tc>
        <w:tc>
          <w:tcPr>
            <w:tcW w:w="825" w:type="pct"/>
            <w:tcBorders>
              <w:top w:val="single" w:sz="4" w:space="0" w:color="auto"/>
            </w:tcBorders>
            <w:shd w:val="clear" w:color="auto" w:fill="FFFFFF" w:themeFill="background1"/>
            <w:noWrap/>
            <w:hideMark/>
          </w:tcPr>
          <w:p w14:paraId="09F4A964"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Win, 1992</w:t>
            </w:r>
          </w:p>
        </w:tc>
        <w:tc>
          <w:tcPr>
            <w:tcW w:w="3389" w:type="pct"/>
            <w:tcBorders>
              <w:top w:val="single" w:sz="4" w:space="0" w:color="auto"/>
            </w:tcBorders>
            <w:shd w:val="clear" w:color="auto" w:fill="FFFFFF" w:themeFill="background1"/>
            <w:noWrap/>
            <w:hideMark/>
          </w:tcPr>
          <w:p w14:paraId="0A131BC7"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 xml:space="preserve">Bradycardia between 52 – 60 beats per minute with spontaneous recovery observed in ‘some patients’ of 24 treated with IV </w:t>
            </w:r>
            <w:proofErr w:type="spellStart"/>
            <w:r w:rsidRPr="00AB0193">
              <w:rPr>
                <w:rFonts w:ascii="Calibri" w:eastAsia="Times New Roman" w:hAnsi="Calibri" w:cs="Times New Roman"/>
                <w:color w:val="000000"/>
              </w:rPr>
              <w:t>artesunate+mefloquine</w:t>
            </w:r>
            <w:proofErr w:type="spellEnd"/>
            <w:r w:rsidRPr="00AB0193">
              <w:rPr>
                <w:rFonts w:ascii="Calibri" w:eastAsia="Times New Roman" w:hAnsi="Calibri" w:cs="Times New Roman"/>
                <w:color w:val="000000"/>
              </w:rPr>
              <w:t xml:space="preserve"> group; 0/50 in IM </w:t>
            </w:r>
            <w:proofErr w:type="spellStart"/>
            <w:r w:rsidRPr="00AB0193">
              <w:rPr>
                <w:rFonts w:ascii="Calibri" w:eastAsia="Times New Roman" w:hAnsi="Calibri" w:cs="Times New Roman"/>
                <w:color w:val="000000"/>
              </w:rPr>
              <w:t>artemether+mefloquine</w:t>
            </w:r>
            <w:proofErr w:type="spellEnd"/>
            <w:r w:rsidRPr="00AB0193">
              <w:rPr>
                <w:rFonts w:ascii="Calibri" w:eastAsia="Times New Roman" w:hAnsi="Calibri" w:cs="Times New Roman"/>
                <w:color w:val="000000"/>
              </w:rPr>
              <w:t xml:space="preserve"> group and 0/67 in quinine group</w:t>
            </w:r>
          </w:p>
        </w:tc>
      </w:tr>
      <w:tr w:rsidR="008A3944" w:rsidRPr="00AB0193" w14:paraId="4470887D" w14:textId="77777777" w:rsidTr="002372CE">
        <w:trPr>
          <w:cantSplit/>
          <w:trHeight w:val="280"/>
        </w:trPr>
        <w:tc>
          <w:tcPr>
            <w:tcW w:w="786" w:type="pct"/>
            <w:shd w:val="clear" w:color="auto" w:fill="FFFFFF" w:themeFill="background1"/>
            <w:noWrap/>
            <w:hideMark/>
          </w:tcPr>
          <w:p w14:paraId="70727072" w14:textId="77777777" w:rsidR="008A3944" w:rsidRDefault="008A3944" w:rsidP="00E05C3A">
            <w:pPr>
              <w:rPr>
                <w:rFonts w:ascii="Calibri" w:eastAsia="Times New Roman" w:hAnsi="Calibri" w:cs="Times New Roman"/>
                <w:color w:val="000000"/>
              </w:rPr>
            </w:pPr>
            <w:r w:rsidRPr="00F261F5">
              <w:rPr>
                <w:rFonts w:ascii="Calibri" w:eastAsia="Times New Roman" w:hAnsi="Calibri" w:cs="Times New Roman"/>
                <w:color w:val="000000"/>
              </w:rPr>
              <w:lastRenderedPageBreak/>
              <w:t>Mefloquine</w:t>
            </w:r>
          </w:p>
          <w:p w14:paraId="7150B67A" w14:textId="77777777" w:rsidR="008A3944" w:rsidRPr="00F261F5" w:rsidRDefault="008A3944" w:rsidP="00E05C3A">
            <w:pPr>
              <w:rPr>
                <w:rFonts w:ascii="Calibri" w:eastAsia="Times New Roman" w:hAnsi="Calibri" w:cs="Times New Roman"/>
                <w:color w:val="000000"/>
              </w:rPr>
            </w:pPr>
          </w:p>
        </w:tc>
        <w:tc>
          <w:tcPr>
            <w:tcW w:w="825" w:type="pct"/>
            <w:shd w:val="clear" w:color="auto" w:fill="FFFFFF" w:themeFill="background1"/>
            <w:noWrap/>
            <w:hideMark/>
          </w:tcPr>
          <w:p w14:paraId="40756A45"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 xml:space="preserve">Ter </w:t>
            </w:r>
            <w:proofErr w:type="spellStart"/>
            <w:r w:rsidRPr="00AB0193">
              <w:rPr>
                <w:rFonts w:ascii="Calibri" w:eastAsia="Times New Roman" w:hAnsi="Calibri" w:cs="Times New Roman"/>
                <w:color w:val="000000"/>
              </w:rPr>
              <w:t>Kuile</w:t>
            </w:r>
            <w:proofErr w:type="spellEnd"/>
            <w:r w:rsidRPr="00AB0193">
              <w:rPr>
                <w:rFonts w:ascii="Calibri" w:eastAsia="Times New Roman" w:hAnsi="Calibri" w:cs="Times New Roman"/>
                <w:color w:val="000000"/>
              </w:rPr>
              <w:t>, 1995</w:t>
            </w:r>
          </w:p>
        </w:tc>
        <w:tc>
          <w:tcPr>
            <w:tcW w:w="3389" w:type="pct"/>
            <w:shd w:val="clear" w:color="auto" w:fill="FFFFFF" w:themeFill="background1"/>
            <w:noWrap/>
            <w:hideMark/>
          </w:tcPr>
          <w:p w14:paraId="737AADF5"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Bradycardia developed in 11 of 43 adults and 1 of 31 children by day 7 of treatment in those who underwent ECG monitoring (treatment groups pooled for analysis, all treated with mefloquine)</w:t>
            </w:r>
          </w:p>
        </w:tc>
      </w:tr>
      <w:tr w:rsidR="008A3944" w:rsidRPr="00AB0193" w14:paraId="38A8B609" w14:textId="77777777" w:rsidTr="002372CE">
        <w:trPr>
          <w:cantSplit/>
          <w:trHeight w:val="320"/>
        </w:trPr>
        <w:tc>
          <w:tcPr>
            <w:tcW w:w="786" w:type="pct"/>
            <w:shd w:val="clear" w:color="auto" w:fill="FFFFFF" w:themeFill="background1"/>
            <w:noWrap/>
            <w:hideMark/>
          </w:tcPr>
          <w:p w14:paraId="2C31003F"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Mefloquine, SP</w:t>
            </w:r>
          </w:p>
        </w:tc>
        <w:tc>
          <w:tcPr>
            <w:tcW w:w="825" w:type="pct"/>
            <w:shd w:val="clear" w:color="auto" w:fill="FFFFFF" w:themeFill="background1"/>
            <w:noWrap/>
            <w:hideMark/>
          </w:tcPr>
          <w:p w14:paraId="6EE34CBF"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Bunnag</w:t>
            </w:r>
            <w:proofErr w:type="spellEnd"/>
            <w:r w:rsidRPr="00AB0193">
              <w:rPr>
                <w:rFonts w:ascii="Calibri" w:eastAsia="Times New Roman" w:hAnsi="Calibri" w:cs="Times New Roman"/>
                <w:color w:val="000000"/>
              </w:rPr>
              <w:t>, 1992</w:t>
            </w:r>
          </w:p>
        </w:tc>
        <w:tc>
          <w:tcPr>
            <w:tcW w:w="3389" w:type="pct"/>
            <w:shd w:val="clear" w:color="auto" w:fill="FFFFFF" w:themeFill="background1"/>
            <w:noWrap/>
            <w:hideMark/>
          </w:tcPr>
          <w:p w14:paraId="21042FC1"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 xml:space="preserve">15/24 patients developed sinus bradycardia following mefloquine; 12/26 in </w:t>
            </w:r>
            <w:proofErr w:type="spellStart"/>
            <w:r w:rsidRPr="00AB0193">
              <w:rPr>
                <w:rFonts w:ascii="Calibri" w:eastAsia="Times New Roman" w:hAnsi="Calibri" w:cs="Times New Roman"/>
                <w:color w:val="000000"/>
              </w:rPr>
              <w:t>mefloquine+sulfadoxine+pyrimethamine</w:t>
            </w:r>
            <w:proofErr w:type="spellEnd"/>
            <w:r w:rsidRPr="00AB0193">
              <w:rPr>
                <w:rFonts w:ascii="Calibri" w:eastAsia="Times New Roman" w:hAnsi="Calibri" w:cs="Times New Roman"/>
                <w:color w:val="000000"/>
              </w:rPr>
              <w:t xml:space="preserve"> comparator group</w:t>
            </w:r>
          </w:p>
        </w:tc>
      </w:tr>
      <w:tr w:rsidR="008A3944" w:rsidRPr="00AB0193" w14:paraId="392F8FF3" w14:textId="77777777" w:rsidTr="002372CE">
        <w:trPr>
          <w:cantSplit/>
          <w:trHeight w:val="280"/>
        </w:trPr>
        <w:tc>
          <w:tcPr>
            <w:tcW w:w="786" w:type="pct"/>
            <w:shd w:val="clear" w:color="auto" w:fill="FFFFFF" w:themeFill="background1"/>
            <w:noWrap/>
            <w:hideMark/>
          </w:tcPr>
          <w:p w14:paraId="3B5C5694"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Mefloquine</w:t>
            </w:r>
          </w:p>
        </w:tc>
        <w:tc>
          <w:tcPr>
            <w:tcW w:w="825" w:type="pct"/>
            <w:shd w:val="clear" w:color="auto" w:fill="FFFFFF" w:themeFill="background1"/>
            <w:noWrap/>
            <w:hideMark/>
          </w:tcPr>
          <w:p w14:paraId="60724767"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Karbwang</w:t>
            </w:r>
            <w:proofErr w:type="spellEnd"/>
            <w:r w:rsidRPr="00AB0193">
              <w:rPr>
                <w:rFonts w:ascii="Calibri" w:eastAsia="Times New Roman" w:hAnsi="Calibri" w:cs="Times New Roman"/>
                <w:color w:val="000000"/>
              </w:rPr>
              <w:t>, 1991</w:t>
            </w:r>
          </w:p>
        </w:tc>
        <w:tc>
          <w:tcPr>
            <w:tcW w:w="3389" w:type="pct"/>
            <w:shd w:val="clear" w:color="auto" w:fill="FFFFFF" w:themeFill="background1"/>
            <w:noWrap/>
            <w:hideMark/>
          </w:tcPr>
          <w:p w14:paraId="1B2A19E1"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3/10 developed sinus bradycardia in lower dose mefloquine group; 4/10 in higher dose mefloquine comparator group</w:t>
            </w:r>
          </w:p>
        </w:tc>
      </w:tr>
      <w:tr w:rsidR="008A3944" w:rsidRPr="00AB0193" w14:paraId="2705A809" w14:textId="77777777" w:rsidTr="002372CE">
        <w:trPr>
          <w:cantSplit/>
          <w:trHeight w:val="280"/>
        </w:trPr>
        <w:tc>
          <w:tcPr>
            <w:tcW w:w="786" w:type="pct"/>
            <w:shd w:val="clear" w:color="auto" w:fill="FFFFFF" w:themeFill="background1"/>
            <w:noWrap/>
            <w:hideMark/>
          </w:tcPr>
          <w:p w14:paraId="70B2347E"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Mefloquine, SP</w:t>
            </w:r>
          </w:p>
        </w:tc>
        <w:tc>
          <w:tcPr>
            <w:tcW w:w="825" w:type="pct"/>
            <w:shd w:val="clear" w:color="auto" w:fill="FFFFFF" w:themeFill="background1"/>
            <w:noWrap/>
            <w:hideMark/>
          </w:tcPr>
          <w:p w14:paraId="7F94B018"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Harinasuta</w:t>
            </w:r>
            <w:proofErr w:type="spellEnd"/>
            <w:r w:rsidRPr="00AB0193">
              <w:rPr>
                <w:rFonts w:ascii="Calibri" w:eastAsia="Times New Roman" w:hAnsi="Calibri" w:cs="Times New Roman"/>
                <w:color w:val="000000"/>
              </w:rPr>
              <w:t>, 1987</w:t>
            </w:r>
          </w:p>
        </w:tc>
        <w:tc>
          <w:tcPr>
            <w:tcW w:w="3389" w:type="pct"/>
            <w:shd w:val="clear" w:color="auto" w:fill="FFFFFF" w:themeFill="background1"/>
            <w:noWrap/>
            <w:hideMark/>
          </w:tcPr>
          <w:p w14:paraId="06347F56"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 xml:space="preserve">24/46 developed symptomless bradycardia following moderate dose </w:t>
            </w:r>
            <w:proofErr w:type="spellStart"/>
            <w:r w:rsidRPr="00AB0193">
              <w:rPr>
                <w:rFonts w:ascii="Calibri" w:eastAsia="Times New Roman" w:hAnsi="Calibri" w:cs="Times New Roman"/>
                <w:color w:val="000000"/>
              </w:rPr>
              <w:t>mefloquine+sulfadoxine-pyrimethamine</w:t>
            </w:r>
            <w:proofErr w:type="spellEnd"/>
            <w:r w:rsidRPr="00AB0193">
              <w:rPr>
                <w:rFonts w:ascii="Calibri" w:eastAsia="Times New Roman" w:hAnsi="Calibri" w:cs="Times New Roman"/>
                <w:color w:val="000000"/>
              </w:rPr>
              <w:t>; 22/48 in higher dose comparator group</w:t>
            </w:r>
          </w:p>
        </w:tc>
      </w:tr>
      <w:tr w:rsidR="008A3944" w:rsidRPr="00AB0193" w14:paraId="00736AD6" w14:textId="77777777" w:rsidTr="002372CE">
        <w:trPr>
          <w:cantSplit/>
          <w:trHeight w:val="280"/>
        </w:trPr>
        <w:tc>
          <w:tcPr>
            <w:tcW w:w="786" w:type="pct"/>
            <w:shd w:val="clear" w:color="auto" w:fill="FFFFFF" w:themeFill="background1"/>
            <w:noWrap/>
            <w:hideMark/>
          </w:tcPr>
          <w:p w14:paraId="1F0C380A"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Lumefantrine</w:t>
            </w:r>
          </w:p>
        </w:tc>
        <w:tc>
          <w:tcPr>
            <w:tcW w:w="825" w:type="pct"/>
            <w:shd w:val="clear" w:color="auto" w:fill="FFFFFF" w:themeFill="background1"/>
            <w:noWrap/>
            <w:hideMark/>
          </w:tcPr>
          <w:p w14:paraId="32CE9826"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Tshefu</w:t>
            </w:r>
            <w:proofErr w:type="spellEnd"/>
            <w:r w:rsidRPr="00AB0193">
              <w:rPr>
                <w:rFonts w:ascii="Calibri" w:eastAsia="Times New Roman" w:hAnsi="Calibri" w:cs="Times New Roman"/>
                <w:color w:val="000000"/>
              </w:rPr>
              <w:t>, 2010</w:t>
            </w:r>
          </w:p>
        </w:tc>
        <w:tc>
          <w:tcPr>
            <w:tcW w:w="3389" w:type="pct"/>
            <w:shd w:val="clear" w:color="auto" w:fill="FFFFFF" w:themeFill="background1"/>
            <w:noWrap/>
            <w:hideMark/>
          </w:tcPr>
          <w:p w14:paraId="3AAFAC57"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5/423 developed mild bradycardia after treatment with lumefantrine; 5/849 in pyronaridine-artesunate comparator group</w:t>
            </w:r>
          </w:p>
        </w:tc>
      </w:tr>
      <w:tr w:rsidR="008A3944" w:rsidRPr="00AB0193" w14:paraId="3263C512" w14:textId="77777777" w:rsidTr="002372CE">
        <w:trPr>
          <w:cantSplit/>
          <w:trHeight w:val="280"/>
        </w:trPr>
        <w:tc>
          <w:tcPr>
            <w:tcW w:w="786" w:type="pct"/>
            <w:shd w:val="clear" w:color="auto" w:fill="FFFFFF" w:themeFill="background1"/>
            <w:noWrap/>
            <w:hideMark/>
          </w:tcPr>
          <w:p w14:paraId="66D6566D"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Amodiaquine</w:t>
            </w:r>
          </w:p>
        </w:tc>
        <w:tc>
          <w:tcPr>
            <w:tcW w:w="825" w:type="pct"/>
            <w:shd w:val="clear" w:color="auto" w:fill="FFFFFF" w:themeFill="background1"/>
            <w:noWrap/>
            <w:hideMark/>
          </w:tcPr>
          <w:p w14:paraId="47BE86C3"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Adjei, 2012</w:t>
            </w:r>
          </w:p>
        </w:tc>
        <w:tc>
          <w:tcPr>
            <w:tcW w:w="3389" w:type="pct"/>
            <w:shd w:val="clear" w:color="auto" w:fill="FFFFFF" w:themeFill="background1"/>
            <w:noWrap/>
            <w:hideMark/>
          </w:tcPr>
          <w:p w14:paraId="7344D31C"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7/47 developed bradycardia following amodiaquine; 0/30 in lumefantrine comparator group</w:t>
            </w:r>
          </w:p>
        </w:tc>
      </w:tr>
      <w:tr w:rsidR="008A3944" w:rsidRPr="00AB0193" w14:paraId="480A6926" w14:textId="77777777" w:rsidTr="002372CE">
        <w:trPr>
          <w:cantSplit/>
          <w:trHeight w:val="300"/>
        </w:trPr>
        <w:tc>
          <w:tcPr>
            <w:tcW w:w="786" w:type="pct"/>
            <w:shd w:val="clear" w:color="auto" w:fill="FFFFFF" w:themeFill="background1"/>
            <w:noWrap/>
            <w:hideMark/>
          </w:tcPr>
          <w:p w14:paraId="388C0C98"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Amodiaquine, SP</w:t>
            </w:r>
          </w:p>
        </w:tc>
        <w:tc>
          <w:tcPr>
            <w:tcW w:w="825" w:type="pct"/>
            <w:shd w:val="clear" w:color="auto" w:fill="FFFFFF" w:themeFill="background1"/>
            <w:noWrap/>
            <w:hideMark/>
          </w:tcPr>
          <w:p w14:paraId="6FCC00E0"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Ngouesse</w:t>
            </w:r>
            <w:proofErr w:type="spellEnd"/>
            <w:r w:rsidRPr="00AB0193">
              <w:rPr>
                <w:rFonts w:ascii="Calibri" w:eastAsia="Times New Roman" w:hAnsi="Calibri" w:cs="Times New Roman"/>
                <w:color w:val="000000"/>
              </w:rPr>
              <w:t>, 2001</w:t>
            </w:r>
          </w:p>
        </w:tc>
        <w:tc>
          <w:tcPr>
            <w:tcW w:w="3389" w:type="pct"/>
            <w:shd w:val="clear" w:color="auto" w:fill="FFFFFF" w:themeFill="background1"/>
            <w:noWrap/>
            <w:hideMark/>
          </w:tcPr>
          <w:p w14:paraId="004A9388"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14/20 and 16/20 developed bradycardia following amodiaquine on days 2 and 3 respectively, and in 12 patients on day 7; 2/8 in SP group on day 3</w:t>
            </w:r>
          </w:p>
        </w:tc>
      </w:tr>
      <w:tr w:rsidR="008A3944" w:rsidRPr="00AB0193" w14:paraId="01B878F8" w14:textId="77777777" w:rsidTr="002372CE">
        <w:trPr>
          <w:cantSplit/>
          <w:trHeight w:val="280"/>
        </w:trPr>
        <w:tc>
          <w:tcPr>
            <w:tcW w:w="786" w:type="pct"/>
            <w:shd w:val="clear" w:color="auto" w:fill="FFFFFF" w:themeFill="background1"/>
            <w:noWrap/>
            <w:hideMark/>
          </w:tcPr>
          <w:p w14:paraId="5270BF1B"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Halofantrine</w:t>
            </w:r>
          </w:p>
        </w:tc>
        <w:tc>
          <w:tcPr>
            <w:tcW w:w="825" w:type="pct"/>
            <w:shd w:val="clear" w:color="auto" w:fill="FFFFFF" w:themeFill="background1"/>
            <w:noWrap/>
            <w:hideMark/>
          </w:tcPr>
          <w:p w14:paraId="4A60510A"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Karbwang</w:t>
            </w:r>
            <w:proofErr w:type="spellEnd"/>
            <w:r w:rsidRPr="00AB0193">
              <w:rPr>
                <w:rFonts w:ascii="Calibri" w:eastAsia="Times New Roman" w:hAnsi="Calibri" w:cs="Times New Roman"/>
                <w:color w:val="000000"/>
              </w:rPr>
              <w:t>, 1993(c)</w:t>
            </w:r>
          </w:p>
        </w:tc>
        <w:tc>
          <w:tcPr>
            <w:tcW w:w="3389" w:type="pct"/>
            <w:shd w:val="clear" w:color="auto" w:fill="FFFFFF" w:themeFill="background1"/>
            <w:noWrap/>
            <w:hideMark/>
          </w:tcPr>
          <w:p w14:paraId="6C11CB7D"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Bradycardia developed in 9/29 patients with acute falciparum malaria; 1/6 healthy participants controls</w:t>
            </w:r>
          </w:p>
        </w:tc>
      </w:tr>
      <w:tr w:rsidR="008A3944" w:rsidRPr="00AB0193" w14:paraId="1051DA69" w14:textId="77777777" w:rsidTr="002372CE">
        <w:trPr>
          <w:cantSplit/>
          <w:trHeight w:val="320"/>
        </w:trPr>
        <w:tc>
          <w:tcPr>
            <w:tcW w:w="786" w:type="pct"/>
            <w:shd w:val="clear" w:color="auto" w:fill="FFFFFF" w:themeFill="background1"/>
            <w:noWrap/>
            <w:hideMark/>
          </w:tcPr>
          <w:p w14:paraId="1D056DA1"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Halofantrine, mefloquine</w:t>
            </w:r>
          </w:p>
        </w:tc>
        <w:tc>
          <w:tcPr>
            <w:tcW w:w="825" w:type="pct"/>
            <w:shd w:val="clear" w:color="auto" w:fill="FFFFFF" w:themeFill="background1"/>
            <w:noWrap/>
            <w:hideMark/>
          </w:tcPr>
          <w:p w14:paraId="744B816B"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Nosten</w:t>
            </w:r>
            <w:proofErr w:type="spellEnd"/>
            <w:r w:rsidRPr="00AB0193">
              <w:rPr>
                <w:rFonts w:ascii="Calibri" w:eastAsia="Times New Roman" w:hAnsi="Calibri" w:cs="Times New Roman"/>
                <w:color w:val="000000"/>
              </w:rPr>
              <w:t>, 1993</w:t>
            </w:r>
          </w:p>
        </w:tc>
        <w:tc>
          <w:tcPr>
            <w:tcW w:w="3389" w:type="pct"/>
            <w:shd w:val="clear" w:color="auto" w:fill="FFFFFF" w:themeFill="background1"/>
            <w:noWrap/>
            <w:hideMark/>
          </w:tcPr>
          <w:p w14:paraId="0FB0E51A"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1/61 developed bradycardia following halofantrine; 4/53 in mefloquine comparator group</w:t>
            </w:r>
          </w:p>
        </w:tc>
      </w:tr>
      <w:tr w:rsidR="008A3944" w:rsidRPr="00AB0193" w14:paraId="6111318C" w14:textId="77777777" w:rsidTr="002372CE">
        <w:trPr>
          <w:cantSplit/>
          <w:trHeight w:val="320"/>
        </w:trPr>
        <w:tc>
          <w:tcPr>
            <w:tcW w:w="786" w:type="pct"/>
            <w:shd w:val="clear" w:color="auto" w:fill="FFFFFF" w:themeFill="background1"/>
            <w:noWrap/>
          </w:tcPr>
          <w:p w14:paraId="2F3497F5"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Halofantrine</w:t>
            </w:r>
          </w:p>
        </w:tc>
        <w:tc>
          <w:tcPr>
            <w:tcW w:w="825" w:type="pct"/>
            <w:shd w:val="clear" w:color="auto" w:fill="FFFFFF" w:themeFill="background1"/>
            <w:noWrap/>
          </w:tcPr>
          <w:p w14:paraId="0FB6531F"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Lavallée</w:t>
            </w:r>
            <w:proofErr w:type="spellEnd"/>
            <w:r w:rsidRPr="00AB0193">
              <w:rPr>
                <w:rFonts w:ascii="Calibri" w:eastAsia="Times New Roman" w:hAnsi="Calibri" w:cs="Times New Roman"/>
                <w:color w:val="000000"/>
              </w:rPr>
              <w:t>, 2001</w:t>
            </w:r>
          </w:p>
        </w:tc>
        <w:tc>
          <w:tcPr>
            <w:tcW w:w="3389" w:type="pct"/>
            <w:shd w:val="clear" w:color="auto" w:fill="FFFFFF" w:themeFill="background1"/>
            <w:noWrap/>
          </w:tcPr>
          <w:p w14:paraId="609F79D1"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 xml:space="preserve">9-year-old girl developed ventricular extrasystoles with intermittent bradycardia, with an initially prolonged QTc of 480 </w:t>
            </w:r>
            <w:proofErr w:type="spellStart"/>
            <w:r w:rsidRPr="00AB0193">
              <w:rPr>
                <w:rFonts w:ascii="Calibri" w:eastAsia="Times New Roman" w:hAnsi="Calibri" w:cs="Times New Roman"/>
                <w:color w:val="000000"/>
              </w:rPr>
              <w:t>ms</w:t>
            </w:r>
            <w:proofErr w:type="spellEnd"/>
            <w:r w:rsidRPr="00AB0193">
              <w:rPr>
                <w:rFonts w:ascii="Calibri" w:eastAsia="Times New Roman" w:hAnsi="Calibri" w:cs="Times New Roman"/>
                <w:color w:val="000000"/>
              </w:rPr>
              <w:t xml:space="preserve"> which </w:t>
            </w:r>
            <w:proofErr w:type="spellStart"/>
            <w:r w:rsidRPr="00AB0193">
              <w:rPr>
                <w:rFonts w:ascii="Calibri" w:eastAsia="Times New Roman" w:hAnsi="Calibri" w:cs="Times New Roman"/>
                <w:color w:val="000000"/>
              </w:rPr>
              <w:t>normalised</w:t>
            </w:r>
            <w:proofErr w:type="spellEnd"/>
            <w:r w:rsidRPr="00AB0193">
              <w:rPr>
                <w:rFonts w:ascii="Calibri" w:eastAsia="Times New Roman" w:hAnsi="Calibri" w:cs="Times New Roman"/>
                <w:color w:val="000000"/>
              </w:rPr>
              <w:t xml:space="preserve"> to 420 </w:t>
            </w:r>
            <w:proofErr w:type="spellStart"/>
            <w:r w:rsidRPr="00AB0193">
              <w:rPr>
                <w:rFonts w:ascii="Calibri" w:eastAsia="Times New Roman" w:hAnsi="Calibri" w:cs="Times New Roman"/>
                <w:color w:val="000000"/>
              </w:rPr>
              <w:t>ms</w:t>
            </w:r>
            <w:proofErr w:type="spellEnd"/>
            <w:r w:rsidRPr="00AB0193">
              <w:rPr>
                <w:rFonts w:ascii="Calibri" w:eastAsia="Times New Roman" w:hAnsi="Calibri" w:cs="Times New Roman"/>
                <w:color w:val="000000"/>
              </w:rPr>
              <w:t xml:space="preserve"> after 48 hours (1/25 treated with halofantrine; no comparator group)</w:t>
            </w:r>
          </w:p>
        </w:tc>
      </w:tr>
      <w:tr w:rsidR="008A3944" w:rsidRPr="00AB0193" w14:paraId="7550A245" w14:textId="77777777" w:rsidTr="00E05C3A">
        <w:trPr>
          <w:cantSplit/>
          <w:trHeight w:val="300"/>
        </w:trPr>
        <w:tc>
          <w:tcPr>
            <w:tcW w:w="5000" w:type="pct"/>
            <w:gridSpan w:val="3"/>
            <w:tcBorders>
              <w:top w:val="single" w:sz="4" w:space="0" w:color="auto"/>
              <w:bottom w:val="single" w:sz="4" w:space="0" w:color="auto"/>
            </w:tcBorders>
            <w:shd w:val="clear" w:color="auto" w:fill="FFFFFF" w:themeFill="background1"/>
            <w:noWrap/>
          </w:tcPr>
          <w:p w14:paraId="6BA6B3E7" w14:textId="77777777" w:rsidR="008A3944" w:rsidRPr="00AB0193" w:rsidRDefault="008A3944" w:rsidP="00E05C3A">
            <w:pPr>
              <w:rPr>
                <w:rFonts w:ascii="Calibri" w:eastAsia="Times New Roman" w:hAnsi="Calibri" w:cs="Times New Roman"/>
                <w:b/>
                <w:bCs/>
                <w:color w:val="000000"/>
              </w:rPr>
            </w:pPr>
            <w:r w:rsidRPr="00AB0193">
              <w:rPr>
                <w:rFonts w:ascii="Calibri" w:eastAsia="Times New Roman" w:hAnsi="Calibri" w:cs="Times New Roman"/>
                <w:b/>
                <w:bCs/>
                <w:color w:val="000000"/>
              </w:rPr>
              <w:t>Tachycardia</w:t>
            </w:r>
          </w:p>
        </w:tc>
      </w:tr>
      <w:tr w:rsidR="008A3944" w:rsidRPr="00AB0193" w14:paraId="6AAD5813" w14:textId="77777777" w:rsidTr="002372CE">
        <w:trPr>
          <w:cantSplit/>
          <w:trHeight w:val="280"/>
        </w:trPr>
        <w:tc>
          <w:tcPr>
            <w:tcW w:w="786" w:type="pct"/>
            <w:shd w:val="clear" w:color="auto" w:fill="FFFFFF" w:themeFill="background1"/>
            <w:noWrap/>
            <w:hideMark/>
          </w:tcPr>
          <w:p w14:paraId="316E2CED"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Lumefantrine</w:t>
            </w:r>
          </w:p>
        </w:tc>
        <w:tc>
          <w:tcPr>
            <w:tcW w:w="825" w:type="pct"/>
            <w:shd w:val="clear" w:color="auto" w:fill="FFFFFF" w:themeFill="background1"/>
            <w:noWrap/>
            <w:hideMark/>
          </w:tcPr>
          <w:p w14:paraId="6ABE3D50"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Abdulla, 2008</w:t>
            </w:r>
          </w:p>
        </w:tc>
        <w:tc>
          <w:tcPr>
            <w:tcW w:w="3389" w:type="pct"/>
            <w:shd w:val="clear" w:color="auto" w:fill="FFFFFF" w:themeFill="background1"/>
            <w:noWrap/>
            <w:hideMark/>
          </w:tcPr>
          <w:p w14:paraId="1F430F44"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7 cases of arrhythmia (mostly tachycardia): mild, resolved without intervention (4/447 in dispersible tablet group; 3/452 crushed tablet group)</w:t>
            </w:r>
          </w:p>
        </w:tc>
      </w:tr>
      <w:tr w:rsidR="008A3944" w:rsidRPr="00AB0193" w14:paraId="2DE9ECAE" w14:textId="77777777" w:rsidTr="00E05C3A">
        <w:trPr>
          <w:cantSplit/>
          <w:trHeight w:val="300"/>
        </w:trPr>
        <w:tc>
          <w:tcPr>
            <w:tcW w:w="5000" w:type="pct"/>
            <w:gridSpan w:val="3"/>
            <w:tcBorders>
              <w:top w:val="single" w:sz="4" w:space="0" w:color="auto"/>
              <w:bottom w:val="single" w:sz="4" w:space="0" w:color="auto"/>
            </w:tcBorders>
            <w:shd w:val="clear" w:color="auto" w:fill="FFFFFF" w:themeFill="background1"/>
            <w:noWrap/>
          </w:tcPr>
          <w:p w14:paraId="1718CFD5" w14:textId="77777777" w:rsidR="008A3944" w:rsidRPr="00AB0193" w:rsidRDefault="008A3944" w:rsidP="00E05C3A">
            <w:pPr>
              <w:rPr>
                <w:rFonts w:ascii="Calibri" w:eastAsia="Times New Roman" w:hAnsi="Calibri" w:cs="Times New Roman"/>
                <w:b/>
                <w:bCs/>
                <w:color w:val="000000"/>
              </w:rPr>
            </w:pPr>
            <w:r w:rsidRPr="00AB0193">
              <w:rPr>
                <w:rFonts w:ascii="Calibri" w:eastAsia="Times New Roman" w:hAnsi="Calibri" w:cs="Times New Roman"/>
                <w:b/>
                <w:bCs/>
                <w:color w:val="000000"/>
              </w:rPr>
              <w:t>Ectopic beats</w:t>
            </w:r>
          </w:p>
        </w:tc>
      </w:tr>
      <w:tr w:rsidR="008A3944" w:rsidRPr="00AB0193" w14:paraId="25750499" w14:textId="77777777" w:rsidTr="002372CE">
        <w:trPr>
          <w:cantSplit/>
          <w:trHeight w:val="280"/>
        </w:trPr>
        <w:tc>
          <w:tcPr>
            <w:tcW w:w="786" w:type="pct"/>
            <w:tcBorders>
              <w:top w:val="single" w:sz="4" w:space="0" w:color="auto"/>
            </w:tcBorders>
            <w:shd w:val="clear" w:color="auto" w:fill="FFFFFF" w:themeFill="background1"/>
            <w:noWrap/>
            <w:hideMark/>
          </w:tcPr>
          <w:p w14:paraId="0229A1F0"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lastRenderedPageBreak/>
              <w:t>Piperaquine</w:t>
            </w:r>
          </w:p>
        </w:tc>
        <w:tc>
          <w:tcPr>
            <w:tcW w:w="825" w:type="pct"/>
            <w:tcBorders>
              <w:top w:val="single" w:sz="4" w:space="0" w:color="auto"/>
            </w:tcBorders>
            <w:shd w:val="clear" w:color="auto" w:fill="FFFFFF" w:themeFill="background1"/>
            <w:noWrap/>
            <w:hideMark/>
          </w:tcPr>
          <w:p w14:paraId="123615AF"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Karunajeewa</w:t>
            </w:r>
            <w:proofErr w:type="spellEnd"/>
            <w:r w:rsidRPr="00AB0193">
              <w:rPr>
                <w:rFonts w:ascii="Calibri" w:eastAsia="Times New Roman" w:hAnsi="Calibri" w:cs="Times New Roman"/>
                <w:color w:val="000000"/>
              </w:rPr>
              <w:t>, 2003</w:t>
            </w:r>
          </w:p>
        </w:tc>
        <w:tc>
          <w:tcPr>
            <w:tcW w:w="3389" w:type="pct"/>
            <w:tcBorders>
              <w:top w:val="single" w:sz="4" w:space="0" w:color="auto"/>
            </w:tcBorders>
            <w:shd w:val="clear" w:color="auto" w:fill="FFFFFF" w:themeFill="background1"/>
            <w:noWrap/>
            <w:hideMark/>
          </w:tcPr>
          <w:p w14:paraId="3FEA9578"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1 child developed frequent atrial ectopic beats at 24 hours, 1 adult developed ventricular ectopic beats 24 hours (1/62 patients)</w:t>
            </w:r>
          </w:p>
        </w:tc>
      </w:tr>
      <w:tr w:rsidR="008A3944" w:rsidRPr="00AB0193" w14:paraId="0A672A5D" w14:textId="77777777" w:rsidTr="00E05C3A">
        <w:trPr>
          <w:cantSplit/>
          <w:trHeight w:val="300"/>
        </w:trPr>
        <w:tc>
          <w:tcPr>
            <w:tcW w:w="5000" w:type="pct"/>
            <w:gridSpan w:val="3"/>
            <w:tcBorders>
              <w:top w:val="single" w:sz="4" w:space="0" w:color="auto"/>
              <w:bottom w:val="single" w:sz="4" w:space="0" w:color="auto"/>
            </w:tcBorders>
            <w:shd w:val="clear" w:color="auto" w:fill="FFFFFF" w:themeFill="background1"/>
            <w:noWrap/>
          </w:tcPr>
          <w:p w14:paraId="153E198E" w14:textId="77777777" w:rsidR="008A3944" w:rsidRPr="00AB0193" w:rsidRDefault="008A3944" w:rsidP="00E05C3A">
            <w:pPr>
              <w:rPr>
                <w:rFonts w:ascii="Calibri" w:eastAsia="Times New Roman" w:hAnsi="Calibri" w:cs="Times New Roman"/>
                <w:b/>
                <w:bCs/>
                <w:color w:val="000000"/>
              </w:rPr>
            </w:pPr>
            <w:r w:rsidRPr="00AB0193">
              <w:rPr>
                <w:rFonts w:ascii="Calibri" w:eastAsia="Times New Roman" w:hAnsi="Calibri" w:cs="Times New Roman"/>
                <w:b/>
                <w:bCs/>
                <w:color w:val="000000"/>
              </w:rPr>
              <w:t>Supraventricular tachyarrhythmia</w:t>
            </w:r>
          </w:p>
        </w:tc>
      </w:tr>
      <w:tr w:rsidR="008A3944" w:rsidRPr="00AB0193" w14:paraId="36762647" w14:textId="77777777" w:rsidTr="002372CE">
        <w:trPr>
          <w:cantSplit/>
          <w:trHeight w:val="280"/>
        </w:trPr>
        <w:tc>
          <w:tcPr>
            <w:tcW w:w="786" w:type="pct"/>
            <w:shd w:val="clear" w:color="auto" w:fill="FFFFFF" w:themeFill="background1"/>
            <w:noWrap/>
            <w:hideMark/>
          </w:tcPr>
          <w:p w14:paraId="32D0FA18"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Quinine, chloroquine</w:t>
            </w:r>
          </w:p>
        </w:tc>
        <w:tc>
          <w:tcPr>
            <w:tcW w:w="825" w:type="pct"/>
            <w:shd w:val="clear" w:color="auto" w:fill="FFFFFF" w:themeFill="background1"/>
            <w:noWrap/>
            <w:hideMark/>
          </w:tcPr>
          <w:p w14:paraId="16172910"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Bethell, 1996</w:t>
            </w:r>
          </w:p>
        </w:tc>
        <w:tc>
          <w:tcPr>
            <w:tcW w:w="3389" w:type="pct"/>
            <w:shd w:val="clear" w:color="auto" w:fill="FFFFFF" w:themeFill="background1"/>
            <w:noWrap/>
            <w:hideMark/>
          </w:tcPr>
          <w:p w14:paraId="118F0316"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 xml:space="preserve">8-year-old Gambian boy had frequent supraventricular ectopic beats but remained clinically undetectable, with 7 other patients experiencing SVTs (drug group not detailed; total trial population n=53).  2/23 patients treated with quinine had pauses: 17-year-old male, 1 pause of 2.3 s, 1 5-year-old female, 2 pauses 2.7 s and 2.4 s, and 1 patient had a couplet rhythm (2 ventricular beats in succession) </w:t>
            </w:r>
          </w:p>
        </w:tc>
      </w:tr>
      <w:tr w:rsidR="008A3944" w:rsidRPr="00AB0193" w14:paraId="5B587186" w14:textId="77777777" w:rsidTr="002372CE">
        <w:trPr>
          <w:cantSplit/>
          <w:trHeight w:val="280"/>
        </w:trPr>
        <w:tc>
          <w:tcPr>
            <w:tcW w:w="786" w:type="pct"/>
            <w:shd w:val="clear" w:color="auto" w:fill="FFFFFF" w:themeFill="background1"/>
            <w:noWrap/>
            <w:hideMark/>
          </w:tcPr>
          <w:p w14:paraId="6DA74FFA"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Quinine</w:t>
            </w:r>
          </w:p>
        </w:tc>
        <w:tc>
          <w:tcPr>
            <w:tcW w:w="825" w:type="pct"/>
            <w:shd w:val="clear" w:color="auto" w:fill="FFFFFF" w:themeFill="background1"/>
            <w:noWrap/>
            <w:hideMark/>
          </w:tcPr>
          <w:p w14:paraId="46B41006"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Walker, 1993</w:t>
            </w:r>
          </w:p>
        </w:tc>
        <w:tc>
          <w:tcPr>
            <w:tcW w:w="3389" w:type="pct"/>
            <w:shd w:val="clear" w:color="auto" w:fill="FFFFFF" w:themeFill="background1"/>
            <w:noWrap/>
            <w:hideMark/>
          </w:tcPr>
          <w:p w14:paraId="04D786BB"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2/29 patients (who died) developed SVT which authors felt was due to co-morbid state of patient; 0/25 in artemether group developed arrhythmias</w:t>
            </w:r>
          </w:p>
        </w:tc>
      </w:tr>
      <w:tr w:rsidR="008A3944" w:rsidRPr="00AB0193" w14:paraId="3D8D8D3C" w14:textId="77777777" w:rsidTr="002372CE">
        <w:trPr>
          <w:cantSplit/>
          <w:trHeight w:val="280"/>
        </w:trPr>
        <w:tc>
          <w:tcPr>
            <w:tcW w:w="786" w:type="pct"/>
            <w:shd w:val="clear" w:color="auto" w:fill="FFFFFF" w:themeFill="background1"/>
            <w:noWrap/>
          </w:tcPr>
          <w:p w14:paraId="6B08075B"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Piperaquine, mefloquine</w:t>
            </w:r>
          </w:p>
        </w:tc>
        <w:tc>
          <w:tcPr>
            <w:tcW w:w="825" w:type="pct"/>
            <w:shd w:val="clear" w:color="auto" w:fill="FFFFFF" w:themeFill="background1"/>
            <w:noWrap/>
          </w:tcPr>
          <w:p w14:paraId="2E0F1A8E"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Gargano, 2012</w:t>
            </w:r>
          </w:p>
        </w:tc>
        <w:tc>
          <w:tcPr>
            <w:tcW w:w="3389" w:type="pct"/>
            <w:shd w:val="clear" w:color="auto" w:fill="FFFFFF" w:themeFill="background1"/>
            <w:noWrap/>
          </w:tcPr>
          <w:p w14:paraId="147A9407"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 xml:space="preserve">20-year-old male WPW diagnosed on day 2 (previously undiagnosed), investigators thought this was possibly related to </w:t>
            </w:r>
            <w:proofErr w:type="spellStart"/>
            <w:r w:rsidRPr="00AB0193">
              <w:rPr>
                <w:rFonts w:ascii="Calibri" w:eastAsia="Times New Roman" w:hAnsi="Calibri" w:cs="Times New Roman"/>
                <w:color w:val="000000"/>
              </w:rPr>
              <w:t>dihydroartemisinin</w:t>
            </w:r>
            <w:proofErr w:type="spellEnd"/>
            <w:r w:rsidRPr="00AB0193">
              <w:rPr>
                <w:rFonts w:ascii="Calibri" w:eastAsia="Times New Roman" w:hAnsi="Calibri" w:cs="Times New Roman"/>
                <w:color w:val="000000"/>
              </w:rPr>
              <w:t>-piperaquine (1/101 participants in piperaquine group; 0/49 developed arrhythmias in mefloquine group)</w:t>
            </w:r>
          </w:p>
        </w:tc>
      </w:tr>
      <w:tr w:rsidR="008A3944" w:rsidRPr="00AB0193" w14:paraId="38F8C65A" w14:textId="77777777" w:rsidTr="00E05C3A">
        <w:trPr>
          <w:cantSplit/>
          <w:trHeight w:val="300"/>
        </w:trPr>
        <w:tc>
          <w:tcPr>
            <w:tcW w:w="5000" w:type="pct"/>
            <w:gridSpan w:val="3"/>
            <w:tcBorders>
              <w:top w:val="single" w:sz="4" w:space="0" w:color="auto"/>
              <w:bottom w:val="single" w:sz="4" w:space="0" w:color="auto"/>
            </w:tcBorders>
            <w:shd w:val="clear" w:color="auto" w:fill="FFFFFF" w:themeFill="background1"/>
            <w:noWrap/>
          </w:tcPr>
          <w:p w14:paraId="7A701594" w14:textId="77777777" w:rsidR="008A3944" w:rsidRPr="00AB0193" w:rsidRDefault="008A3944" w:rsidP="00E05C3A">
            <w:pPr>
              <w:rPr>
                <w:rFonts w:ascii="Calibri" w:eastAsia="Times New Roman" w:hAnsi="Calibri" w:cs="Times New Roman"/>
                <w:b/>
                <w:bCs/>
                <w:color w:val="000000"/>
              </w:rPr>
            </w:pPr>
            <w:r w:rsidRPr="00AB0193">
              <w:rPr>
                <w:rFonts w:ascii="Calibri" w:eastAsia="Times New Roman" w:hAnsi="Calibri" w:cs="Times New Roman"/>
                <w:b/>
                <w:bCs/>
                <w:color w:val="000000"/>
              </w:rPr>
              <w:t>Unspecified</w:t>
            </w:r>
          </w:p>
        </w:tc>
      </w:tr>
      <w:tr w:rsidR="008A3944" w:rsidRPr="00AB0193" w14:paraId="5F7A4FCE" w14:textId="77777777" w:rsidTr="002372CE">
        <w:trPr>
          <w:cantSplit/>
          <w:trHeight w:val="280"/>
        </w:trPr>
        <w:tc>
          <w:tcPr>
            <w:tcW w:w="786" w:type="pct"/>
            <w:tcBorders>
              <w:top w:val="single" w:sz="4" w:space="0" w:color="auto"/>
            </w:tcBorders>
            <w:shd w:val="clear" w:color="auto" w:fill="FFFFFF" w:themeFill="background1"/>
            <w:noWrap/>
            <w:hideMark/>
          </w:tcPr>
          <w:p w14:paraId="3ADE40A4"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Quinine or mefloquine</w:t>
            </w:r>
          </w:p>
        </w:tc>
        <w:tc>
          <w:tcPr>
            <w:tcW w:w="825" w:type="pct"/>
            <w:tcBorders>
              <w:top w:val="single" w:sz="4" w:space="0" w:color="auto"/>
            </w:tcBorders>
            <w:shd w:val="clear" w:color="auto" w:fill="FFFFFF" w:themeFill="background1"/>
            <w:noWrap/>
            <w:hideMark/>
          </w:tcPr>
          <w:p w14:paraId="7B62942A"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Win, 1992</w:t>
            </w:r>
          </w:p>
        </w:tc>
        <w:tc>
          <w:tcPr>
            <w:tcW w:w="3389" w:type="pct"/>
            <w:tcBorders>
              <w:top w:val="single" w:sz="4" w:space="0" w:color="auto"/>
            </w:tcBorders>
            <w:shd w:val="clear" w:color="auto" w:fill="FFFFFF" w:themeFill="background1"/>
            <w:noWrap/>
            <w:hideMark/>
          </w:tcPr>
          <w:p w14:paraId="0FDAFF21"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 xml:space="preserve">6 of 32 fatal cases (autopsy concluded death from cerebral malaria in all cases) developed one or more complications including cardiac dysrhythmias before dying (no further detail noted, treatment groups of fatal cases not detailed, total trial population n=141) </w:t>
            </w:r>
          </w:p>
        </w:tc>
      </w:tr>
      <w:tr w:rsidR="008A3944" w:rsidRPr="00AB0193" w14:paraId="4246AAE2" w14:textId="77777777" w:rsidTr="002372CE">
        <w:trPr>
          <w:cantSplit/>
          <w:trHeight w:val="280"/>
        </w:trPr>
        <w:tc>
          <w:tcPr>
            <w:tcW w:w="786" w:type="pct"/>
            <w:tcBorders>
              <w:bottom w:val="single" w:sz="4" w:space="0" w:color="auto"/>
            </w:tcBorders>
            <w:shd w:val="clear" w:color="auto" w:fill="FFFFFF" w:themeFill="background1"/>
            <w:noWrap/>
            <w:hideMark/>
          </w:tcPr>
          <w:p w14:paraId="7254823A"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Lumefantrine</w:t>
            </w:r>
          </w:p>
        </w:tc>
        <w:tc>
          <w:tcPr>
            <w:tcW w:w="825" w:type="pct"/>
            <w:tcBorders>
              <w:bottom w:val="single" w:sz="4" w:space="0" w:color="auto"/>
            </w:tcBorders>
            <w:shd w:val="clear" w:color="auto" w:fill="FFFFFF" w:themeFill="background1"/>
            <w:noWrap/>
            <w:hideMark/>
          </w:tcPr>
          <w:p w14:paraId="2F14D698" w14:textId="77777777" w:rsidR="008A3944" w:rsidRPr="00AB0193" w:rsidRDefault="008A3944" w:rsidP="00E05C3A">
            <w:pPr>
              <w:rPr>
                <w:rFonts w:ascii="Calibri" w:eastAsia="Times New Roman" w:hAnsi="Calibri" w:cs="Times New Roman"/>
                <w:color w:val="000000"/>
              </w:rPr>
            </w:pPr>
            <w:proofErr w:type="spellStart"/>
            <w:r w:rsidRPr="00AB0193">
              <w:rPr>
                <w:rFonts w:ascii="Calibri" w:eastAsia="Times New Roman" w:hAnsi="Calibri" w:cs="Times New Roman"/>
                <w:color w:val="000000"/>
              </w:rPr>
              <w:t>Kayentao</w:t>
            </w:r>
            <w:proofErr w:type="spellEnd"/>
            <w:r w:rsidRPr="00AB0193">
              <w:rPr>
                <w:rFonts w:ascii="Calibri" w:eastAsia="Times New Roman" w:hAnsi="Calibri" w:cs="Times New Roman"/>
                <w:color w:val="000000"/>
              </w:rPr>
              <w:t>, 2012</w:t>
            </w:r>
          </w:p>
        </w:tc>
        <w:tc>
          <w:tcPr>
            <w:tcW w:w="3389" w:type="pct"/>
            <w:tcBorders>
              <w:bottom w:val="single" w:sz="4" w:space="0" w:color="auto"/>
            </w:tcBorders>
            <w:shd w:val="clear" w:color="auto" w:fill="FFFFFF" w:themeFill="background1"/>
            <w:noWrap/>
            <w:hideMark/>
          </w:tcPr>
          <w:p w14:paraId="4D7951DF" w14:textId="77777777"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1/180 developed arrhythmia following lumefantrine thought possibly related to study drug; 0/355 following pyronaridine-artesunate</w:t>
            </w:r>
          </w:p>
        </w:tc>
      </w:tr>
      <w:tr w:rsidR="008A3944" w:rsidRPr="00AB0193" w14:paraId="74B5AB34" w14:textId="77777777" w:rsidTr="00E05C3A">
        <w:trPr>
          <w:cantSplit/>
          <w:trHeight w:val="280"/>
        </w:trPr>
        <w:tc>
          <w:tcPr>
            <w:tcW w:w="5000" w:type="pct"/>
            <w:gridSpan w:val="3"/>
            <w:tcBorders>
              <w:top w:val="single" w:sz="4" w:space="0" w:color="auto"/>
            </w:tcBorders>
            <w:shd w:val="clear" w:color="auto" w:fill="FFFFFF" w:themeFill="background1"/>
            <w:noWrap/>
          </w:tcPr>
          <w:p w14:paraId="2C1675E5" w14:textId="45B98FF2" w:rsidR="008A3944" w:rsidRPr="00AB0193" w:rsidRDefault="008A3944" w:rsidP="00E05C3A">
            <w:pPr>
              <w:rPr>
                <w:rFonts w:ascii="Calibri" w:eastAsia="Times New Roman" w:hAnsi="Calibri" w:cs="Times New Roman"/>
                <w:color w:val="000000"/>
              </w:rPr>
            </w:pPr>
            <w:r w:rsidRPr="00AB0193">
              <w:rPr>
                <w:rFonts w:ascii="Calibri" w:eastAsia="Times New Roman" w:hAnsi="Calibri" w:cs="Times New Roman"/>
                <w:color w:val="000000"/>
              </w:rPr>
              <w:t xml:space="preserve">SP, </w:t>
            </w:r>
            <w:proofErr w:type="spellStart"/>
            <w:r w:rsidRPr="00AB0193">
              <w:rPr>
                <w:rFonts w:ascii="Calibri" w:eastAsia="Times New Roman" w:hAnsi="Calibri" w:cs="Times New Roman"/>
                <w:color w:val="000000"/>
              </w:rPr>
              <w:t>sulfadoxine</w:t>
            </w:r>
            <w:proofErr w:type="spellEnd"/>
            <w:r w:rsidRPr="00AB0193">
              <w:rPr>
                <w:rFonts w:ascii="Calibri" w:eastAsia="Times New Roman" w:hAnsi="Calibri" w:cs="Times New Roman"/>
                <w:color w:val="000000"/>
              </w:rPr>
              <w:t>-pyr</w:t>
            </w:r>
            <w:r w:rsidR="002372CE">
              <w:rPr>
                <w:rFonts w:ascii="Calibri" w:eastAsia="Times New Roman" w:hAnsi="Calibri" w:cs="Times New Roman"/>
                <w:color w:val="000000"/>
              </w:rPr>
              <w:t>i</w:t>
            </w:r>
            <w:r w:rsidRPr="00AB0193">
              <w:rPr>
                <w:rFonts w:ascii="Calibri" w:eastAsia="Times New Roman" w:hAnsi="Calibri" w:cs="Times New Roman"/>
                <w:color w:val="000000"/>
              </w:rPr>
              <w:t>meth</w:t>
            </w:r>
            <w:r w:rsidR="002372CE">
              <w:rPr>
                <w:rFonts w:ascii="Calibri" w:eastAsia="Times New Roman" w:hAnsi="Calibri" w:cs="Times New Roman"/>
                <w:color w:val="000000"/>
              </w:rPr>
              <w:t>a</w:t>
            </w:r>
            <w:r w:rsidRPr="00AB0193">
              <w:rPr>
                <w:rFonts w:ascii="Calibri" w:eastAsia="Times New Roman" w:hAnsi="Calibri" w:cs="Times New Roman"/>
                <w:color w:val="000000"/>
              </w:rPr>
              <w:t xml:space="preserve">mine; </w:t>
            </w:r>
            <w:proofErr w:type="spellStart"/>
            <w:r w:rsidRPr="00AB0193">
              <w:rPr>
                <w:rFonts w:ascii="Calibri" w:eastAsia="Times New Roman" w:hAnsi="Calibri" w:cs="Times New Roman"/>
                <w:color w:val="000000"/>
              </w:rPr>
              <w:t>ms</w:t>
            </w:r>
            <w:proofErr w:type="spellEnd"/>
            <w:r w:rsidRPr="00AB0193">
              <w:rPr>
                <w:rFonts w:ascii="Calibri" w:eastAsia="Times New Roman" w:hAnsi="Calibri" w:cs="Times New Roman"/>
                <w:color w:val="000000"/>
              </w:rPr>
              <w:t xml:space="preserve">, </w:t>
            </w:r>
            <w:proofErr w:type="spellStart"/>
            <w:r w:rsidRPr="00AB0193">
              <w:rPr>
                <w:rFonts w:ascii="Calibri" w:eastAsia="Times New Roman" w:hAnsi="Calibri" w:cs="Times New Roman"/>
                <w:color w:val="000000"/>
              </w:rPr>
              <w:t>miliseconds</w:t>
            </w:r>
            <w:proofErr w:type="spellEnd"/>
            <w:r w:rsidRPr="00AB0193">
              <w:rPr>
                <w:rFonts w:ascii="Calibri" w:eastAsia="Times New Roman" w:hAnsi="Calibri" w:cs="Times New Roman"/>
                <w:color w:val="000000"/>
              </w:rPr>
              <w:t>; s, seconds; IM, intramuscular; SVT, supraventricular tachycardia; WPW, Wolff-Parkinson-White; QTc, corrected QT interval</w:t>
            </w:r>
          </w:p>
        </w:tc>
      </w:tr>
    </w:tbl>
    <w:p w14:paraId="7875E1FF" w14:textId="77777777" w:rsidR="008A3944" w:rsidRDefault="008A3944"/>
    <w:sectPr w:rsidR="008A3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944"/>
    <w:rsid w:val="00107B84"/>
    <w:rsid w:val="002372CE"/>
    <w:rsid w:val="00250023"/>
    <w:rsid w:val="008A3944"/>
    <w:rsid w:val="00AA58AA"/>
    <w:rsid w:val="00C4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3457A"/>
  <w15:docId w15:val="{A7A91461-246B-4C3E-9B7F-19622C53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836</Words>
  <Characters>4769</Characters>
  <Application>Microsoft Office Word</Application>
  <DocSecurity>0</DocSecurity>
  <Lines>39</Lines>
  <Paragraphs>11</Paragraphs>
  <ScaleCrop>false</ScaleCrop>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TBANIGA</dc:creator>
  <cp:lastModifiedBy>Haeusler, Ilsa</cp:lastModifiedBy>
  <cp:revision>5</cp:revision>
  <dcterms:created xsi:type="dcterms:W3CDTF">2018-10-10T23:28:00Z</dcterms:created>
  <dcterms:modified xsi:type="dcterms:W3CDTF">2018-10-30T15:23:00Z</dcterms:modified>
</cp:coreProperties>
</file>