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E9DAF" w14:textId="0D01E9DA" w:rsidR="000E0337" w:rsidRPr="000E0337" w:rsidRDefault="004D047F" w:rsidP="008A3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Additional file 1</w:t>
      </w:r>
    </w:p>
    <w:p w14:paraId="33B40111" w14:textId="77777777" w:rsidR="008A3517" w:rsidRDefault="008A3517" w:rsidP="008A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99AF63" w14:textId="77777777" w:rsidR="008A3517" w:rsidRDefault="000E0337" w:rsidP="008A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E0337">
        <w:rPr>
          <w:rFonts w:ascii="Times New Roman" w:hAnsi="Times New Roman"/>
          <w:b/>
          <w:sz w:val="24"/>
          <w:szCs w:val="24"/>
          <w:lang w:val="en-US"/>
        </w:rPr>
        <w:t>Materials and methods</w:t>
      </w:r>
    </w:p>
    <w:p w14:paraId="3746A912" w14:textId="77777777" w:rsidR="00AA5E8F" w:rsidRPr="002E5C63" w:rsidRDefault="00AA5E8F" w:rsidP="008A35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5218412" w14:textId="77777777" w:rsidR="002E5C63" w:rsidRPr="002E5C63" w:rsidRDefault="002E5C63" w:rsidP="002E5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5C63">
        <w:rPr>
          <w:rFonts w:ascii="Times New Roman" w:hAnsi="Times New Roman" w:cs="Times New Roman"/>
          <w:b/>
          <w:sz w:val="24"/>
          <w:szCs w:val="24"/>
          <w:lang w:val="en-US"/>
        </w:rPr>
        <w:t>Patient material</w:t>
      </w:r>
    </w:p>
    <w:p w14:paraId="11D46149" w14:textId="77777777" w:rsidR="002E5C63" w:rsidRPr="002E5C63" w:rsidRDefault="002E5C63" w:rsidP="002E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C63">
        <w:rPr>
          <w:rFonts w:ascii="Times New Roman" w:hAnsi="Times New Roman" w:cs="Times New Roman"/>
          <w:sz w:val="24"/>
          <w:szCs w:val="24"/>
          <w:lang w:val="en-US"/>
        </w:rPr>
        <w:t>Samples were collected upon approval by the local ethics committee (number: 3779/138_17B) and patients’ informed consent. PBMCs from 13 newly diagnosed, untreated AML patients were collected.</w:t>
      </w:r>
    </w:p>
    <w:p w14:paraId="1BA4F095" w14:textId="77777777" w:rsidR="002E5C63" w:rsidRPr="002E5C63" w:rsidRDefault="002E5C63" w:rsidP="002E5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743FA9" w14:textId="3A395948" w:rsidR="000E0337" w:rsidRDefault="00620066" w:rsidP="00693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Antibodies, f</w:t>
      </w:r>
      <w:r w:rsidR="000E0337" w:rsidRPr="00693216">
        <w:rPr>
          <w:rFonts w:ascii="Times New Roman" w:hAnsi="Times New Roman"/>
          <w:b/>
          <w:sz w:val="24"/>
          <w:szCs w:val="24"/>
          <w:lang w:val="en-US"/>
        </w:rPr>
        <w:t xml:space="preserve">low </w:t>
      </w:r>
      <w:r w:rsidR="00693216">
        <w:rPr>
          <w:rFonts w:ascii="Times New Roman" w:hAnsi="Times New Roman"/>
          <w:b/>
          <w:sz w:val="24"/>
          <w:szCs w:val="24"/>
          <w:lang w:val="en-US"/>
        </w:rPr>
        <w:t>c</w:t>
      </w:r>
      <w:r w:rsidR="000E0337" w:rsidRPr="00693216">
        <w:rPr>
          <w:rFonts w:ascii="Times New Roman" w:hAnsi="Times New Roman"/>
          <w:b/>
          <w:sz w:val="24"/>
          <w:szCs w:val="24"/>
          <w:lang w:val="en-US"/>
        </w:rPr>
        <w:t xml:space="preserve">ytometry and FACS </w:t>
      </w:r>
      <w:r w:rsidR="00693216">
        <w:rPr>
          <w:rFonts w:ascii="Times New Roman" w:hAnsi="Times New Roman"/>
          <w:b/>
          <w:sz w:val="24"/>
          <w:szCs w:val="24"/>
          <w:lang w:val="en-US"/>
        </w:rPr>
        <w:t>s</w:t>
      </w:r>
      <w:r w:rsidR="000E0337" w:rsidRPr="00693216">
        <w:rPr>
          <w:rFonts w:ascii="Times New Roman" w:hAnsi="Times New Roman"/>
          <w:b/>
          <w:sz w:val="24"/>
          <w:szCs w:val="24"/>
          <w:lang w:val="en-US"/>
        </w:rPr>
        <w:t>orting</w:t>
      </w:r>
    </w:p>
    <w:p w14:paraId="4B380C63" w14:textId="571B5BC3" w:rsidR="00620066" w:rsidRDefault="00620066" w:rsidP="008A3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Cells were stained according to the manufacturer`s recommendations using </w:t>
      </w:r>
      <w:proofErr w:type="spellStart"/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>fluorochrome</w:t>
      </w:r>
      <w:proofErr w:type="spellEnd"/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-coupled antibodies (Table </w:t>
      </w:r>
      <w:r w:rsidR="00655839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>1). Cells were analyzed using a FACS Canto II cytometer (BD Biosciences</w:t>
      </w:r>
      <w:r w:rsidR="00320A94">
        <w:rPr>
          <w:rFonts w:ascii="Times New Roman" w:hAnsi="Times New Roman" w:cs="Times New Roman"/>
          <w:color w:val="000000"/>
          <w:sz w:val="24"/>
          <w:szCs w:val="24"/>
          <w:lang w:val="en-US"/>
        </w:rPr>
        <w:t>, Franklin Lakes, NJ</w:t>
      </w:r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 and the </w:t>
      </w:r>
      <w:proofErr w:type="spellStart"/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>FlowJo</w:t>
      </w:r>
      <w:proofErr w:type="spellEnd"/>
      <w:r w:rsidRPr="00603D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Version 10.1 software (TreeStar, Ashland, OR).</w:t>
      </w:r>
    </w:p>
    <w:p w14:paraId="0CBB15A2" w14:textId="5E2A7AEA" w:rsidR="00E15C81" w:rsidRPr="004D4129" w:rsidRDefault="000E0337" w:rsidP="008A3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Staining was performed in presence of Fc-receptor blocking solution (Biolegend, San Diego, CA). </w:t>
      </w:r>
      <w:r w:rsidR="00693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Dead cells were excluded using the Zombie Aqua Fixable viability </w:t>
      </w:r>
      <w:r w:rsidR="00C710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cell </w:t>
      </w:r>
      <w:r w:rsidR="00693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death marker (Biolegend). 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intracellular cytokine </w:t>
      </w:r>
      <w:r w:rsidR="00693216"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bookmarkStart w:id="0" w:name="_GoBack"/>
      <w:bookmarkEnd w:id="0"/>
      <w:r w:rsidR="00693216"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>taining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93216">
        <w:rPr>
          <w:rFonts w:ascii="Times New Roman" w:hAnsi="Times New Roman" w:cs="Times New Roman"/>
          <w:color w:val="000000"/>
          <w:sz w:val="24"/>
          <w:szCs w:val="24"/>
          <w:lang w:val="en-US"/>
        </w:rPr>
        <w:t>cells were treated with Golgi Plug and the c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ytofix/cytoperm </w:t>
      </w:r>
      <w:r w:rsidR="00693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reagent 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>(BD Bioscience).</w:t>
      </w:r>
      <w:r w:rsidR="006932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Surface density of CD33 was analyzed using the Agilent/Dako QIFIkit (</w:t>
      </w:r>
      <w:r w:rsidR="00693216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Agilent Technologies, Santa Clara, </w:t>
      </w:r>
      <w:r w:rsidR="00E15C8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693216" w:rsidRPr="000E033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9321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399629" w14:textId="77777777" w:rsidR="00693216" w:rsidRPr="000E0337" w:rsidRDefault="00693216" w:rsidP="008A35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701"/>
        <w:gridCol w:w="1559"/>
        <w:gridCol w:w="2126"/>
        <w:gridCol w:w="1843"/>
      </w:tblGrid>
      <w:tr w:rsidR="004D4129" w:rsidRPr="004D4129" w14:paraId="6EF58F76" w14:textId="77777777" w:rsidTr="00B03F85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601D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Antibody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B5F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Fluorochrome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4A2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Clone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C4FD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>Isotype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461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de-DE"/>
              </w:rPr>
              <w:t xml:space="preserve">Company </w:t>
            </w:r>
          </w:p>
        </w:tc>
      </w:tr>
      <w:tr w:rsidR="004D4129" w:rsidRPr="004D4129" w14:paraId="1F0F2982" w14:textId="77777777" w:rsidTr="00B03F8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9661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CD107a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F277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APC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6FEE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H4A3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036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F01B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Biolegend</w:t>
            </w:r>
          </w:p>
        </w:tc>
      </w:tr>
      <w:tr w:rsidR="004D4129" w:rsidRPr="004D4129" w14:paraId="659BEE63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0B5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73C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BV421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5D93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104 D2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B602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29E5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4D4129" w:rsidRPr="004D4129" w14:paraId="33995738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3A25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CD11b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776F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9692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ICRF44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3030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7069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4D4129" w:rsidRPr="004D4129" w14:paraId="7F38416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C87A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AE96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8829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4B4-1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544D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EBC8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4D4129" w:rsidRPr="004D4129" w14:paraId="027FB0EB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0B65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DD8E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PerCP Cy5.5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95CF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HCD 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FE8A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D3E4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4D4129" w:rsidRPr="004D4129" w14:paraId="35CD7502" w14:textId="77777777" w:rsidTr="00B03F8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C7BD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897D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324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24-31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E6E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BE33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4D4129" w:rsidRPr="004D4129" w14:paraId="05A975D7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9656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1518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07DE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3G8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BACB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F434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val="en-US" w:eastAsia="de-DE"/>
              </w:rPr>
              <w:t>Biolegend</w:t>
            </w:r>
          </w:p>
        </w:tc>
      </w:tr>
      <w:tr w:rsidR="004D4129" w:rsidRPr="004D4129" w14:paraId="37129C7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1D3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98BF" w14:textId="77777777" w:rsidR="004D4129" w:rsidRPr="004D4129" w:rsidRDefault="004D4129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336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M-A251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B0C7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AB0C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 Bioscience</w:t>
            </w:r>
          </w:p>
        </w:tc>
      </w:tr>
      <w:tr w:rsidR="004D4129" w:rsidRPr="004D4129" w14:paraId="584B4612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4D8D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466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7F4A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UCHT1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299B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262626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CC31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4D4129" w:rsidRPr="004D4129" w14:paraId="71470DA9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0B50" w14:textId="77777777" w:rsidR="004D4129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CFAE" w14:textId="77777777" w:rsidR="004D4129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PerCP Cy5.5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3B53" w14:textId="77777777" w:rsidR="004D4129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 xml:space="preserve">OKT </w:t>
            </w: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B552" w14:textId="77777777" w:rsidR="004D4129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IgG2a,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E048" w14:textId="77777777" w:rsidR="004D4129" w:rsidRPr="004D4129" w:rsidRDefault="004D4129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4295275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EEA0" w14:textId="77777777" w:rsidR="00B03F85" w:rsidRPr="004D4129" w:rsidRDefault="00B03F85" w:rsidP="0065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4F0F" w14:textId="77777777" w:rsidR="00B03F85" w:rsidRPr="004D4129" w:rsidRDefault="00B03F85" w:rsidP="0065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APC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D19B" w14:textId="77777777" w:rsidR="00B03F85" w:rsidRPr="004D4129" w:rsidRDefault="00B03F85" w:rsidP="0065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P67.6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1B5F" w14:textId="77777777" w:rsidR="00B03F85" w:rsidRPr="004D4129" w:rsidRDefault="00B03F85" w:rsidP="0065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F349" w14:textId="77777777" w:rsidR="00B03F85" w:rsidRPr="004D4129" w:rsidRDefault="00B03F85" w:rsidP="00652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04A6C7A3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233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4C13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DF4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BDA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EB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71061244" w14:textId="77777777" w:rsidTr="00B03F8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6AF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7844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A4F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RPA-T4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7C0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0784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 Bioscience</w:t>
            </w:r>
          </w:p>
        </w:tc>
      </w:tr>
      <w:tr w:rsidR="00B03F85" w:rsidRPr="004D4129" w14:paraId="1097A165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A734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CD4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29F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CBC9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OKT</w:t>
            </w: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BCCE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IgG2b,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FC0E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B03F85" w:rsidRPr="004D4129" w14:paraId="5829447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04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73A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FB8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46ED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262626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BB6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B03F85" w:rsidRPr="004D4129" w14:paraId="6E2FB016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27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7A7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V500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711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HI30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3FDF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108C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 Bioscience</w:t>
            </w:r>
          </w:p>
        </w:tc>
      </w:tr>
      <w:tr w:rsidR="00B03F85" w:rsidRPr="004D4129" w14:paraId="7ADE53F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250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3F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9A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HCD56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DB4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3CE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val="en-US" w:eastAsia="de-DE"/>
              </w:rPr>
              <w:t>Biolegend</w:t>
            </w:r>
          </w:p>
        </w:tc>
      </w:tr>
      <w:tr w:rsidR="00B03F85" w:rsidRPr="004D4129" w14:paraId="7523164A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1F3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2BA" w14:textId="77777777" w:rsidR="00B03F85" w:rsidRPr="004D4129" w:rsidRDefault="00B03F85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PerCP Cy5.5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89EE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FN50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3990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BCE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27D3030C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786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CD8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7639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PerCP Cy5.5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3AAD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SK1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F41C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BA46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Biolegend</w:t>
            </w:r>
          </w:p>
        </w:tc>
      </w:tr>
      <w:tr w:rsidR="00B03F85" w:rsidRPr="004D4129" w14:paraId="46155806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A153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CD8a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CF4E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APC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E19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HIT8a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3A2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5513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7C383219" w14:textId="77777777" w:rsidTr="00B03F8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B8C5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CPD670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33A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A8E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6FF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E69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eBioscience</w:t>
            </w:r>
          </w:p>
        </w:tc>
      </w:tr>
      <w:tr w:rsidR="00B03F85" w:rsidRPr="004D4129" w14:paraId="160E55E0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D8B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Granzyme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 xml:space="preserve"> </w:t>
            </w: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23EC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PB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F21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GB11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68FF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63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Biolegend</w:t>
            </w:r>
          </w:p>
        </w:tc>
      </w:tr>
      <w:tr w:rsidR="00B03F85" w:rsidRPr="004D4129" w14:paraId="288851B9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2DF2" w14:textId="77777777" w:rsidR="00B03F85" w:rsidRPr="004D4129" w:rsidRDefault="00B03F85" w:rsidP="00B03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HLA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-</w:t>
            </w: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DR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5FE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FITC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E33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G46-6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1EC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IgG2a,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C786" w14:textId="77777777" w:rsidR="00B03F85" w:rsidRPr="004D4129" w:rsidRDefault="00B03F85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BD Bioscience</w:t>
            </w:r>
          </w:p>
        </w:tc>
      </w:tr>
      <w:tr w:rsidR="00B03F85" w:rsidRPr="004D4129" w14:paraId="7924281F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B3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81FB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val="en-US" w:eastAsia="de-DE"/>
              </w:rPr>
              <w:t>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74B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eyedio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8377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Mouse IgG1,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BE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eBioscience</w:t>
            </w:r>
          </w:p>
        </w:tc>
      </w:tr>
      <w:tr w:rsidR="00B03F85" w:rsidRPr="004D4129" w14:paraId="07285276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1E7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IFN</w:t>
            </w:r>
            <w:r w:rsidRPr="004D4129">
              <w:rPr>
                <w:rFonts w:ascii="Symbol" w:eastAsia="Times New Roman" w:hAnsi="Symbol" w:cs="Times New Roman"/>
                <w:color w:val="000000"/>
                <w:lang w:eastAsia="de-DE"/>
              </w:rPr>
              <w:t>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19D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APC 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401F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4S.B3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B82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C626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Biolegend</w:t>
            </w:r>
          </w:p>
        </w:tc>
      </w:tr>
      <w:tr w:rsidR="00B03F85" w:rsidRPr="004D4129" w14:paraId="7CF16893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2440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IL2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8B9D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9C6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MQ1-17H12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036C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Rat IgG2a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0EB0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Biolegend</w:t>
            </w:r>
          </w:p>
        </w:tc>
      </w:tr>
      <w:tr w:rsidR="00B03F85" w:rsidRPr="004D4129" w14:paraId="210DCD2D" w14:textId="77777777" w:rsidTr="00B03F8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C2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Perforin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0502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APC</w:t>
            </w:r>
            <w:r w:rsidR="00CA3326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/PE-Cy7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D57A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B-D48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623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679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val="en-US" w:eastAsia="de-DE"/>
              </w:rPr>
              <w:t>Biolegend</w:t>
            </w:r>
          </w:p>
        </w:tc>
      </w:tr>
      <w:tr w:rsidR="00B03F85" w:rsidRPr="004D4129" w14:paraId="6EB6B5F2" w14:textId="77777777" w:rsidTr="00B03F85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FA2F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TNF</w:t>
            </w:r>
            <w:r w:rsidRPr="004D4129">
              <w:rPr>
                <w:rFonts w:ascii="Symbol" w:eastAsia="Times New Roman" w:hAnsi="Symbol" w:cs="Times New Roman"/>
                <w:color w:val="000000"/>
                <w:lang w:eastAsia="de-DE"/>
              </w:rPr>
              <w:t>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B7CF" w14:textId="77777777" w:rsidR="00B03F85" w:rsidRPr="004D4129" w:rsidRDefault="00B03F85" w:rsidP="004D41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APC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7F2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Mab11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E371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Mouse IgG1, 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2058" w14:textId="77777777" w:rsidR="00B03F85" w:rsidRPr="004D4129" w:rsidRDefault="00B03F85" w:rsidP="004D4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4D4129">
              <w:rPr>
                <w:rFonts w:ascii="Times New Roman" w:eastAsia="Times New Roman" w:hAnsi="Times New Roman" w:cs="Times New Roman"/>
                <w:color w:val="000000" w:themeColor="text1"/>
                <w:lang w:eastAsia="de-DE"/>
              </w:rPr>
              <w:t>Biolegend</w:t>
            </w:r>
          </w:p>
        </w:tc>
      </w:tr>
    </w:tbl>
    <w:p w14:paraId="726EE6EB" w14:textId="1D74F9C8" w:rsidR="000E0337" w:rsidRPr="000E0337" w:rsidRDefault="000E0337" w:rsidP="00B03F85">
      <w:pPr>
        <w:pStyle w:val="Caption"/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B03F85">
        <w:rPr>
          <w:rFonts w:ascii="Times New Roman" w:hAnsi="Times New Roman"/>
          <w:bCs w:val="0"/>
          <w:color w:val="auto"/>
          <w:sz w:val="24"/>
          <w:szCs w:val="24"/>
          <w:lang w:val="en-US"/>
        </w:rPr>
        <w:t xml:space="preserve">Table </w:t>
      </w:r>
      <w:r w:rsidR="004D047F">
        <w:rPr>
          <w:rFonts w:ascii="Times New Roman" w:hAnsi="Times New Roman"/>
          <w:bCs w:val="0"/>
          <w:color w:val="auto"/>
          <w:sz w:val="24"/>
          <w:szCs w:val="24"/>
          <w:lang w:val="en-US"/>
        </w:rPr>
        <w:t>S</w:t>
      </w:r>
      <w:r w:rsidR="00B03F85">
        <w:rPr>
          <w:rFonts w:ascii="Times New Roman" w:hAnsi="Times New Roman"/>
          <w:bCs w:val="0"/>
          <w:color w:val="auto"/>
          <w:sz w:val="24"/>
          <w:szCs w:val="24"/>
          <w:lang w:val="en-US"/>
        </w:rPr>
        <w:t>1</w:t>
      </w:r>
      <w:r w:rsidRPr="00B03F85">
        <w:rPr>
          <w:rFonts w:ascii="Times New Roman" w:hAnsi="Times New Roman"/>
          <w:bCs w:val="0"/>
          <w:color w:val="auto"/>
          <w:sz w:val="24"/>
          <w:szCs w:val="24"/>
          <w:lang w:val="en-US"/>
        </w:rPr>
        <w:t>:</w:t>
      </w:r>
      <w:r w:rsidRP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 </w:t>
      </w:r>
      <w:proofErr w:type="spellStart"/>
      <w:r w:rsid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Fluorochrome</w:t>
      </w:r>
      <w:proofErr w:type="spellEnd"/>
      <w:r w:rsid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-</w:t>
      </w:r>
      <w:r w:rsidRP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 xml:space="preserve">coupled antibodies and/or chemical dyes for </w:t>
      </w:r>
      <w:r w:rsid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flow c</w:t>
      </w:r>
      <w:r w:rsidRP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ytometry</w:t>
      </w:r>
      <w:r w:rsidR="00B03F8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.</w:t>
      </w:r>
    </w:p>
    <w:p w14:paraId="6044F3B7" w14:textId="77777777" w:rsidR="002E5C63" w:rsidRDefault="002E5C63" w:rsidP="00603D4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14:paraId="2F60FA4F" w14:textId="43D0EA15" w:rsidR="00620066" w:rsidRPr="00E9745B" w:rsidRDefault="00620066" w:rsidP="00603D47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E9745B">
        <w:rPr>
          <w:rFonts w:ascii="Times New Roman" w:hAnsi="Times New Roman" w:cs="Times New Roman"/>
          <w:b/>
          <w:lang w:val="en-US"/>
        </w:rPr>
        <w:t>Cell preparation</w:t>
      </w:r>
    </w:p>
    <w:p w14:paraId="3B71B1C5" w14:textId="03647DEB" w:rsidR="00620066" w:rsidRPr="00620066" w:rsidRDefault="00620066" w:rsidP="00603D47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934943">
        <w:rPr>
          <w:rFonts w:ascii="Times New Roman" w:hAnsi="Times New Roman" w:cs="Times New Roman"/>
          <w:lang w:val="en-US"/>
        </w:rPr>
        <w:t>PBMCs were obtained using Ficoll-Paque (GE He</w:t>
      </w:r>
      <w:r>
        <w:rPr>
          <w:rFonts w:ascii="Times New Roman" w:hAnsi="Times New Roman" w:cs="Times New Roman"/>
          <w:lang w:val="en-US"/>
        </w:rPr>
        <w:t>althcare, Piscateway Township, N</w:t>
      </w:r>
      <w:r w:rsidRPr="00934943">
        <w:rPr>
          <w:rFonts w:ascii="Times New Roman" w:hAnsi="Times New Roman" w:cs="Times New Roman"/>
          <w:lang w:val="en-US"/>
        </w:rPr>
        <w:t>J). T-cells and monocytes were purified by magnetic bead-b</w:t>
      </w:r>
      <w:r>
        <w:rPr>
          <w:rFonts w:ascii="Times New Roman" w:hAnsi="Times New Roman" w:cs="Times New Roman"/>
          <w:lang w:val="en-US"/>
        </w:rPr>
        <w:t>ased negative selection (</w:t>
      </w:r>
      <w:r w:rsidR="00320A94">
        <w:rPr>
          <w:rFonts w:ascii="Times New Roman" w:hAnsi="Times New Roman" w:cs="Times New Roman"/>
          <w:lang w:val="en-US"/>
        </w:rPr>
        <w:t xml:space="preserve">Pan </w:t>
      </w:r>
      <w:r>
        <w:rPr>
          <w:rFonts w:ascii="Times New Roman" w:hAnsi="Times New Roman" w:cs="Times New Roman"/>
          <w:lang w:val="en-US"/>
        </w:rPr>
        <w:t>T-cell</w:t>
      </w:r>
      <w:r w:rsidRPr="00934943">
        <w:rPr>
          <w:rFonts w:ascii="Times New Roman" w:hAnsi="Times New Roman" w:cs="Times New Roman"/>
          <w:lang w:val="en-US"/>
        </w:rPr>
        <w:t xml:space="preserve"> and Pan </w:t>
      </w:r>
      <w:r w:rsidRPr="00141635">
        <w:rPr>
          <w:rFonts w:ascii="Times New Roman" w:hAnsi="Times New Roman" w:cs="Times New Roman"/>
          <w:lang w:val="en-US"/>
        </w:rPr>
        <w:t>Monocyte Isolation Kit, Miltenyi Biotec, Bergisch Gladbach, Germany). HLA-DR</w:t>
      </w:r>
      <w:r w:rsidRPr="00141635">
        <w:rPr>
          <w:rFonts w:ascii="Times New Roman" w:hAnsi="Times New Roman" w:cs="Times New Roman"/>
          <w:vertAlign w:val="superscript"/>
          <w:lang w:val="en-US"/>
        </w:rPr>
        <w:t>lo</w:t>
      </w:r>
      <w:r w:rsidRPr="00141635">
        <w:rPr>
          <w:rFonts w:ascii="Times New Roman" w:hAnsi="Times New Roman" w:cs="Times New Roman"/>
          <w:lang w:val="en-US"/>
        </w:rPr>
        <w:t xml:space="preserve"> and HLA-DR</w:t>
      </w:r>
      <w:r w:rsidRPr="00141635">
        <w:rPr>
          <w:rFonts w:ascii="Times New Roman" w:hAnsi="Times New Roman" w:cs="Times New Roman"/>
          <w:vertAlign w:val="superscript"/>
          <w:lang w:val="en-US"/>
        </w:rPr>
        <w:t>hi</w:t>
      </w:r>
      <w:r w:rsidRPr="00141635">
        <w:rPr>
          <w:rFonts w:ascii="Times New Roman" w:hAnsi="Times New Roman" w:cs="Times New Roman"/>
          <w:lang w:val="en-US"/>
        </w:rPr>
        <w:t xml:space="preserve"> CD14</w:t>
      </w:r>
      <w:r w:rsidRPr="00141635">
        <w:rPr>
          <w:rFonts w:ascii="Times New Roman" w:hAnsi="Times New Roman" w:cs="Times New Roman"/>
          <w:vertAlign w:val="superscript"/>
          <w:lang w:val="en-US"/>
        </w:rPr>
        <w:t>+</w:t>
      </w:r>
      <w:r w:rsidRPr="00141635">
        <w:rPr>
          <w:rFonts w:ascii="Times New Roman" w:hAnsi="Times New Roman" w:cs="Times New Roman"/>
          <w:lang w:val="en-US"/>
        </w:rPr>
        <w:t xml:space="preserve"> monocytes were purified by FACS-based sorting (FACS Aria II, BD Biosciences). Human AML cell-lines OCI-AML3, MOLM</w:t>
      </w:r>
      <w:r w:rsidR="00320A94">
        <w:rPr>
          <w:rFonts w:ascii="Times New Roman" w:hAnsi="Times New Roman" w:cs="Times New Roman"/>
          <w:lang w:val="en-US"/>
        </w:rPr>
        <w:t>-</w:t>
      </w:r>
      <w:r w:rsidRPr="00141635">
        <w:rPr>
          <w:rFonts w:ascii="Times New Roman" w:hAnsi="Times New Roman" w:cs="Times New Roman"/>
          <w:lang w:val="en-US"/>
        </w:rPr>
        <w:t>13, and HL</w:t>
      </w:r>
      <w:r w:rsidR="00320A94">
        <w:rPr>
          <w:rFonts w:ascii="Times New Roman" w:hAnsi="Times New Roman" w:cs="Times New Roman"/>
          <w:lang w:val="en-US"/>
        </w:rPr>
        <w:t>-</w:t>
      </w:r>
      <w:r w:rsidRPr="00141635">
        <w:rPr>
          <w:rFonts w:ascii="Times New Roman" w:hAnsi="Times New Roman" w:cs="Times New Roman"/>
          <w:lang w:val="en-US"/>
        </w:rPr>
        <w:t xml:space="preserve">60 were purchased from DSZM (Braunschweig, Germany). </w:t>
      </w:r>
    </w:p>
    <w:p w14:paraId="045A3CEF" w14:textId="77777777" w:rsidR="00620066" w:rsidRDefault="00620066" w:rsidP="00603D4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9D9EE87" w14:textId="77777777" w:rsidR="000E0337" w:rsidRPr="00B03F85" w:rsidRDefault="000E0337" w:rsidP="00B03F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03F85">
        <w:rPr>
          <w:rFonts w:ascii="Times New Roman" w:hAnsi="Times New Roman"/>
          <w:b/>
          <w:sz w:val="24"/>
          <w:szCs w:val="24"/>
          <w:lang w:val="en-US"/>
        </w:rPr>
        <w:t>Cell culture</w:t>
      </w:r>
    </w:p>
    <w:p w14:paraId="78A0766C" w14:textId="7229DF1B" w:rsidR="000E0337" w:rsidRDefault="00C25A35" w:rsidP="008A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AML-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PBMCs were cultured at a density of </w:t>
      </w:r>
      <w:r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x10</w:t>
      </w:r>
      <w:r w:rsidR="000E0337" w:rsidRPr="000E03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/ml in AIM-V® serum free medium (The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rmo Fisher Scientific, Waltham,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MA) at 37°C and 5% CO2 atmosphere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Cell Plates (Nunc, Roskilde, Denmark). In indicated experiments 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pM </w:t>
      </w:r>
      <w:r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47E30">
        <w:rPr>
          <w:rFonts w:ascii="Times New Roman" w:hAnsi="Times New Roman" w:cs="Times New Roman"/>
          <w:sz w:val="24"/>
          <w:szCs w:val="24"/>
          <w:lang w:val="en-US"/>
        </w:rPr>
        <w:t>AMG 330</w:t>
      </w:r>
      <w:r>
        <w:rPr>
          <w:rFonts w:ascii="Times New Roman" w:hAnsi="Times New Roman" w:cs="Times New Roman"/>
          <w:sz w:val="24"/>
          <w:szCs w:val="24"/>
          <w:lang w:val="en-US"/>
        </w:rPr>
        <w:t>/control BITE</w:t>
      </w:r>
      <w:r w:rsidRPr="00620066">
        <w:rPr>
          <w:rFonts w:ascii="Times New Roman" w:hAnsi="Times New Roman" w:cs="Times New Roman"/>
          <w:vertAlign w:val="superscript"/>
          <w:lang w:val="en-US"/>
        </w:rPr>
        <w:sym w:font="Symbol" w:char="F0E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(Amgen, Thousand Oaks, CA) was added as well as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µM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pacadostat (Selleckchem, Munich, Germany). After </w:t>
      </w:r>
      <w:r w:rsidR="00603D47">
        <w:rPr>
          <w:rFonts w:ascii="Times New Roman" w:hAnsi="Times New Roman" w:cs="Times New Roman"/>
          <w:sz w:val="24"/>
          <w:szCs w:val="24"/>
          <w:lang w:val="en-US"/>
        </w:rPr>
        <w:t xml:space="preserve">three days </w:t>
      </w:r>
      <w:r>
        <w:rPr>
          <w:rFonts w:ascii="Times New Roman" w:hAnsi="Times New Roman" w:cs="Times New Roman"/>
          <w:sz w:val="24"/>
          <w:szCs w:val="24"/>
          <w:lang w:val="en-US"/>
        </w:rPr>
        <w:t>T-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NK-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cell activation was evaluated </w:t>
      </w:r>
      <w:r w:rsidR="000E0337" w:rsidRPr="00C25A35">
        <w:rPr>
          <w:rFonts w:ascii="Times New Roman" w:hAnsi="Times New Roman" w:cs="Times New Roman"/>
          <w:i/>
          <w:sz w:val="24"/>
          <w:szCs w:val="24"/>
          <w:lang w:val="en-US"/>
        </w:rPr>
        <w:t>via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FACS. After 6 days cell numbers were calculated utilizing BD </w:t>
      </w:r>
      <w:proofErr w:type="spellStart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Trucount</w:t>
      </w:r>
      <w:proofErr w:type="spellEnd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Tubes (BD Bioscience) following </w:t>
      </w:r>
      <w:r w:rsidR="005A2AD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manufacturer’s instructions.</w:t>
      </w:r>
    </w:p>
    <w:p w14:paraId="3EEC1514" w14:textId="5214F5D1" w:rsidR="007D553D" w:rsidRDefault="007D553D" w:rsidP="006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Monocytes were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purified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using a 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magnetic bead-based selection (Pan Monocyte Isolation Kit, </w:t>
      </w:r>
      <w:proofErr w:type="spellStart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Miltenyi</w:t>
      </w:r>
      <w:proofErr w:type="spellEnd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Biotec</w:t>
      </w:r>
      <w:proofErr w:type="spellEnd"/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en-US"/>
        </w:rPr>
        <w:t>Next, m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onocytes were labeled with </w:t>
      </w:r>
      <w:r>
        <w:rPr>
          <w:rFonts w:ascii="Times New Roman" w:hAnsi="Times New Roman" w:cs="Times New Roman"/>
          <w:sz w:val="24"/>
          <w:szCs w:val="24"/>
          <w:lang w:val="en-US"/>
        </w:rPr>
        <w:t>the c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ell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ye eFluor® (</w:t>
      </w:r>
      <w:r w:rsidR="000E0337" w:rsidRPr="000E033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Thermo Fisher Scientific, Waltham, MA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subsequently </w:t>
      </w:r>
      <w:r>
        <w:rPr>
          <w:rFonts w:ascii="Times New Roman" w:hAnsi="Times New Roman" w:cs="Times New Roman"/>
          <w:sz w:val="24"/>
          <w:szCs w:val="24"/>
          <w:lang w:val="en-US"/>
        </w:rPr>
        <w:t>co-</w:t>
      </w:r>
      <w:r w:rsidR="000E0337"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cultured in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>Cell Plates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(Nunc) with AML blasts (in a 1 to 2.5 ratio) or with AML cell-lines (in a 4 to 1 ratio). </w:t>
      </w:r>
      <w:r w:rsidR="000F127C">
        <w:rPr>
          <w:rFonts w:ascii="Times New Roman" w:hAnsi="Times New Roman" w:cs="Times New Roman"/>
          <w:sz w:val="24"/>
          <w:szCs w:val="24"/>
          <w:lang w:val="en-US"/>
        </w:rPr>
        <w:t>Monocytes/MDSCs were separated by magnetic bead-based selection according to the phenotype (CD15, CD11b, and/or CD14 microbeads, Miltenyi Biotec)</w:t>
      </w:r>
      <w:r w:rsidR="00D1183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F1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1F1863F" w14:textId="77777777" w:rsidR="007D553D" w:rsidRDefault="007D553D" w:rsidP="006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B7DA88" w14:textId="77777777" w:rsidR="000F127C" w:rsidRPr="00B03F85" w:rsidRDefault="000F127C" w:rsidP="006D4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T-cell proliferation assay</w:t>
      </w:r>
    </w:p>
    <w:p w14:paraId="0D475D5E" w14:textId="77777777" w:rsidR="007D553D" w:rsidRPr="005646EA" w:rsidRDefault="005646EA" w:rsidP="006D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Monocytes/MDSCs and autologous VPD450-labeled CD3</w:t>
      </w:r>
      <w:r w:rsidRPr="005646E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T-cells were cultured together and T-cells stimulated using anti-CD2, -CD3, and -CD28 activating microbeads (Miltenyi Biotec) as previously described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58DFC" w14:textId="77777777" w:rsidR="00E15C81" w:rsidRDefault="00E15C81" w:rsidP="006D4411">
      <w:pPr>
        <w:pStyle w:val="Heading3"/>
        <w:spacing w:before="0"/>
        <w:jc w:val="both"/>
        <w:rPr>
          <w:rFonts w:ascii="Times New Roman" w:hAnsi="Times New Roman" w:cs="Times New Roman"/>
        </w:rPr>
      </w:pPr>
    </w:p>
    <w:p w14:paraId="6CB49DD0" w14:textId="77777777" w:rsidR="000E0337" w:rsidRDefault="000E0337" w:rsidP="006D4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1072">
        <w:rPr>
          <w:rFonts w:ascii="Times New Roman" w:hAnsi="Times New Roman"/>
          <w:b/>
          <w:sz w:val="24"/>
          <w:szCs w:val="24"/>
          <w:lang w:val="en-US"/>
        </w:rPr>
        <w:t>T-cell a</w:t>
      </w:r>
      <w:r w:rsidR="00C71072">
        <w:rPr>
          <w:rFonts w:ascii="Times New Roman" w:hAnsi="Times New Roman"/>
          <w:b/>
          <w:sz w:val="24"/>
          <w:szCs w:val="24"/>
          <w:lang w:val="en-US"/>
        </w:rPr>
        <w:t>ctivation and</w:t>
      </w:r>
      <w:r w:rsidR="00C71072" w:rsidRPr="006D4411">
        <w:rPr>
          <w:rFonts w:ascii="Times New Roman" w:hAnsi="Times New Roman"/>
          <w:b/>
          <w:i/>
          <w:sz w:val="24"/>
          <w:szCs w:val="24"/>
          <w:lang w:val="en-US"/>
        </w:rPr>
        <w:t xml:space="preserve"> ex vivo </w:t>
      </w:r>
      <w:r w:rsidR="00C71072">
        <w:rPr>
          <w:rFonts w:ascii="Times New Roman" w:hAnsi="Times New Roman"/>
          <w:b/>
          <w:sz w:val="24"/>
          <w:szCs w:val="24"/>
          <w:lang w:val="en-US"/>
        </w:rPr>
        <w:t>expansion</w:t>
      </w:r>
    </w:p>
    <w:p w14:paraId="68172747" w14:textId="09273AEE" w:rsidR="006D4411" w:rsidRPr="006D4411" w:rsidRDefault="006D4411" w:rsidP="006D44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T-cells were expanded and pre-activated following a modified previously published protocol</w:t>
      </w:r>
      <w:r w:rsidRPr="006D441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 Expansion was performed for 9 days and T-cell aliquots were stored in liquid nitrogen. 24h prior use, cells were thawed and cultivated overnight in RPMI 10% FCS (Thermo Fischer</w:t>
      </w:r>
      <w:r w:rsidR="00163BF8">
        <w:rPr>
          <w:rFonts w:ascii="Times New Roman" w:hAnsi="Times New Roman"/>
          <w:sz w:val="24"/>
          <w:szCs w:val="24"/>
          <w:lang w:val="en-US"/>
        </w:rPr>
        <w:t xml:space="preserve"> Scientific</w:t>
      </w:r>
      <w:r>
        <w:rPr>
          <w:rFonts w:ascii="Times New Roman" w:hAnsi="Times New Roman"/>
          <w:sz w:val="24"/>
          <w:szCs w:val="24"/>
          <w:lang w:val="en-US"/>
        </w:rPr>
        <w:t>).</w:t>
      </w:r>
    </w:p>
    <w:p w14:paraId="5B4AAC3A" w14:textId="77777777" w:rsidR="006D4411" w:rsidRPr="00C71072" w:rsidRDefault="006D4411" w:rsidP="006D4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ABE1A51" w14:textId="77777777" w:rsidR="000E0337" w:rsidRPr="00C71072" w:rsidRDefault="006D4411" w:rsidP="006D44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D4411">
        <w:rPr>
          <w:rFonts w:ascii="Times New Roman" w:hAnsi="Times New Roman"/>
          <w:b/>
          <w:sz w:val="24"/>
          <w:szCs w:val="24"/>
          <w:lang w:val="en-US"/>
        </w:rPr>
        <w:t>BITE</w:t>
      </w:r>
      <w:r w:rsidRPr="00603D47">
        <w:rPr>
          <w:rFonts w:ascii="Times New Roman" w:hAnsi="Times New Roman"/>
          <w:b/>
          <w:sz w:val="24"/>
          <w:szCs w:val="24"/>
          <w:vertAlign w:val="superscript"/>
          <w:lang w:val="en-US"/>
        </w:rPr>
        <w:sym w:font="Symbol" w:char="F0E2"/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0E0337" w:rsidRPr="00C71072">
        <w:rPr>
          <w:rFonts w:ascii="Times New Roman" w:hAnsi="Times New Roman"/>
          <w:b/>
          <w:sz w:val="24"/>
          <w:szCs w:val="24"/>
          <w:lang w:val="en-US"/>
        </w:rPr>
        <w:t xml:space="preserve">dependent cellular cytotoxicity </w:t>
      </w:r>
    </w:p>
    <w:p w14:paraId="4A0468D2" w14:textId="5FC2D0D4" w:rsidR="006D4411" w:rsidRDefault="006D4411" w:rsidP="006D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cells were labeled with calcein: monocytes with Calcein </w:t>
      </w:r>
      <w:r w:rsidR="001D5779">
        <w:rPr>
          <w:rFonts w:ascii="Times New Roman" w:hAnsi="Times New Roman" w:cs="Times New Roman"/>
          <w:sz w:val="24"/>
          <w:szCs w:val="24"/>
          <w:lang w:val="en-US"/>
        </w:rPr>
        <w:t xml:space="preserve">green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3326">
        <w:rPr>
          <w:rFonts w:ascii="Times New Roman" w:hAnsi="Times New Roman" w:cs="Times New Roman"/>
          <w:sz w:val="24"/>
          <w:szCs w:val="24"/>
          <w:lang w:val="en-US"/>
        </w:rPr>
        <w:t>/or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AML-cells with Calcein red-orange AM </w:t>
      </w:r>
      <w:r w:rsidR="00A12745" w:rsidRPr="000E0337">
        <w:rPr>
          <w:rFonts w:ascii="Times New Roman" w:hAnsi="Times New Roman" w:cs="Times New Roman"/>
          <w:sz w:val="24"/>
          <w:szCs w:val="24"/>
          <w:lang w:val="en-US"/>
        </w:rPr>
        <w:t>(Invitrogen, Carlsbad, CA</w:t>
      </w:r>
      <w:r w:rsidR="00A12745">
        <w:rPr>
          <w:rFonts w:ascii="Times New Roman" w:hAnsi="Times New Roman" w:cs="Times New Roman"/>
          <w:sz w:val="24"/>
          <w:szCs w:val="24"/>
          <w:lang w:val="en-US"/>
        </w:rPr>
        <w:t>). Specific lysis of target cells based on the released calcein was calculated as previously detailed</w:t>
      </w:r>
      <w:r w:rsidR="00A12745" w:rsidRPr="006D4411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A12745">
        <w:rPr>
          <w:rFonts w:ascii="Times New Roman" w:hAnsi="Times New Roman" w:cs="Times New Roman"/>
          <w:sz w:val="24"/>
          <w:szCs w:val="24"/>
          <w:lang w:val="en-US"/>
        </w:rPr>
        <w:t xml:space="preserve">. Target cells (monocytes, MDSCs, and AML-cells or monocytes/MDSCs with AML-cells) were co-cultured with pre-stimulated T-cells in presence or absence of </w:t>
      </w:r>
      <w:r w:rsidR="00C47E30">
        <w:rPr>
          <w:rFonts w:ascii="Times New Roman" w:hAnsi="Times New Roman" w:cs="Times New Roman"/>
          <w:sz w:val="24"/>
          <w:szCs w:val="24"/>
          <w:lang w:val="en-US"/>
        </w:rPr>
        <w:t>AMG 330</w:t>
      </w:r>
      <w:r w:rsidR="00A12745">
        <w:rPr>
          <w:rFonts w:ascii="Times New Roman" w:hAnsi="Times New Roman" w:cs="Times New Roman"/>
          <w:sz w:val="24"/>
          <w:szCs w:val="24"/>
          <w:lang w:val="en-US"/>
        </w:rPr>
        <w:t>/control BITE</w:t>
      </w:r>
      <w:r w:rsidR="00A12745" w:rsidRPr="00603D47">
        <w:rPr>
          <w:rFonts w:ascii="Times New Roman" w:hAnsi="Times New Roman" w:cs="Times New Roman"/>
          <w:vertAlign w:val="superscript"/>
          <w:lang w:val="en-US"/>
        </w:rPr>
        <w:sym w:font="Symbol" w:char="F0E2"/>
      </w:r>
      <w:r w:rsidR="00A12745">
        <w:rPr>
          <w:rFonts w:ascii="Times New Roman" w:hAnsi="Times New Roman" w:cs="Times New Roman"/>
          <w:lang w:val="en-US"/>
        </w:rPr>
        <w:t xml:space="preserve"> </w:t>
      </w:r>
      <w:r w:rsidR="00A12745" w:rsidRPr="00A12745">
        <w:rPr>
          <w:rFonts w:ascii="Times New Roman" w:hAnsi="Times New Roman" w:cs="Times New Roman"/>
          <w:sz w:val="24"/>
          <w:szCs w:val="24"/>
          <w:lang w:val="en-US"/>
        </w:rPr>
        <w:t>in a 1 to 10 ratio</w:t>
      </w:r>
      <w:r w:rsidR="001D5779">
        <w:rPr>
          <w:rFonts w:ascii="Times New Roman" w:hAnsi="Times New Roman" w:cs="Times New Roman"/>
          <w:sz w:val="24"/>
          <w:szCs w:val="24"/>
          <w:lang w:val="en-US"/>
        </w:rPr>
        <w:t xml:space="preserve"> for 3h</w:t>
      </w:r>
      <w:r w:rsidR="00A12745" w:rsidRPr="00A1274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D5779">
        <w:rPr>
          <w:rFonts w:ascii="Times New Roman" w:hAnsi="Times New Roman" w:cs="Times New Roman"/>
          <w:sz w:val="24"/>
          <w:szCs w:val="24"/>
          <w:lang w:val="en-US"/>
        </w:rPr>
        <w:t>Calcein release was measured at 485/525nm for Calcein green and at 350/589nm for Calcein red-orange.</w:t>
      </w:r>
    </w:p>
    <w:p w14:paraId="26362080" w14:textId="77777777" w:rsidR="001D5779" w:rsidRDefault="001D5779" w:rsidP="006D4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46A359" w14:textId="77777777" w:rsidR="002E5C63" w:rsidRDefault="002E5C63" w:rsidP="001D5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0F56E70" w14:textId="77777777" w:rsidR="002E5C63" w:rsidRDefault="002E5C63" w:rsidP="001D5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5898AAC" w14:textId="77777777" w:rsidR="001D5779" w:rsidRDefault="00C70E9A" w:rsidP="001D5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Cell conjugation assays</w:t>
      </w:r>
    </w:p>
    <w:p w14:paraId="0899967E" w14:textId="413F5FB0" w:rsidR="00A057BE" w:rsidRDefault="00C70E9A" w:rsidP="001D57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Myeloid cells stained with anti-CD14 antibodies were cultured with magnetic-bead isolated (Pan T cell isolation kit,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Miltenyi</w:t>
      </w:r>
      <w:proofErr w:type="spellEnd"/>
      <w:r w:rsidR="00163BF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63BF8">
        <w:rPr>
          <w:rFonts w:ascii="Times New Roman" w:hAnsi="Times New Roman"/>
          <w:sz w:val="24"/>
          <w:szCs w:val="24"/>
          <w:lang w:val="en-US"/>
        </w:rPr>
        <w:t>Biotec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 pre-activated T-cells at a ratio of 1 to 1</w:t>
      </w:r>
      <w:r w:rsidR="00A057BE">
        <w:rPr>
          <w:rFonts w:ascii="Times New Roman" w:hAnsi="Times New Roman"/>
          <w:sz w:val="24"/>
          <w:szCs w:val="24"/>
          <w:lang w:val="en-US"/>
        </w:rPr>
        <w:t xml:space="preserve"> for 6 minutes. Next, cells were fixed with 1.5% formaldehyde for 30 minutes at room temperature. Cells were washed and T-cell</w:t>
      </w:r>
      <w:r w:rsidR="00FB5ECB">
        <w:rPr>
          <w:rFonts w:ascii="Times New Roman" w:hAnsi="Times New Roman"/>
          <w:sz w:val="24"/>
          <w:szCs w:val="24"/>
          <w:lang w:val="en-US"/>
        </w:rPr>
        <w:t>s</w:t>
      </w:r>
      <w:r w:rsidR="00A057BE">
        <w:rPr>
          <w:rFonts w:ascii="Times New Roman" w:hAnsi="Times New Roman"/>
          <w:sz w:val="24"/>
          <w:szCs w:val="24"/>
          <w:lang w:val="en-US"/>
        </w:rPr>
        <w:t xml:space="preserve"> stained</w:t>
      </w:r>
      <w:r w:rsidR="00A96C49">
        <w:rPr>
          <w:rFonts w:ascii="Times New Roman" w:hAnsi="Times New Roman"/>
          <w:sz w:val="24"/>
          <w:szCs w:val="24"/>
          <w:lang w:val="en-US"/>
        </w:rPr>
        <w:t xml:space="preserve"> with an anti-CD3 </w:t>
      </w:r>
      <w:r w:rsidR="00CA3326">
        <w:rPr>
          <w:rFonts w:ascii="Times New Roman" w:hAnsi="Times New Roman"/>
          <w:sz w:val="24"/>
          <w:szCs w:val="24"/>
          <w:lang w:val="en-US"/>
        </w:rPr>
        <w:t xml:space="preserve">or anti-CD8 </w:t>
      </w:r>
      <w:r w:rsidR="00A96C49">
        <w:rPr>
          <w:rFonts w:ascii="Times New Roman" w:hAnsi="Times New Roman"/>
          <w:sz w:val="24"/>
          <w:szCs w:val="24"/>
          <w:lang w:val="en-US"/>
        </w:rPr>
        <w:t>antibody. Permeabilization was performed in PBS containing 2% FCS and 0.1% Triton X. Actin was stained using Biotin</w:t>
      </w:r>
      <w:r w:rsidR="00696101">
        <w:rPr>
          <w:rFonts w:ascii="Times New Roman" w:hAnsi="Times New Roman"/>
          <w:sz w:val="24"/>
          <w:szCs w:val="24"/>
          <w:lang w:val="en-US"/>
        </w:rPr>
        <w:t>-</w:t>
      </w:r>
      <w:r w:rsidR="00A96C49">
        <w:rPr>
          <w:rFonts w:ascii="Times New Roman" w:hAnsi="Times New Roman"/>
          <w:sz w:val="24"/>
          <w:szCs w:val="24"/>
          <w:lang w:val="en-US"/>
        </w:rPr>
        <w:t xml:space="preserve">XX </w:t>
      </w:r>
      <w:proofErr w:type="spellStart"/>
      <w:r w:rsidR="00A96C49">
        <w:rPr>
          <w:rFonts w:ascii="Times New Roman" w:hAnsi="Times New Roman"/>
          <w:sz w:val="24"/>
          <w:szCs w:val="24"/>
          <w:lang w:val="en-US"/>
        </w:rPr>
        <w:t>Phalloidin</w:t>
      </w:r>
      <w:proofErr w:type="spellEnd"/>
      <w:r w:rsidR="00A96C49">
        <w:rPr>
          <w:rFonts w:ascii="Times New Roman" w:hAnsi="Times New Roman"/>
          <w:sz w:val="24"/>
          <w:szCs w:val="24"/>
          <w:lang w:val="en-US"/>
        </w:rPr>
        <w:t xml:space="preserve"> and Streptavidin PE Texas Red (Thermo Fisher Scientific). </w:t>
      </w:r>
      <w:r w:rsidR="00D11835">
        <w:rPr>
          <w:rFonts w:ascii="Times New Roman" w:hAnsi="Times New Roman"/>
          <w:sz w:val="24"/>
          <w:szCs w:val="24"/>
          <w:lang w:val="en-US"/>
        </w:rPr>
        <w:t xml:space="preserve">In selected experiments perforin pore delivery at the cytotoxic immune synapse was visualized by perforin staining. </w:t>
      </w:r>
      <w:r w:rsidR="00A96C49">
        <w:rPr>
          <w:rFonts w:ascii="Times New Roman" w:hAnsi="Times New Roman"/>
          <w:sz w:val="24"/>
          <w:szCs w:val="24"/>
          <w:lang w:val="en-US"/>
        </w:rPr>
        <w:t xml:space="preserve">Nuclear counter staining was done with SYTO13 (Thermo Fisher Scientific). Cells were analyzed using an AMNIS flow sight FACS-imaging device (Merck Millipore, Darmstadt, Germany). </w:t>
      </w:r>
    </w:p>
    <w:p w14:paraId="072F277C" w14:textId="77777777" w:rsidR="00D11835" w:rsidRDefault="00D11835" w:rsidP="008A3517">
      <w:pPr>
        <w:pStyle w:val="Heading3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370A6D01" w14:textId="77777777" w:rsidR="000E0337" w:rsidRPr="004A0AEF" w:rsidRDefault="004A0AEF" w:rsidP="008A3517">
      <w:pPr>
        <w:pStyle w:val="Heading3"/>
        <w:spacing w:before="0"/>
        <w:rPr>
          <w:rFonts w:ascii="Times New Roman" w:eastAsiaTheme="minorHAnsi" w:hAnsi="Times New Roman" w:cstheme="minorBidi"/>
          <w:bCs w:val="0"/>
          <w:color w:val="auto"/>
        </w:rPr>
      </w:pPr>
      <w:r>
        <w:rPr>
          <w:rFonts w:ascii="Times New Roman" w:eastAsiaTheme="minorHAnsi" w:hAnsi="Times New Roman" w:cstheme="minorBidi"/>
          <w:bCs w:val="0"/>
          <w:color w:val="auto"/>
        </w:rPr>
        <w:t>RNA preparation</w:t>
      </w:r>
      <w:r w:rsidR="000E0337" w:rsidRPr="004A0AEF">
        <w:rPr>
          <w:rFonts w:ascii="Times New Roman" w:eastAsiaTheme="minorHAnsi" w:hAnsi="Times New Roman" w:cstheme="minorBidi"/>
          <w:bCs w:val="0"/>
          <w:color w:val="auto"/>
        </w:rPr>
        <w:t xml:space="preserve"> and quantitative polymerase chain reaction (qPCR)</w:t>
      </w:r>
    </w:p>
    <w:p w14:paraId="2604989B" w14:textId="4FD24C73" w:rsidR="000E0337" w:rsidRPr="002E5C63" w:rsidRDefault="000E0337" w:rsidP="008A351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For quantitative 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polymerase chain reaction (qPCR) 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total RNA was extracted from cell lysates 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with innuPREP, RNA Mini Kit (Analytic Jena, Jena, Germany). </w:t>
      </w:r>
      <w:r w:rsidR="004A0AEF">
        <w:rPr>
          <w:rFonts w:ascii="Times New Roman" w:hAnsi="Times New Roman" w:cs="Times New Roman"/>
          <w:sz w:val="24"/>
          <w:szCs w:val="24"/>
          <w:lang w:val="en-US"/>
        </w:rPr>
        <w:t xml:space="preserve">Complementary 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DNA was prepared </w:t>
      </w:r>
      <w:r w:rsidR="004A0AEF">
        <w:rPr>
          <w:rFonts w:ascii="Times New Roman" w:hAnsi="Times New Roman" w:cs="Times New Roman"/>
          <w:sz w:val="24"/>
          <w:szCs w:val="24"/>
          <w:lang w:val="en-US"/>
        </w:rPr>
        <w:t xml:space="preserve">using a 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Superscript First Strand Synthesis System (Life Technologies, Carlsbad, CA) </w:t>
      </w:r>
      <w:r w:rsidR="004A0AEF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 a Mastercycler Nexus </w:t>
      </w:r>
      <w:r w:rsidR="004A0AEF">
        <w:rPr>
          <w:rFonts w:ascii="Times New Roman" w:hAnsi="Times New Roman" w:cs="Times New Roman"/>
          <w:sz w:val="24"/>
          <w:szCs w:val="24"/>
          <w:lang w:val="en-US"/>
        </w:rPr>
        <w:t xml:space="preserve">(Eppendorf, Hamburg, Germany). 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>Messenger RNA levels were quantified by qPCR utilizing Quantitect SYBR Green (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>Qiagen, Hilden, Germany</w:t>
      </w:r>
      <w:r w:rsidRPr="000E0337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>on a Rotor Gene Q</w:t>
      </w:r>
      <w:r w:rsid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device</w:t>
      </w:r>
      <w:r w:rsidRPr="000E03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(Qiagen). Relative gene expression was determined by normalizing the </w:t>
      </w:r>
      <w:r w:rsidRPr="002E5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expression of each target gene to </w:t>
      </w:r>
      <w:r w:rsidRPr="002E5C63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2E5C6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-actin</w:t>
      </w:r>
      <w:r w:rsidR="004A0AEF" w:rsidRPr="002E5C6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(Hs-ACTB_2_SG, Qiagen) </w:t>
      </w:r>
      <w:r w:rsidR="004A0AEF" w:rsidRPr="002E5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using gene-specific primer </w:t>
      </w:r>
      <w:r w:rsidR="004A0AEF" w:rsidRPr="002E5C6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(Hs_IDO1_1-SG, </w:t>
      </w:r>
      <w:proofErr w:type="spellStart"/>
      <w:r w:rsidR="004A0AEF" w:rsidRPr="002E5C6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Qiagen</w:t>
      </w:r>
      <w:proofErr w:type="spellEnd"/>
      <w:r w:rsidR="004A0AEF" w:rsidRPr="002E5C6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).</w:t>
      </w:r>
    </w:p>
    <w:p w14:paraId="229AA81D" w14:textId="77777777" w:rsidR="002E5C63" w:rsidRPr="002E5C63" w:rsidRDefault="002E5C63" w:rsidP="008A351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2CC10321" w14:textId="77777777" w:rsidR="002E5C63" w:rsidRPr="002E5C63" w:rsidRDefault="002E5C63" w:rsidP="002E5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5C63">
        <w:rPr>
          <w:rFonts w:ascii="Times New Roman" w:hAnsi="Times New Roman" w:cs="Times New Roman"/>
          <w:b/>
          <w:sz w:val="24"/>
          <w:szCs w:val="24"/>
          <w:lang w:val="en-US"/>
        </w:rPr>
        <w:t>Statistical analyses</w:t>
      </w:r>
    </w:p>
    <w:p w14:paraId="03A1D86B" w14:textId="77777777" w:rsidR="002E5C63" w:rsidRPr="002E5C63" w:rsidRDefault="002E5C63" w:rsidP="002E5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C63">
        <w:rPr>
          <w:rFonts w:ascii="Times New Roman" w:hAnsi="Times New Roman" w:cs="Times New Roman"/>
          <w:sz w:val="24"/>
          <w:szCs w:val="24"/>
          <w:lang w:val="en-US"/>
        </w:rPr>
        <w:t xml:space="preserve">Differences in means were evaluated using a paired/unpaired t-test if not stated otherwise. All statistical analyses were performed using </w:t>
      </w:r>
      <w:proofErr w:type="spellStart"/>
      <w:r w:rsidRPr="002E5C63">
        <w:rPr>
          <w:rFonts w:ascii="Times New Roman" w:hAnsi="Times New Roman" w:cs="Times New Roman"/>
          <w:sz w:val="24"/>
          <w:szCs w:val="24"/>
          <w:lang w:val="en-US"/>
        </w:rPr>
        <w:t>GraphPad</w:t>
      </w:r>
      <w:proofErr w:type="spellEnd"/>
      <w:r w:rsidRPr="002E5C63">
        <w:rPr>
          <w:rFonts w:ascii="Times New Roman" w:hAnsi="Times New Roman" w:cs="Times New Roman"/>
          <w:sz w:val="24"/>
          <w:szCs w:val="24"/>
          <w:lang w:val="en-US"/>
        </w:rPr>
        <w:t xml:space="preserve"> Prism Version 7 (</w:t>
      </w:r>
      <w:proofErr w:type="spellStart"/>
      <w:r w:rsidRPr="002E5C63">
        <w:rPr>
          <w:rFonts w:ascii="Times New Roman" w:hAnsi="Times New Roman" w:cs="Times New Roman"/>
          <w:sz w:val="24"/>
          <w:szCs w:val="24"/>
          <w:lang w:val="en-US"/>
        </w:rPr>
        <w:t>GraphPad</w:t>
      </w:r>
      <w:proofErr w:type="spellEnd"/>
      <w:r w:rsidRPr="002E5C63">
        <w:rPr>
          <w:rFonts w:ascii="Times New Roman" w:hAnsi="Times New Roman" w:cs="Times New Roman"/>
          <w:sz w:val="24"/>
          <w:szCs w:val="24"/>
          <w:lang w:val="en-US"/>
        </w:rPr>
        <w:t xml:space="preserve"> Prism Software Inc.).</w:t>
      </w:r>
    </w:p>
    <w:p w14:paraId="195F329A" w14:textId="77777777" w:rsidR="00FD57D5" w:rsidRDefault="00FD57D5" w:rsidP="00FD5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424EB93" w14:textId="77777777" w:rsidR="00FD57D5" w:rsidRPr="004A0AEF" w:rsidRDefault="00FD57D5" w:rsidP="00FD57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0AEF">
        <w:rPr>
          <w:rFonts w:ascii="Times New Roman" w:hAnsi="Times New Roman"/>
          <w:b/>
          <w:sz w:val="24"/>
          <w:szCs w:val="24"/>
        </w:rPr>
        <w:t>References</w:t>
      </w:r>
    </w:p>
    <w:p w14:paraId="476E57FE" w14:textId="77777777" w:rsidR="0032664D" w:rsidRDefault="005646EA" w:rsidP="004A0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4A0A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A0AEF" w:rsidRPr="000800BD">
        <w:rPr>
          <w:rFonts w:ascii="Times New Roman" w:hAnsi="Times New Roman" w:cs="Times New Roman"/>
          <w:color w:val="000000"/>
          <w:sz w:val="24"/>
          <w:szCs w:val="24"/>
        </w:rPr>
        <w:t xml:space="preserve">Jitschin R, Braun M, Buttner M, et al. 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>CLL-cells induce IDO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hi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CD14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+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>HLA-DR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lo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myeloid-derived suppressor cells that inhibit T-cell responses and promote T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Regs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A0AEF" w:rsidRPr="004A0AE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Blood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2014;124(5):750-760.</w:t>
      </w:r>
    </w:p>
    <w:p w14:paraId="6F329332" w14:textId="77777777" w:rsidR="005646EA" w:rsidRPr="004A0AEF" w:rsidRDefault="005646EA" w:rsidP="004A0A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00BD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2</w:t>
      </w:r>
      <w:r w:rsidR="004A0AEF" w:rsidRPr="004A0AEF">
        <w:rPr>
          <w:rFonts w:ascii="Times New Roman" w:hAnsi="Times New Roman" w:cs="Times New Roman"/>
          <w:color w:val="000000"/>
          <w:sz w:val="24"/>
          <w:szCs w:val="24"/>
          <w:lang w:val="en-US"/>
        </w:rPr>
        <w:t>Schubert I, Saul D, Nowecki S, et al. A dual-targeting triplebody mediates preferential redirected lysis of antigen double-positive over single-positive leukemic cells.</w:t>
      </w:r>
      <w:r w:rsidR="000800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0800BD" w:rsidRPr="000800B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MAbs</w:t>
      </w:r>
      <w:r w:rsidR="000800BD">
        <w:rPr>
          <w:rFonts w:ascii="Times New Roman" w:hAnsi="Times New Roman" w:cs="Times New Roman"/>
          <w:color w:val="000000"/>
          <w:sz w:val="24"/>
          <w:szCs w:val="24"/>
          <w:lang w:val="en-US"/>
        </w:rPr>
        <w:t>. 2014;6(1):286-96.</w:t>
      </w:r>
    </w:p>
    <w:p w14:paraId="0245E2E6" w14:textId="77777777" w:rsidR="006D4411" w:rsidRPr="00DC7384" w:rsidRDefault="006D4411" w:rsidP="008A3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1E3D3D" w14:textId="77777777" w:rsidR="00DC7384" w:rsidRDefault="009911B6" w:rsidP="00DC7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Tables</w:t>
      </w:r>
    </w:p>
    <w:p w14:paraId="79202307" w14:textId="77777777" w:rsidR="00DC7384" w:rsidRDefault="00DC7384" w:rsidP="008A35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27"/>
        <w:gridCol w:w="713"/>
        <w:gridCol w:w="795"/>
        <w:gridCol w:w="685"/>
      </w:tblGrid>
      <w:tr w:rsidR="00B44862" w:rsidRPr="009911B6" w14:paraId="687CBD8A" w14:textId="77777777" w:rsidTr="003E5903">
        <w:trPr>
          <w:trHeight w:val="3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0ECBA87" w14:textId="77777777" w:rsidR="00B44862" w:rsidRPr="00603D47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603D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  <w:p w14:paraId="74BCB7F6" w14:textId="77777777" w:rsidR="00B44862" w:rsidRPr="00603D47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%HLA-DR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de-DE"/>
              </w:rPr>
              <w:t>lo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[among CD14+] 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>vs.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6EA604A" w14:textId="77777777" w:rsidR="00B44862" w:rsidRPr="009911B6" w:rsidRDefault="00B44862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AMG 330</w:t>
            </w:r>
          </w:p>
        </w:tc>
      </w:tr>
      <w:tr w:rsidR="00B44862" w:rsidRPr="009911B6" w14:paraId="50FDC645" w14:textId="77777777" w:rsidTr="003E5903">
        <w:trPr>
          <w:trHeight w:val="31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803BFD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8A1F1F" w14:textId="77777777" w:rsidR="00B44862" w:rsidRPr="009911B6" w:rsidRDefault="00B44862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10 pM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D8A34E" w14:textId="77777777" w:rsidR="00B44862" w:rsidRPr="009911B6" w:rsidRDefault="00B44862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100 pM</w:t>
            </w:r>
          </w:p>
        </w:tc>
      </w:tr>
      <w:tr w:rsidR="00B44862" w:rsidRPr="009911B6" w14:paraId="2B738025" w14:textId="77777777" w:rsidTr="003E5903">
        <w:trPr>
          <w:trHeight w:val="315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C243A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692C6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97744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15488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49D4E" w14:textId="77777777" w:rsidR="00B44862" w:rsidRPr="009911B6" w:rsidRDefault="00B44862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</w:p>
        </w:tc>
      </w:tr>
      <w:tr w:rsidR="002D2604" w:rsidRPr="009911B6" w14:paraId="057B5069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D7DF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CD154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3F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FF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E1B6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F6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0,46</w:t>
            </w:r>
          </w:p>
        </w:tc>
      </w:tr>
      <w:tr w:rsidR="002D2604" w:rsidRPr="009911B6" w14:paraId="127232F8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90A0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CD25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B1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8E5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FB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145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1,00</w:t>
            </w:r>
          </w:p>
        </w:tc>
      </w:tr>
      <w:tr w:rsidR="002D2604" w:rsidRPr="009911B6" w14:paraId="7F89B100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1D6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CD137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BF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F386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5D6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3C4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0,30</w:t>
            </w:r>
          </w:p>
        </w:tc>
      </w:tr>
      <w:tr w:rsidR="002D2604" w:rsidRPr="009911B6" w14:paraId="7FD5B5CD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44F5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CD69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63D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EE99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513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07C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0,68</w:t>
            </w:r>
          </w:p>
        </w:tc>
      </w:tr>
      <w:tr w:rsidR="002D2604" w:rsidRPr="009911B6" w14:paraId="1B4F5FD9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843D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IFN</w:t>
            </w:r>
            <w:r w:rsidRPr="009911B6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de-DE"/>
              </w:rPr>
              <w:t>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0149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2149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F092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DF0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0,77</w:t>
            </w:r>
          </w:p>
        </w:tc>
      </w:tr>
      <w:tr w:rsidR="002D2604" w:rsidRPr="009911B6" w14:paraId="2303220E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9CF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IL2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2576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733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65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11F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0,95</w:t>
            </w:r>
          </w:p>
        </w:tc>
      </w:tr>
      <w:tr w:rsidR="002D2604" w:rsidRPr="009911B6" w14:paraId="69CE70A0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3253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CD154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7FA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14C5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AC3F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F3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0,60</w:t>
            </w:r>
          </w:p>
        </w:tc>
      </w:tr>
      <w:tr w:rsidR="002D2604" w:rsidRPr="009911B6" w14:paraId="18EC3520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A48F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CD25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42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33F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0FA0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61D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0,81</w:t>
            </w:r>
          </w:p>
        </w:tc>
      </w:tr>
      <w:tr w:rsidR="002D2604" w:rsidRPr="009911B6" w14:paraId="1FAE385F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DE4C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CD137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E30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453A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DD3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3A2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0,66</w:t>
            </w:r>
          </w:p>
        </w:tc>
      </w:tr>
      <w:tr w:rsidR="002D2604" w:rsidRPr="009911B6" w14:paraId="1178F82C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6907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CD69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D8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560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54D5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4ADD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0,88</w:t>
            </w:r>
          </w:p>
        </w:tc>
      </w:tr>
      <w:tr w:rsidR="002D2604" w:rsidRPr="009911B6" w14:paraId="2FFB534F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7B6F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lastRenderedPageBreak/>
              <w:t>IFN</w:t>
            </w:r>
            <w:r w:rsidRPr="009911B6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de-DE"/>
              </w:rPr>
              <w:t></w:t>
            </w:r>
            <w:r w:rsidRPr="009911B6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de-DE"/>
              </w:rPr>
              <w:t>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E27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1F8A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9DCA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321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0,88</w:t>
            </w:r>
          </w:p>
        </w:tc>
      </w:tr>
      <w:tr w:rsidR="002D2604" w:rsidRPr="009911B6" w14:paraId="677E3AEE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D032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IL2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E77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0F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8D6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5A33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0,91</w:t>
            </w:r>
          </w:p>
        </w:tc>
      </w:tr>
      <w:tr w:rsidR="002D2604" w:rsidRPr="009911B6" w14:paraId="284E979C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A595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perforin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3F42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A2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FC36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719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0,62</w:t>
            </w:r>
          </w:p>
        </w:tc>
      </w:tr>
      <w:tr w:rsidR="002D2604" w:rsidRPr="009911B6" w14:paraId="3647D927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1403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CD107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6DA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E1E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BB1B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C04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0,92</w:t>
            </w:r>
          </w:p>
        </w:tc>
      </w:tr>
      <w:tr w:rsidR="002D2604" w:rsidRPr="009911B6" w14:paraId="0C71DDC2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8EF2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GrzB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BB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FDA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A421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8297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0,86</w:t>
            </w:r>
          </w:p>
        </w:tc>
      </w:tr>
      <w:tr w:rsidR="002D2604" w:rsidRPr="009911B6" w14:paraId="3F09E52D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1B8B" w14:textId="77777777" w:rsidR="002D2604" w:rsidRPr="009911B6" w:rsidRDefault="002D2604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Expansion Index 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6295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EC16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C86E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05E4" w14:textId="77777777" w:rsidR="002D2604" w:rsidRPr="009911B6" w:rsidRDefault="002D2604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0,56</w:t>
            </w:r>
          </w:p>
        </w:tc>
      </w:tr>
    </w:tbl>
    <w:p w14:paraId="79A9D805" w14:textId="77777777" w:rsidR="009911B6" w:rsidRDefault="009911B6" w:rsidP="008A351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12DEE8F" w14:textId="2B9F403B" w:rsidR="009911B6" w:rsidRDefault="009911B6" w:rsidP="00603D47">
      <w:pPr>
        <w:spacing w:after="0" w:line="240" w:lineRule="auto"/>
        <w:jc w:val="both"/>
        <w:rPr>
          <w:rStyle w:val="tgc"/>
          <w:rFonts w:ascii="Arial" w:hAnsi="Arial" w:cs="Arial"/>
          <w:b/>
          <w:bCs/>
          <w:color w:val="222222"/>
          <w:lang w:val="en-US"/>
        </w:rPr>
      </w:pPr>
      <w:r>
        <w:rPr>
          <w:rFonts w:ascii="Times New Roman" w:hAnsi="Times New Roman"/>
          <w:b/>
          <w:lang w:val="en-US"/>
        </w:rPr>
        <w:t xml:space="preserve">Table </w:t>
      </w:r>
      <w:r w:rsidR="004D047F">
        <w:rPr>
          <w:rFonts w:ascii="Times New Roman" w:hAnsi="Times New Roman"/>
          <w:b/>
          <w:lang w:val="en-US"/>
        </w:rPr>
        <w:t>S</w:t>
      </w:r>
      <w:r w:rsidR="002E5C63"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lang w:val="en-US"/>
        </w:rPr>
        <w:t xml:space="preserve">AML-derived PBMCs (n=12) were treated </w:t>
      </w:r>
      <w:r w:rsidR="00CA4E47">
        <w:rPr>
          <w:rFonts w:ascii="Times New Roman" w:hAnsi="Times New Roman"/>
          <w:lang w:val="en-US"/>
        </w:rPr>
        <w:t xml:space="preserve">with </w:t>
      </w:r>
      <w:r w:rsidR="00C47E30">
        <w:rPr>
          <w:rFonts w:ascii="Times New Roman" w:hAnsi="Times New Roman"/>
          <w:lang w:val="en-US"/>
        </w:rPr>
        <w:t>AMG 330</w:t>
      </w:r>
      <w:r>
        <w:rPr>
          <w:rFonts w:ascii="Times New Roman" w:hAnsi="Times New Roman"/>
          <w:lang w:val="en-US"/>
        </w:rPr>
        <w:t xml:space="preserve"> for three days. The median fluorescence intensity (MFI) of granzyme B</w:t>
      </w:r>
      <w:r w:rsidR="00B44862">
        <w:rPr>
          <w:rFonts w:ascii="Times New Roman" w:hAnsi="Times New Roman"/>
          <w:lang w:val="en-US"/>
        </w:rPr>
        <w:t xml:space="preserve"> (G</w:t>
      </w:r>
      <w:r>
        <w:rPr>
          <w:rFonts w:ascii="Times New Roman" w:hAnsi="Times New Roman"/>
          <w:lang w:val="en-US"/>
        </w:rPr>
        <w:t>rz B</w:t>
      </w:r>
      <w:r w:rsidR="00B44862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, CD107, perforin, CD69, CD137, CD25, CD154</w:t>
      </w:r>
      <w:r w:rsidR="00CA4E47">
        <w:rPr>
          <w:rFonts w:ascii="Times New Roman" w:hAnsi="Times New Roman"/>
          <w:lang w:val="en-US"/>
        </w:rPr>
        <w:t xml:space="preserve">, IL2, </w:t>
      </w:r>
      <w:r>
        <w:rPr>
          <w:rFonts w:ascii="Times New Roman" w:hAnsi="Times New Roman"/>
          <w:lang w:val="en-US"/>
        </w:rPr>
        <w:t>IFN</w:t>
      </w:r>
      <w:r w:rsidRPr="00320C13">
        <w:rPr>
          <w:rFonts w:ascii="Symbol" w:hAnsi="Symbol"/>
          <w:lang w:val="en-US"/>
        </w:rPr>
        <w:t></w:t>
      </w:r>
      <w:r w:rsidR="00CA4E47">
        <w:rPr>
          <w:rFonts w:ascii="Times New Roman" w:hAnsi="Times New Roman" w:cs="Times New Roman"/>
          <w:lang w:val="en-US"/>
        </w:rPr>
        <w:t>, and the cells’ expansion index</w:t>
      </w:r>
      <w:r>
        <w:rPr>
          <w:rFonts w:ascii="Times New Roman" w:hAnsi="Times New Roman"/>
          <w:lang w:val="en-US"/>
        </w:rPr>
        <w:t xml:space="preserve"> was assessed by FACS in CD4</w:t>
      </w:r>
      <w:r w:rsidRPr="001F22C8">
        <w:rPr>
          <w:rFonts w:ascii="Times New Roman" w:hAnsi="Times New Roman"/>
          <w:vertAlign w:val="superscript"/>
          <w:lang w:val="en-US"/>
        </w:rPr>
        <w:t>+</w:t>
      </w:r>
      <w:r>
        <w:rPr>
          <w:rFonts w:ascii="Times New Roman" w:hAnsi="Times New Roman"/>
          <w:lang w:val="en-US"/>
        </w:rPr>
        <w:t>/CD8</w:t>
      </w:r>
      <w:r w:rsidRPr="001F22C8">
        <w:rPr>
          <w:rFonts w:ascii="Times New Roman" w:hAnsi="Times New Roman"/>
          <w:vertAlign w:val="superscript"/>
          <w:lang w:val="en-US"/>
        </w:rPr>
        <w:t>+</w:t>
      </w:r>
      <w:r>
        <w:rPr>
          <w:rFonts w:ascii="Times New Roman" w:hAnsi="Times New Roman"/>
          <w:lang w:val="en-US"/>
        </w:rPr>
        <w:t xml:space="preserve"> CD3</w:t>
      </w:r>
      <w:r w:rsidRPr="00D42862">
        <w:rPr>
          <w:rFonts w:ascii="Times New Roman" w:hAnsi="Times New Roman"/>
          <w:vertAlign w:val="superscript"/>
          <w:lang w:val="en-US"/>
        </w:rPr>
        <w:t>+</w:t>
      </w:r>
      <w:r w:rsidR="00CA4E47">
        <w:rPr>
          <w:rFonts w:ascii="Times New Roman" w:hAnsi="Times New Roman"/>
          <w:lang w:val="en-US"/>
        </w:rPr>
        <w:t xml:space="preserve"> T-cells</w:t>
      </w:r>
      <w:r w:rsidR="003F25E5">
        <w:rPr>
          <w:rFonts w:ascii="Times New Roman" w:hAnsi="Times New Roman"/>
          <w:lang w:val="en-US"/>
        </w:rPr>
        <w:t xml:space="preserve"> as indicated</w:t>
      </w:r>
      <w:r w:rsidR="00CA4E47">
        <w:rPr>
          <w:rFonts w:ascii="Times New Roman" w:hAnsi="Times New Roman"/>
          <w:lang w:val="en-US"/>
        </w:rPr>
        <w:t>. The association between those variables and the PBMCs’ initial frequency of HLA-DR</w:t>
      </w:r>
      <w:r w:rsidR="00CA4E47" w:rsidRPr="00CA4E47">
        <w:rPr>
          <w:rFonts w:ascii="Times New Roman" w:hAnsi="Times New Roman"/>
          <w:vertAlign w:val="superscript"/>
          <w:lang w:val="en-US"/>
        </w:rPr>
        <w:t>lo</w:t>
      </w:r>
      <w:r w:rsidR="00CA4E47">
        <w:rPr>
          <w:rFonts w:ascii="Times New Roman" w:hAnsi="Times New Roman"/>
          <w:lang w:val="en-US"/>
        </w:rPr>
        <w:t xml:space="preserve"> cells among CD14</w:t>
      </w:r>
      <w:r w:rsidR="00CA4E47" w:rsidRPr="00CA4E47">
        <w:rPr>
          <w:rFonts w:ascii="Times New Roman" w:hAnsi="Times New Roman"/>
          <w:vertAlign w:val="superscript"/>
          <w:lang w:val="en-US"/>
        </w:rPr>
        <w:t>+</w:t>
      </w:r>
      <w:r w:rsidR="00CA4E47">
        <w:rPr>
          <w:rFonts w:ascii="Times New Roman" w:hAnsi="Times New Roman"/>
          <w:lang w:val="en-US"/>
        </w:rPr>
        <w:t xml:space="preserve"> cells was calculated using a Pearson correlation analysis. Abbreviations: p, p-value; r, Pearson correlation.</w:t>
      </w:r>
    </w:p>
    <w:p w14:paraId="3A25C369" w14:textId="77777777" w:rsidR="009911B6" w:rsidRDefault="009911B6" w:rsidP="009911B6">
      <w:pPr>
        <w:spacing w:after="0" w:line="240" w:lineRule="auto"/>
        <w:rPr>
          <w:rStyle w:val="tgc"/>
          <w:rFonts w:ascii="Arial" w:hAnsi="Arial" w:cs="Arial"/>
          <w:b/>
          <w:bCs/>
          <w:color w:val="222222"/>
          <w:lang w:val="en-US"/>
        </w:rPr>
      </w:pPr>
    </w:p>
    <w:tbl>
      <w:tblPr>
        <w:tblW w:w="6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827"/>
        <w:gridCol w:w="713"/>
        <w:gridCol w:w="795"/>
        <w:gridCol w:w="685"/>
      </w:tblGrid>
      <w:tr w:rsidR="005752FA" w:rsidRPr="009911B6" w14:paraId="47DF9F49" w14:textId="77777777" w:rsidTr="007A34F9">
        <w:trPr>
          <w:trHeight w:val="3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5C6565B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  <w:t> </w:t>
            </w:r>
          </w:p>
          <w:p w14:paraId="34EBB847" w14:textId="77777777" w:rsidR="005752FA" w:rsidRPr="009911B6" w:rsidRDefault="005752FA" w:rsidP="003F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%CD3+ 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-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cells 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de-DE"/>
              </w:rPr>
              <w:t>vs.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52093FC1" w14:textId="77777777" w:rsidR="005752FA" w:rsidRPr="009911B6" w:rsidRDefault="005752FA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AMG 330</w:t>
            </w:r>
          </w:p>
        </w:tc>
      </w:tr>
      <w:tr w:rsidR="005752FA" w:rsidRPr="009911B6" w14:paraId="6C5AE34C" w14:textId="77777777" w:rsidTr="007A34F9">
        <w:trPr>
          <w:trHeight w:val="315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EE9AFE" w14:textId="77777777" w:rsidR="005752FA" w:rsidRPr="009911B6" w:rsidRDefault="005752FA" w:rsidP="003F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de-DE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BCFC8F" w14:textId="77777777" w:rsidR="005752FA" w:rsidRPr="009911B6" w:rsidRDefault="005752FA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10 pM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31BE37" w14:textId="77777777" w:rsidR="005752FA" w:rsidRPr="009911B6" w:rsidRDefault="005752FA" w:rsidP="0099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100 pM</w:t>
            </w:r>
          </w:p>
        </w:tc>
      </w:tr>
      <w:tr w:rsidR="005752FA" w:rsidRPr="009911B6" w14:paraId="276E1B06" w14:textId="77777777" w:rsidTr="007A34F9">
        <w:trPr>
          <w:trHeight w:val="315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CED7F6" w14:textId="77777777" w:rsidR="005752FA" w:rsidRPr="009911B6" w:rsidRDefault="005752FA" w:rsidP="003F2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FFFC4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43BE60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EB16E2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r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D9A3CF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</w:t>
            </w:r>
          </w:p>
        </w:tc>
      </w:tr>
      <w:tr w:rsidR="005752FA" w:rsidRPr="009911B6" w14:paraId="375E180B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76AB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CD154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E85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A56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41CCC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A9DC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0,67</w:t>
            </w:r>
          </w:p>
        </w:tc>
      </w:tr>
      <w:tr w:rsidR="005752FA" w:rsidRPr="009911B6" w14:paraId="3524E5BE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D89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CD25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EBCE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247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E8BC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473A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0,44</w:t>
            </w:r>
          </w:p>
        </w:tc>
      </w:tr>
      <w:tr w:rsidR="005752FA" w:rsidRPr="009911B6" w14:paraId="2013C84C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655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CD137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2B0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E4CA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CDC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640B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0,41</w:t>
            </w:r>
          </w:p>
        </w:tc>
      </w:tr>
      <w:tr w:rsidR="005752FA" w:rsidRPr="009911B6" w14:paraId="7593005B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DE55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CD69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ABD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F8E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DCB95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7FA87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0,41</w:t>
            </w:r>
          </w:p>
        </w:tc>
      </w:tr>
      <w:tr w:rsidR="005752FA" w:rsidRPr="009911B6" w14:paraId="12FE1793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91CE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IFN</w:t>
            </w:r>
            <w:r w:rsidRPr="009911B6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de-DE"/>
              </w:rPr>
              <w:t>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14C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92B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987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F28D4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0,71</w:t>
            </w:r>
          </w:p>
        </w:tc>
      </w:tr>
      <w:tr w:rsidR="005752FA" w:rsidRPr="009911B6" w14:paraId="25778412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0B9D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IL2 MFI [CD4+]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5C2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2C8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8537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70E9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0,47</w:t>
            </w:r>
          </w:p>
        </w:tc>
      </w:tr>
      <w:tr w:rsidR="005752FA" w:rsidRPr="009911B6" w14:paraId="3BB698AF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FD1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CD154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77D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8C45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A288F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2A23C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04B59D7A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56F3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CD25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9F4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84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BC3E6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71536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16872645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12A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CD137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9A9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DB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9E89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3C270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0CDF1583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7E7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CD69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3A8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FC98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A47E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7BD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46B61E7B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D7B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IFN</w:t>
            </w:r>
            <w:r w:rsidRPr="009911B6">
              <w:rPr>
                <w:rFonts w:ascii="Symbol" w:eastAsia="Times New Roman" w:hAnsi="Symbol" w:cs="Times New Roman"/>
                <w:b/>
                <w:bCs/>
                <w:sz w:val="20"/>
                <w:szCs w:val="20"/>
                <w:lang w:eastAsia="de-DE"/>
              </w:rPr>
              <w:t></w:t>
            </w: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 xml:space="preserve">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F0B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4066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560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9531C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0,39</w:t>
            </w:r>
          </w:p>
        </w:tc>
      </w:tr>
      <w:tr w:rsidR="005752FA" w:rsidRPr="009911B6" w14:paraId="21F69D00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2F32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IL2 MFI [CD8+]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B2F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B1A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A63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B8629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0,22</w:t>
            </w:r>
          </w:p>
        </w:tc>
      </w:tr>
      <w:tr w:rsidR="005752FA" w:rsidRPr="009911B6" w14:paraId="7FE9062A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D521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perforin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1B7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0B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64CB2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0CB3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4275EF1A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82FA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CD107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544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506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46871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76A4E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52FA" w:rsidRPr="009911B6" w14:paraId="372C9837" w14:textId="77777777" w:rsidTr="00603D4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E33" w14:textId="77777777" w:rsidR="005752FA" w:rsidRPr="009911B6" w:rsidRDefault="005752FA" w:rsidP="00991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  <w:t>GrzB MFI [CD3+]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D7A0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-0,25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11CF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9911B6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0,49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EF44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DEF8" w14:textId="77777777" w:rsidR="005752FA" w:rsidRPr="009911B6" w:rsidRDefault="005752FA" w:rsidP="00991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44D83615" w14:textId="77777777" w:rsidR="009911B6" w:rsidRDefault="009911B6" w:rsidP="0099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59F9959" w14:textId="176FD15B" w:rsidR="00CA4E47" w:rsidRPr="00CA4E47" w:rsidRDefault="00CA4E47" w:rsidP="00CA4E47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Table </w:t>
      </w:r>
      <w:r w:rsidR="004D047F">
        <w:rPr>
          <w:rFonts w:ascii="Times New Roman" w:hAnsi="Times New Roman"/>
          <w:b/>
          <w:lang w:val="en-US"/>
        </w:rPr>
        <w:t>S</w:t>
      </w:r>
      <w:r w:rsidR="002E5C63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lang w:val="en-US"/>
        </w:rPr>
        <w:t xml:space="preserve">AML-derived PBMCs (n=12) were treated with </w:t>
      </w:r>
      <w:r w:rsidR="00C47E30">
        <w:rPr>
          <w:rFonts w:ascii="Times New Roman" w:hAnsi="Times New Roman"/>
          <w:lang w:val="en-US"/>
        </w:rPr>
        <w:t>AMG 330</w:t>
      </w:r>
      <w:r>
        <w:rPr>
          <w:rFonts w:ascii="Times New Roman" w:hAnsi="Times New Roman"/>
          <w:lang w:val="en-US"/>
        </w:rPr>
        <w:t xml:space="preserve"> for three days. The median fluorescence intensity (MFI) of granzyme B</w:t>
      </w:r>
      <w:r w:rsidR="007F2C6A">
        <w:rPr>
          <w:rFonts w:ascii="Times New Roman" w:hAnsi="Times New Roman"/>
          <w:lang w:val="en-US"/>
        </w:rPr>
        <w:t xml:space="preserve"> (G</w:t>
      </w:r>
      <w:r>
        <w:rPr>
          <w:rFonts w:ascii="Times New Roman" w:hAnsi="Times New Roman"/>
          <w:lang w:val="en-US"/>
        </w:rPr>
        <w:t>rz B</w:t>
      </w:r>
      <w:r w:rsidR="007F2C6A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, CD107, perforin, CD69, CD137, CD25, CD154, IL2,</w:t>
      </w:r>
      <w:r w:rsidR="00FF4AB7">
        <w:rPr>
          <w:rFonts w:ascii="Times New Roman" w:hAnsi="Times New Roman"/>
          <w:lang w:val="en-US"/>
        </w:rPr>
        <w:t xml:space="preserve"> and</w:t>
      </w:r>
      <w:r>
        <w:rPr>
          <w:rFonts w:ascii="Times New Roman" w:hAnsi="Times New Roman"/>
          <w:lang w:val="en-US"/>
        </w:rPr>
        <w:t xml:space="preserve"> IFN</w:t>
      </w:r>
      <w:r w:rsidRPr="00320C13">
        <w:rPr>
          <w:rFonts w:ascii="Symbol" w:hAnsi="Symbol"/>
          <w:lang w:val="en-US"/>
        </w:rPr>
        <w:t></w:t>
      </w:r>
      <w:r w:rsidR="00FF4AB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was assessed by FACS in CD4</w:t>
      </w:r>
      <w:r w:rsidRPr="001F22C8">
        <w:rPr>
          <w:rFonts w:ascii="Times New Roman" w:hAnsi="Times New Roman"/>
          <w:vertAlign w:val="superscript"/>
          <w:lang w:val="en-US"/>
        </w:rPr>
        <w:t>+</w:t>
      </w:r>
      <w:r>
        <w:rPr>
          <w:rFonts w:ascii="Times New Roman" w:hAnsi="Times New Roman"/>
          <w:lang w:val="en-US"/>
        </w:rPr>
        <w:t>/CD8</w:t>
      </w:r>
      <w:r w:rsidRPr="001F22C8">
        <w:rPr>
          <w:rFonts w:ascii="Times New Roman" w:hAnsi="Times New Roman"/>
          <w:vertAlign w:val="superscript"/>
          <w:lang w:val="en-US"/>
        </w:rPr>
        <w:t>+</w:t>
      </w:r>
      <w:r>
        <w:rPr>
          <w:rFonts w:ascii="Times New Roman" w:hAnsi="Times New Roman"/>
          <w:lang w:val="en-US"/>
        </w:rPr>
        <w:t xml:space="preserve"> CD3</w:t>
      </w:r>
      <w:r w:rsidRPr="00D42862">
        <w:rPr>
          <w:rFonts w:ascii="Times New Roman" w:hAnsi="Times New Roman"/>
          <w:vertAlign w:val="superscript"/>
          <w:lang w:val="en-US"/>
        </w:rPr>
        <w:t>+</w:t>
      </w:r>
      <w:r>
        <w:rPr>
          <w:rFonts w:ascii="Times New Roman" w:hAnsi="Times New Roman"/>
          <w:lang w:val="en-US"/>
        </w:rPr>
        <w:t xml:space="preserve"> T-cells. The association between those variables and the PBMCs’ initial frequency of </w:t>
      </w:r>
      <w:r w:rsidR="00FF4AB7">
        <w:rPr>
          <w:rFonts w:ascii="Times New Roman" w:hAnsi="Times New Roman"/>
          <w:lang w:val="en-US"/>
        </w:rPr>
        <w:t>CD3</w:t>
      </w:r>
      <w:r w:rsidR="00FF4AB7" w:rsidRPr="00FF4AB7">
        <w:rPr>
          <w:rFonts w:ascii="Times New Roman" w:hAnsi="Times New Roman"/>
          <w:vertAlign w:val="superscript"/>
          <w:lang w:val="en-US"/>
        </w:rPr>
        <w:t>+</w:t>
      </w:r>
      <w:r w:rsidR="00FF4AB7">
        <w:rPr>
          <w:rFonts w:ascii="Times New Roman" w:hAnsi="Times New Roman"/>
          <w:lang w:val="en-US"/>
        </w:rPr>
        <w:t xml:space="preserve"> T-cells </w:t>
      </w:r>
      <w:r>
        <w:rPr>
          <w:rFonts w:ascii="Times New Roman" w:hAnsi="Times New Roman"/>
          <w:lang w:val="en-US"/>
        </w:rPr>
        <w:t>was calculated using a Pearson correlation analysis. Abbreviations: p, p-value; r, Pearson correlation.</w:t>
      </w:r>
    </w:p>
    <w:p w14:paraId="46CABD61" w14:textId="77777777" w:rsidR="009911B6" w:rsidRPr="009911B6" w:rsidRDefault="009911B6" w:rsidP="00991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9911B6" w:rsidRPr="009911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0E1644" w15:done="0"/>
  <w15:commentEx w15:paraId="577A2777" w15:done="0"/>
  <w15:commentEx w15:paraId="0448F400" w15:done="0"/>
  <w15:commentEx w15:paraId="7DC5497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672DA" w14:textId="77777777" w:rsidR="007916F4" w:rsidRDefault="007916F4" w:rsidP="008A3517">
      <w:pPr>
        <w:spacing w:after="0" w:line="240" w:lineRule="auto"/>
      </w:pPr>
      <w:r>
        <w:separator/>
      </w:r>
    </w:p>
  </w:endnote>
  <w:endnote w:type="continuationSeparator" w:id="0">
    <w:p w14:paraId="3AF8FDE3" w14:textId="77777777" w:rsidR="007916F4" w:rsidRDefault="007916F4" w:rsidP="008A3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4F613" w14:textId="77777777" w:rsidR="00933975" w:rsidRDefault="009339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4643" w14:textId="77777777" w:rsidR="00933975" w:rsidRDefault="009339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07DC" w14:textId="77777777" w:rsidR="00933975" w:rsidRDefault="00933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EDBA2" w14:textId="77777777" w:rsidR="007916F4" w:rsidRDefault="007916F4" w:rsidP="008A3517">
      <w:pPr>
        <w:spacing w:after="0" w:line="240" w:lineRule="auto"/>
      </w:pPr>
      <w:r>
        <w:separator/>
      </w:r>
    </w:p>
  </w:footnote>
  <w:footnote w:type="continuationSeparator" w:id="0">
    <w:p w14:paraId="046554AD" w14:textId="77777777" w:rsidR="007916F4" w:rsidRDefault="007916F4" w:rsidP="008A3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2B2AA" w14:textId="77777777" w:rsidR="00933975" w:rsidRDefault="009339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7DB86" w14:textId="77777777" w:rsidR="008A3517" w:rsidRDefault="008A3517">
    <w:pPr>
      <w:pStyle w:val="Header"/>
    </w:pPr>
    <w:r>
      <w:t xml:space="preserve">Jitschin R </w:t>
    </w:r>
    <w:r w:rsidRPr="00CA5877">
      <w:rPr>
        <w:i/>
      </w:rPr>
      <w:t>et al.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A7F5A" w14:textId="77777777" w:rsidR="00933975" w:rsidRDefault="0093397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schel, Roman">
    <w15:presenceInfo w15:providerId="AD" w15:userId="S-1-5-21-379614923-3435630508-3781305282-606036"/>
  </w15:person>
  <w15:person w15:author="Dos Santos, Cedric">
    <w15:presenceInfo w15:providerId="AD" w15:userId="S-1-5-21-379614923-3435630508-3781305282-437022"/>
  </w15:person>
  <w15:person w15:author="Michael Lutteropp">
    <w15:presenceInfo w15:providerId="AD" w15:userId="S-1-5-21-379614923-3435630508-3781305282-604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0E0337"/>
    <w:rsid w:val="000800BD"/>
    <w:rsid w:val="000E0337"/>
    <w:rsid w:val="000F127C"/>
    <w:rsid w:val="00163BF8"/>
    <w:rsid w:val="00165764"/>
    <w:rsid w:val="001D5779"/>
    <w:rsid w:val="002D2604"/>
    <w:rsid w:val="002E5C63"/>
    <w:rsid w:val="00320A94"/>
    <w:rsid w:val="0032664D"/>
    <w:rsid w:val="00335512"/>
    <w:rsid w:val="003F25E5"/>
    <w:rsid w:val="004A0AEF"/>
    <w:rsid w:val="004D047F"/>
    <w:rsid w:val="004D054D"/>
    <w:rsid w:val="004D4129"/>
    <w:rsid w:val="005646EA"/>
    <w:rsid w:val="005752FA"/>
    <w:rsid w:val="0058206D"/>
    <w:rsid w:val="005A2AD2"/>
    <w:rsid w:val="00603D47"/>
    <w:rsid w:val="00620066"/>
    <w:rsid w:val="00652B41"/>
    <w:rsid w:val="00655839"/>
    <w:rsid w:val="00693216"/>
    <w:rsid w:val="00696101"/>
    <w:rsid w:val="006D4411"/>
    <w:rsid w:val="00707163"/>
    <w:rsid w:val="00710D01"/>
    <w:rsid w:val="00757F72"/>
    <w:rsid w:val="007916F4"/>
    <w:rsid w:val="007C1018"/>
    <w:rsid w:val="007D553D"/>
    <w:rsid w:val="007F2C6A"/>
    <w:rsid w:val="00812462"/>
    <w:rsid w:val="0081334D"/>
    <w:rsid w:val="00826CF6"/>
    <w:rsid w:val="00851D9F"/>
    <w:rsid w:val="008A3517"/>
    <w:rsid w:val="008E0178"/>
    <w:rsid w:val="00933975"/>
    <w:rsid w:val="00963AA0"/>
    <w:rsid w:val="009911B6"/>
    <w:rsid w:val="009A2719"/>
    <w:rsid w:val="009D264A"/>
    <w:rsid w:val="00A057BE"/>
    <w:rsid w:val="00A12745"/>
    <w:rsid w:val="00A3100C"/>
    <w:rsid w:val="00A96C49"/>
    <w:rsid w:val="00A9725E"/>
    <w:rsid w:val="00AA5E8F"/>
    <w:rsid w:val="00AB5478"/>
    <w:rsid w:val="00B03F85"/>
    <w:rsid w:val="00B44862"/>
    <w:rsid w:val="00BC19E8"/>
    <w:rsid w:val="00BE2DFF"/>
    <w:rsid w:val="00C25A35"/>
    <w:rsid w:val="00C47E30"/>
    <w:rsid w:val="00C70E9A"/>
    <w:rsid w:val="00C71072"/>
    <w:rsid w:val="00CA3326"/>
    <w:rsid w:val="00CA4E47"/>
    <w:rsid w:val="00CE3E0B"/>
    <w:rsid w:val="00CF056E"/>
    <w:rsid w:val="00D11835"/>
    <w:rsid w:val="00DB1FC8"/>
    <w:rsid w:val="00DC7384"/>
    <w:rsid w:val="00E15C81"/>
    <w:rsid w:val="00ED094C"/>
    <w:rsid w:val="00EE0AF6"/>
    <w:rsid w:val="00F52F34"/>
    <w:rsid w:val="00F532FF"/>
    <w:rsid w:val="00FB5ECB"/>
    <w:rsid w:val="00FD57D5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0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3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0337"/>
    <w:pPr>
      <w:spacing w:after="0" w:line="240" w:lineRule="auto"/>
    </w:pPr>
    <w:tblPr/>
    <w:tcPr>
      <w:shd w:val="clear" w:color="auto" w:fill="D9D9D9" w:themeFill="background1" w:themeFillShade="D9"/>
    </w:tcPr>
  </w:style>
  <w:style w:type="table" w:styleId="LightGrid">
    <w:name w:val="Light Grid"/>
    <w:basedOn w:val="TableNormal"/>
    <w:uiPriority w:val="62"/>
    <w:rsid w:val="000E0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0E0337"/>
  </w:style>
  <w:style w:type="character" w:styleId="CommentReference">
    <w:name w:val="annotation reference"/>
    <w:basedOn w:val="DefaultParagraphFont"/>
    <w:uiPriority w:val="99"/>
    <w:semiHidden/>
    <w:unhideWhenUsed/>
    <w:rsid w:val="000E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3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0E03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17"/>
  </w:style>
  <w:style w:type="paragraph" w:styleId="Footer">
    <w:name w:val="footer"/>
    <w:basedOn w:val="Normal"/>
    <w:link w:val="FooterChar"/>
    <w:uiPriority w:val="99"/>
    <w:unhideWhenUsed/>
    <w:rsid w:val="008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17"/>
  </w:style>
  <w:style w:type="character" w:customStyle="1" w:styleId="highlight">
    <w:name w:val="highlight"/>
    <w:basedOn w:val="DefaultParagraphFont"/>
    <w:rsid w:val="004A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5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1835"/>
    <w:rPr>
      <w:b/>
      <w:bCs/>
      <w:i w:val="0"/>
      <w:iCs w:val="0"/>
    </w:rPr>
  </w:style>
  <w:style w:type="character" w:customStyle="1" w:styleId="st1">
    <w:name w:val="st1"/>
    <w:basedOn w:val="DefaultParagraphFont"/>
    <w:rsid w:val="00D11835"/>
  </w:style>
  <w:style w:type="character" w:customStyle="1" w:styleId="tgc">
    <w:name w:val="_tgc"/>
    <w:basedOn w:val="DefaultParagraphFont"/>
    <w:rsid w:val="00991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3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33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0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E0337"/>
    <w:pPr>
      <w:spacing w:after="0" w:line="240" w:lineRule="auto"/>
    </w:pPr>
    <w:tblPr/>
    <w:tcPr>
      <w:shd w:val="clear" w:color="auto" w:fill="D9D9D9" w:themeFill="background1" w:themeFillShade="D9"/>
    </w:tcPr>
  </w:style>
  <w:style w:type="table" w:styleId="LightGrid">
    <w:name w:val="Light Grid"/>
    <w:basedOn w:val="TableNormal"/>
    <w:uiPriority w:val="62"/>
    <w:rsid w:val="000E0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">
    <w:name w:val="st"/>
    <w:basedOn w:val="DefaultParagraphFont"/>
    <w:rsid w:val="000E0337"/>
  </w:style>
  <w:style w:type="character" w:styleId="CommentReference">
    <w:name w:val="annotation reference"/>
    <w:basedOn w:val="DefaultParagraphFont"/>
    <w:uiPriority w:val="99"/>
    <w:semiHidden/>
    <w:unhideWhenUsed/>
    <w:rsid w:val="000E0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3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337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0E03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517"/>
  </w:style>
  <w:style w:type="paragraph" w:styleId="Footer">
    <w:name w:val="footer"/>
    <w:basedOn w:val="Normal"/>
    <w:link w:val="FooterChar"/>
    <w:uiPriority w:val="99"/>
    <w:unhideWhenUsed/>
    <w:rsid w:val="008A3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517"/>
  </w:style>
  <w:style w:type="character" w:customStyle="1" w:styleId="highlight">
    <w:name w:val="highlight"/>
    <w:basedOn w:val="DefaultParagraphFont"/>
    <w:rsid w:val="004A0A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25E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11835"/>
    <w:rPr>
      <w:b/>
      <w:bCs/>
      <w:i w:val="0"/>
      <w:iCs w:val="0"/>
    </w:rPr>
  </w:style>
  <w:style w:type="character" w:customStyle="1" w:styleId="st1">
    <w:name w:val="st1"/>
    <w:basedOn w:val="DefaultParagraphFont"/>
    <w:rsid w:val="00D11835"/>
  </w:style>
  <w:style w:type="character" w:customStyle="1" w:styleId="tgc">
    <w:name w:val="_tgc"/>
    <w:basedOn w:val="DefaultParagraphFont"/>
    <w:rsid w:val="0099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5954-DFC4-4A78-85F0-201A2C5BEA2A}"/>
</file>

<file path=customXml/itemProps2.xml><?xml version="1.0" encoding="utf-8"?>
<ds:datastoreItem xmlns:ds="http://schemas.openxmlformats.org/officeDocument/2006/customXml" ds:itemID="{BF59FC0F-E48D-4E5B-9DDF-EDC33936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Erlangen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Mougiakakos, Dimitrios</dc:creator>
  <cp:keywords>*$%CON-*$%GenBus</cp:keywords>
  <cp:lastModifiedBy>GSABORDO</cp:lastModifiedBy>
  <cp:revision>7</cp:revision>
  <dcterms:created xsi:type="dcterms:W3CDTF">2018-04-18T20:26:00Z</dcterms:created>
  <dcterms:modified xsi:type="dcterms:W3CDTF">2018-10-19T10:11:00Z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1247ac5c-3e88-4607-83c6-456d71e2b1fa</vt:lpwstr>
  </property>
  <property fmtid="{D5CDD505-2E9C-101B-9397-08002B2CF9AE}" pid="3" name="bjSaver">
    <vt:lpwstr>+29NNRF5k+TQrhPSFsZ+RxYOg1vrcJw/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5" name="bjDocumentLabelXML-0">
    <vt:lpwstr>ames.com/2008/01/sie/internal/label"&gt;&lt;element uid="ba0343df-3220-4244-9388-1298e2abc028" value="" /&gt;&lt;element uid="03e9b10b-a1f9-4a88-9630-476473f62285" value="" /&gt;&lt;element uid="7349a702-6462-4442-88eb-c64cd513835c" value="" /&gt;&lt;/sisl&gt;</vt:lpwstr>
  </property>
  <property fmtid="{D5CDD505-2E9C-101B-9397-08002B2CF9AE}" pid="6" name="bjDocumentSecurityLabel">
    <vt:lpwstr>Confidential - General Business</vt:lpwstr>
  </property>
</Properties>
</file>