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AD85" w14:textId="6656E812" w:rsidR="00D67A72" w:rsidRPr="006C610C" w:rsidRDefault="00D67A72" w:rsidP="001365F4">
      <w:pPr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  <w:r w:rsidRPr="006C610C">
        <w:rPr>
          <w:rFonts w:ascii="Times New Roman" w:hAnsi="Times New Roman" w:cs="Times New Roman"/>
          <w:sz w:val="24"/>
          <w:szCs w:val="24"/>
        </w:rPr>
        <w:t xml:space="preserve">File name: </w:t>
      </w:r>
      <w:r w:rsidR="006F73A8" w:rsidRPr="00386059">
        <w:rPr>
          <w:rFonts w:ascii="Times New Roman" w:hAnsi="Times New Roman" w:cs="Times New Roman"/>
          <w:b/>
          <w:sz w:val="24"/>
          <w:szCs w:val="24"/>
        </w:rPr>
        <w:t>Additional file 4</w:t>
      </w:r>
      <w:bookmarkStart w:id="0" w:name="_GoBack"/>
      <w:bookmarkEnd w:id="0"/>
    </w:p>
    <w:p w14:paraId="08B80C6D" w14:textId="77777777" w:rsidR="00D67A72" w:rsidRPr="006C610C" w:rsidRDefault="00D67A72" w:rsidP="001365F4">
      <w:pPr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  <w:r w:rsidRPr="006C610C">
        <w:rPr>
          <w:rFonts w:ascii="Times New Roman" w:eastAsia="Malgun Gothic" w:hAnsi="Times New Roman" w:cs="Times New Roman"/>
          <w:sz w:val="24"/>
          <w:szCs w:val="24"/>
        </w:rPr>
        <w:t>File format: .</w:t>
      </w:r>
      <w:proofErr w:type="spellStart"/>
      <w:r w:rsidRPr="006C610C">
        <w:rPr>
          <w:rFonts w:ascii="Times New Roman" w:eastAsia="Malgun Gothic" w:hAnsi="Times New Roman" w:cs="Times New Roman"/>
          <w:sz w:val="24"/>
          <w:szCs w:val="24"/>
        </w:rPr>
        <w:t>docx</w:t>
      </w:r>
      <w:proofErr w:type="spellEnd"/>
    </w:p>
    <w:p w14:paraId="7902EB84" w14:textId="7A5D2B01" w:rsidR="00D67A72" w:rsidRPr="006C610C" w:rsidRDefault="00D67A72" w:rsidP="001365F4">
      <w:pPr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  <w:r w:rsidRPr="006C610C">
        <w:rPr>
          <w:rFonts w:ascii="Times New Roman" w:eastAsia="Malgun Gothic" w:hAnsi="Times New Roman" w:cs="Times New Roman"/>
          <w:sz w:val="24"/>
          <w:szCs w:val="24"/>
        </w:rPr>
        <w:t>Title of data:</w:t>
      </w:r>
      <w:r w:rsidR="00E023D4" w:rsidRPr="006C610C">
        <w:rPr>
          <w:rFonts w:ascii="Times New Roman" w:eastAsia="Malgun Gothic" w:hAnsi="Times New Roman" w:cs="Times New Roman"/>
          <w:sz w:val="24"/>
          <w:szCs w:val="24"/>
        </w:rPr>
        <w:t xml:space="preserve"> Risk factors for AKI stage </w:t>
      </w:r>
      <w:r w:rsidR="00E023D4" w:rsidRPr="006C610C">
        <w:rPr>
          <w:rFonts w:ascii="Times New Roman" w:eastAsia="Malgun Gothic" w:hAnsi="Times New Roman" w:cs="Times New Roman"/>
          <w:kern w:val="0"/>
          <w:sz w:val="24"/>
          <w:szCs w:val="24"/>
        </w:rPr>
        <w:t xml:space="preserve">≥ </w:t>
      </w:r>
      <w:r w:rsidR="00E023D4" w:rsidRPr="006C610C">
        <w:rPr>
          <w:rFonts w:ascii="Times New Roman" w:hAnsi="Times New Roman" w:cs="Times New Roman"/>
          <w:kern w:val="0"/>
          <w:sz w:val="24"/>
          <w:szCs w:val="24"/>
        </w:rPr>
        <w:t>2</w:t>
      </w:r>
      <w:r w:rsidR="00513D09" w:rsidRPr="006C610C">
        <w:rPr>
          <w:rFonts w:ascii="Times New Roman" w:hAnsi="Times New Roman" w:cs="Times New Roman"/>
          <w:kern w:val="0"/>
          <w:sz w:val="24"/>
          <w:szCs w:val="24"/>
        </w:rPr>
        <w:t xml:space="preserve"> in the surgical ICU</w:t>
      </w:r>
    </w:p>
    <w:p w14:paraId="26A2326E" w14:textId="19828D3D" w:rsidR="00FD6BD6" w:rsidRPr="006C610C" w:rsidRDefault="00D67A72" w:rsidP="001365F4">
      <w:pPr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610C">
        <w:rPr>
          <w:rFonts w:ascii="Times New Roman" w:eastAsia="Malgun Gothic" w:hAnsi="Times New Roman" w:cs="Times New Roman"/>
          <w:sz w:val="24"/>
          <w:szCs w:val="24"/>
        </w:rPr>
        <w:t xml:space="preserve">Description of data: </w:t>
      </w:r>
      <w:r w:rsidR="00B140B2" w:rsidRPr="006C610C">
        <w:rPr>
          <w:rFonts w:ascii="Times New Roman" w:eastAsia="Malgun Gothic" w:hAnsi="Times New Roman" w:cs="Times New Roman"/>
          <w:sz w:val="24"/>
          <w:szCs w:val="24"/>
        </w:rPr>
        <w:t xml:space="preserve">Results of the </w:t>
      </w:r>
      <w:proofErr w:type="spellStart"/>
      <w:r w:rsidR="00B140B2" w:rsidRPr="006C610C">
        <w:rPr>
          <w:rFonts w:ascii="Times New Roman" w:eastAsia="Malgun Gothic" w:hAnsi="Times New Roman" w:cs="Times New Roman"/>
          <w:sz w:val="24"/>
          <w:szCs w:val="24"/>
        </w:rPr>
        <w:t>u</w:t>
      </w:r>
      <w:r w:rsidR="00FD6BD6" w:rsidRPr="006C610C">
        <w:rPr>
          <w:rFonts w:ascii="Times New Roman" w:eastAsia="Malgun Gothic" w:hAnsi="Times New Roman" w:cs="Times New Roman"/>
          <w:sz w:val="24"/>
          <w:szCs w:val="24"/>
        </w:rPr>
        <w:t>nivariable</w:t>
      </w:r>
      <w:proofErr w:type="spellEnd"/>
      <w:r w:rsidR="00FD6BD6" w:rsidRPr="006C610C">
        <w:rPr>
          <w:rFonts w:ascii="Times New Roman" w:eastAsia="Malgun Gothic" w:hAnsi="Times New Roman" w:cs="Times New Roman"/>
          <w:sz w:val="24"/>
          <w:szCs w:val="24"/>
        </w:rPr>
        <w:t xml:space="preserve"> logistic regression analysis for </w:t>
      </w:r>
      <w:r w:rsidR="00FD6BD6" w:rsidRPr="006C610C">
        <w:rPr>
          <w:rFonts w:ascii="Times New Roman" w:hAnsi="Times New Roman" w:cs="Times New Roman"/>
          <w:kern w:val="0"/>
          <w:sz w:val="24"/>
          <w:szCs w:val="24"/>
        </w:rPr>
        <w:t xml:space="preserve">occurrence of </w:t>
      </w:r>
      <w:r w:rsidR="00D2282D" w:rsidRPr="006C610C">
        <w:rPr>
          <w:rFonts w:ascii="Times New Roman" w:hAnsi="Times New Roman" w:cs="Times New Roman"/>
          <w:kern w:val="0"/>
          <w:sz w:val="24"/>
          <w:szCs w:val="24"/>
        </w:rPr>
        <w:t xml:space="preserve">AKI </w:t>
      </w:r>
      <w:r w:rsidR="00FD6BD6" w:rsidRPr="006C610C">
        <w:rPr>
          <w:rFonts w:ascii="Times New Roman" w:hAnsi="Times New Roman" w:cs="Times New Roman"/>
          <w:kern w:val="0"/>
          <w:sz w:val="24"/>
          <w:szCs w:val="24"/>
        </w:rPr>
        <w:t>stage</w:t>
      </w:r>
      <w:r w:rsidR="00D2282D" w:rsidRPr="006C610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D6BD6" w:rsidRPr="006C610C">
        <w:rPr>
          <w:rFonts w:ascii="Times New Roman" w:eastAsia="Malgun Gothic" w:hAnsi="Times New Roman" w:cs="Times New Roman"/>
          <w:kern w:val="0"/>
          <w:sz w:val="24"/>
          <w:szCs w:val="24"/>
        </w:rPr>
        <w:t>≥</w:t>
      </w:r>
      <w:r w:rsidR="00D2282D" w:rsidRPr="006C610C">
        <w:rPr>
          <w:rFonts w:ascii="Times New Roman" w:eastAsia="Malgun Gothic" w:hAnsi="Times New Roman" w:cs="Times New Roman"/>
          <w:kern w:val="0"/>
          <w:sz w:val="24"/>
          <w:szCs w:val="24"/>
        </w:rPr>
        <w:t xml:space="preserve"> </w:t>
      </w:r>
      <w:r w:rsidR="00FD6BD6" w:rsidRPr="006C610C">
        <w:rPr>
          <w:rFonts w:ascii="Times New Roman" w:hAnsi="Times New Roman" w:cs="Times New Roman"/>
          <w:kern w:val="0"/>
          <w:sz w:val="24"/>
          <w:szCs w:val="24"/>
        </w:rPr>
        <w:t>2 after postoperative ICU admission</w:t>
      </w:r>
      <w:r w:rsidR="007A2E10" w:rsidRPr="006C610C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1A01C98B" w14:textId="6A0BC9D5" w:rsidR="00A610DC" w:rsidRPr="006C610C" w:rsidRDefault="00A610DC" w:rsidP="001365F4">
      <w:pPr>
        <w:spacing w:after="0" w:line="480" w:lineRule="auto"/>
        <w:rPr>
          <w:rFonts w:ascii="Times New Roman" w:eastAsia="Malgun Gothic" w:hAnsi="Times New Roman" w:cs="Times New Roman"/>
          <w:szCs w:val="20"/>
        </w:rPr>
      </w:pPr>
    </w:p>
    <w:p w14:paraId="614ADB73" w14:textId="77777777" w:rsidR="00D36870" w:rsidRPr="006C610C" w:rsidRDefault="00D36870" w:rsidP="001365F4">
      <w:pPr>
        <w:spacing w:after="0" w:line="480" w:lineRule="auto"/>
        <w:rPr>
          <w:rFonts w:ascii="Times New Roman" w:eastAsia="Malgun Gothic" w:hAnsi="Times New Roman" w:cs="Times New Roman"/>
          <w:szCs w:val="20"/>
        </w:rPr>
      </w:pPr>
    </w:p>
    <w:tbl>
      <w:tblPr>
        <w:tblW w:w="87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18"/>
        <w:gridCol w:w="4176"/>
        <w:gridCol w:w="2752"/>
        <w:gridCol w:w="1154"/>
      </w:tblGrid>
      <w:tr w:rsidR="00A610DC" w:rsidRPr="006C610C" w14:paraId="348A5E2A" w14:textId="77777777" w:rsidTr="00CA4795">
        <w:trPr>
          <w:trHeight w:val="220"/>
        </w:trPr>
        <w:tc>
          <w:tcPr>
            <w:tcW w:w="4820" w:type="dxa"/>
            <w:gridSpan w:val="3"/>
            <w:vMerge w:val="restart"/>
            <w:tcBorders>
              <w:top w:val="double" w:sz="4" w:space="0" w:color="auto"/>
              <w:left w:val="nil"/>
              <w:right w:val="nil"/>
            </w:tcBorders>
            <w:noWrap/>
            <w:vAlign w:val="center"/>
            <w:hideMark/>
          </w:tcPr>
          <w:p w14:paraId="519D91EB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  <w:t>Variables</w:t>
            </w:r>
          </w:p>
        </w:tc>
        <w:tc>
          <w:tcPr>
            <w:tcW w:w="3906" w:type="dxa"/>
            <w:gridSpan w:val="2"/>
            <w:tcBorders>
              <w:top w:val="double" w:sz="4" w:space="0" w:color="auto"/>
              <w:left w:val="nil"/>
              <w:right w:val="nil"/>
            </w:tcBorders>
            <w:noWrap/>
            <w:vAlign w:val="center"/>
            <w:hideMark/>
          </w:tcPr>
          <w:p w14:paraId="24F3B598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  <w:t xml:space="preserve"> 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  <w:t>Univariable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  <w:t xml:space="preserve"> model</w:t>
            </w:r>
          </w:p>
        </w:tc>
      </w:tr>
      <w:tr w:rsidR="00A610DC" w:rsidRPr="006C610C" w14:paraId="0B76A6C2" w14:textId="77777777" w:rsidTr="00CA4795">
        <w:trPr>
          <w:trHeight w:val="220"/>
        </w:trPr>
        <w:tc>
          <w:tcPr>
            <w:tcW w:w="0" w:type="auto"/>
            <w:gridSpan w:val="3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B4B31D9" w14:textId="77777777" w:rsidR="00A610DC" w:rsidRPr="006C610C" w:rsidRDefault="00A610DC" w:rsidP="001365F4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4EC41B56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  <w:t>Odds ratio (95% CI)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54599359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bCs/>
                <w:i/>
                <w:kern w:val="0"/>
                <w:szCs w:val="20"/>
              </w:rPr>
              <w:t>P</w:t>
            </w:r>
            <w:r w:rsidRPr="006C610C">
              <w:rPr>
                <w:rFonts w:ascii="Times New Roman" w:eastAsia="Malgun Gothic" w:hAnsi="Times New Roman" w:cs="Times New Roman"/>
                <w:bCs/>
                <w:kern w:val="0"/>
                <w:szCs w:val="20"/>
              </w:rPr>
              <w:t>-value</w:t>
            </w:r>
          </w:p>
        </w:tc>
      </w:tr>
      <w:tr w:rsidR="00A610DC" w:rsidRPr="006C610C" w14:paraId="31276A5F" w14:textId="77777777" w:rsidTr="004B6358">
        <w:trPr>
          <w:trHeight w:val="220"/>
        </w:trPr>
        <w:tc>
          <w:tcPr>
            <w:tcW w:w="4820" w:type="dxa"/>
            <w:gridSpan w:val="3"/>
            <w:tcBorders>
              <w:top w:val="double" w:sz="4" w:space="0" w:color="auto"/>
            </w:tcBorders>
            <w:noWrap/>
            <w:vAlign w:val="center"/>
            <w:hideMark/>
          </w:tcPr>
          <w:p w14:paraId="61E829C1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hAnsi="Times New Roman" w:cs="Times New Roman"/>
                <w:kern w:val="0"/>
                <w:szCs w:val="20"/>
              </w:rPr>
              <w:t xml:space="preserve">Sex: male </w:t>
            </w:r>
          </w:p>
        </w:tc>
        <w:tc>
          <w:tcPr>
            <w:tcW w:w="2752" w:type="dxa"/>
            <w:tcBorders>
              <w:top w:val="double" w:sz="4" w:space="0" w:color="auto"/>
            </w:tcBorders>
            <w:noWrap/>
            <w:vAlign w:val="center"/>
          </w:tcPr>
          <w:p w14:paraId="2296C3AE" w14:textId="6E43CED5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.98 (0.73, 1.31)</w:t>
            </w:r>
          </w:p>
        </w:tc>
        <w:tc>
          <w:tcPr>
            <w:tcW w:w="1154" w:type="dxa"/>
            <w:tcBorders>
              <w:top w:val="double" w:sz="4" w:space="0" w:color="auto"/>
            </w:tcBorders>
            <w:noWrap/>
            <w:vAlign w:val="center"/>
          </w:tcPr>
          <w:p w14:paraId="0CDDB9A3" w14:textId="0712E11A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.877</w:t>
            </w:r>
          </w:p>
        </w:tc>
      </w:tr>
      <w:tr w:rsidR="00A610DC" w:rsidRPr="006C610C" w14:paraId="60F3AD0B" w14:textId="77777777" w:rsidTr="004B6358">
        <w:trPr>
          <w:trHeight w:val="220"/>
        </w:trPr>
        <w:tc>
          <w:tcPr>
            <w:tcW w:w="4820" w:type="dxa"/>
            <w:gridSpan w:val="3"/>
            <w:noWrap/>
            <w:vAlign w:val="bottom"/>
            <w:hideMark/>
          </w:tcPr>
          <w:p w14:paraId="50289547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Age, year</w:t>
            </w:r>
          </w:p>
        </w:tc>
        <w:tc>
          <w:tcPr>
            <w:tcW w:w="2752" w:type="dxa"/>
            <w:noWrap/>
            <w:vAlign w:val="center"/>
          </w:tcPr>
          <w:p w14:paraId="3FF3ABAB" w14:textId="64855ABE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.00 (0.99, 1.01)</w:t>
            </w:r>
          </w:p>
        </w:tc>
        <w:tc>
          <w:tcPr>
            <w:tcW w:w="1154" w:type="dxa"/>
            <w:noWrap/>
            <w:vAlign w:val="center"/>
          </w:tcPr>
          <w:p w14:paraId="020DA806" w14:textId="53BF2F46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.839</w:t>
            </w:r>
          </w:p>
        </w:tc>
      </w:tr>
      <w:tr w:rsidR="00A610DC" w:rsidRPr="006C610C" w14:paraId="4436BD60" w14:textId="77777777" w:rsidTr="00CA4795">
        <w:trPr>
          <w:trHeight w:val="220"/>
        </w:trPr>
        <w:tc>
          <w:tcPr>
            <w:tcW w:w="4820" w:type="dxa"/>
            <w:gridSpan w:val="3"/>
            <w:vAlign w:val="center"/>
            <w:hideMark/>
          </w:tcPr>
          <w:p w14:paraId="7F42680B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Body mass index, kg m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-2</w:t>
            </w:r>
          </w:p>
        </w:tc>
        <w:tc>
          <w:tcPr>
            <w:tcW w:w="2752" w:type="dxa"/>
            <w:noWrap/>
            <w:vAlign w:val="center"/>
          </w:tcPr>
          <w:p w14:paraId="319E782A" w14:textId="5E1D1976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.00 (0.96, 1.04)</w:t>
            </w:r>
          </w:p>
        </w:tc>
        <w:tc>
          <w:tcPr>
            <w:tcW w:w="1154" w:type="dxa"/>
            <w:noWrap/>
            <w:vAlign w:val="center"/>
          </w:tcPr>
          <w:p w14:paraId="2774BB00" w14:textId="3E1F19CC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.831</w:t>
            </w:r>
          </w:p>
        </w:tc>
      </w:tr>
      <w:tr w:rsidR="00A610DC" w:rsidRPr="006C610C" w14:paraId="141C26C6" w14:textId="77777777" w:rsidTr="00CA4795">
        <w:trPr>
          <w:trHeight w:val="220"/>
        </w:trPr>
        <w:tc>
          <w:tcPr>
            <w:tcW w:w="4820" w:type="dxa"/>
            <w:gridSpan w:val="3"/>
            <w:vAlign w:val="center"/>
            <w:hideMark/>
          </w:tcPr>
          <w:p w14:paraId="030BE591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Preoperative ASA classification</w:t>
            </w:r>
          </w:p>
        </w:tc>
        <w:tc>
          <w:tcPr>
            <w:tcW w:w="2752" w:type="dxa"/>
            <w:noWrap/>
            <w:vAlign w:val="center"/>
          </w:tcPr>
          <w:p w14:paraId="7A72AF68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154" w:type="dxa"/>
            <w:noWrap/>
            <w:vAlign w:val="center"/>
          </w:tcPr>
          <w:p w14:paraId="1CC030C8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A610DC" w:rsidRPr="006C610C" w14:paraId="09E01533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170843A9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33187A0B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2752" w:type="dxa"/>
            <w:noWrap/>
            <w:vAlign w:val="center"/>
          </w:tcPr>
          <w:p w14:paraId="4D0ED50E" w14:textId="4A2D80E0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1154" w:type="dxa"/>
            <w:noWrap/>
            <w:vAlign w:val="center"/>
          </w:tcPr>
          <w:p w14:paraId="4D106ADA" w14:textId="7073E532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0.275)</w:t>
            </w:r>
          </w:p>
        </w:tc>
      </w:tr>
      <w:tr w:rsidR="00A610DC" w:rsidRPr="006C610C" w14:paraId="68174D6F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7499FD7F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529EE546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2752" w:type="dxa"/>
            <w:noWrap/>
            <w:vAlign w:val="center"/>
          </w:tcPr>
          <w:p w14:paraId="34CE9D40" w14:textId="24F53CA8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.76 (0.52, 1.10)</w:t>
            </w:r>
          </w:p>
        </w:tc>
        <w:tc>
          <w:tcPr>
            <w:tcW w:w="1154" w:type="dxa"/>
            <w:noWrap/>
            <w:vAlign w:val="center"/>
          </w:tcPr>
          <w:p w14:paraId="75736C86" w14:textId="19E43BC2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.150</w:t>
            </w:r>
          </w:p>
        </w:tc>
      </w:tr>
      <w:tr w:rsidR="00A610DC" w:rsidRPr="006C610C" w14:paraId="3A349FE8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610285CC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38D3C138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≥ 3</w:t>
            </w:r>
          </w:p>
        </w:tc>
        <w:tc>
          <w:tcPr>
            <w:tcW w:w="2752" w:type="dxa"/>
            <w:noWrap/>
            <w:vAlign w:val="center"/>
          </w:tcPr>
          <w:p w14:paraId="2EA86094" w14:textId="50686642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.74 (0.49, 1.11)</w:t>
            </w:r>
          </w:p>
        </w:tc>
        <w:tc>
          <w:tcPr>
            <w:tcW w:w="1154" w:type="dxa"/>
            <w:noWrap/>
            <w:vAlign w:val="center"/>
          </w:tcPr>
          <w:p w14:paraId="0C8DE270" w14:textId="634B58FE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.144</w:t>
            </w:r>
          </w:p>
        </w:tc>
      </w:tr>
      <w:tr w:rsidR="00A610DC" w:rsidRPr="006C610C" w14:paraId="759B2AF4" w14:textId="77777777" w:rsidTr="00CA4795">
        <w:trPr>
          <w:trHeight w:val="220"/>
        </w:trPr>
        <w:tc>
          <w:tcPr>
            <w:tcW w:w="4820" w:type="dxa"/>
            <w:gridSpan w:val="3"/>
            <w:vAlign w:val="center"/>
            <w:hideMark/>
          </w:tcPr>
          <w:p w14:paraId="0FE74A1F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Cancer</w:t>
            </w:r>
          </w:p>
        </w:tc>
        <w:tc>
          <w:tcPr>
            <w:tcW w:w="2752" w:type="dxa"/>
            <w:noWrap/>
            <w:vAlign w:val="center"/>
          </w:tcPr>
          <w:p w14:paraId="37133BA3" w14:textId="276E8EEA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.08 (0.78, 1.48)</w:t>
            </w:r>
          </w:p>
        </w:tc>
        <w:tc>
          <w:tcPr>
            <w:tcW w:w="1154" w:type="dxa"/>
            <w:noWrap/>
            <w:vAlign w:val="center"/>
          </w:tcPr>
          <w:p w14:paraId="77E3B4C7" w14:textId="3C87EE6D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.651</w:t>
            </w:r>
          </w:p>
        </w:tc>
      </w:tr>
      <w:tr w:rsidR="00A610DC" w:rsidRPr="006C610C" w14:paraId="032A10A7" w14:textId="77777777" w:rsidTr="00CA4795">
        <w:trPr>
          <w:trHeight w:val="220"/>
        </w:trPr>
        <w:tc>
          <w:tcPr>
            <w:tcW w:w="4820" w:type="dxa"/>
            <w:gridSpan w:val="3"/>
            <w:vAlign w:val="center"/>
            <w:hideMark/>
          </w:tcPr>
          <w:p w14:paraId="5CCBCBCC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Preoperative 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eGFR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*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a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, mL·min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·1.73·m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-2</w:t>
            </w:r>
          </w:p>
        </w:tc>
        <w:tc>
          <w:tcPr>
            <w:tcW w:w="2752" w:type="dxa"/>
            <w:noWrap/>
            <w:vAlign w:val="center"/>
          </w:tcPr>
          <w:p w14:paraId="11564660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noWrap/>
            <w:vAlign w:val="center"/>
          </w:tcPr>
          <w:p w14:paraId="35D68E9E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610DC" w:rsidRPr="006C610C" w14:paraId="509CE6A1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7FCD948E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0CC90D25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≥90</w:t>
            </w:r>
          </w:p>
        </w:tc>
        <w:tc>
          <w:tcPr>
            <w:tcW w:w="2752" w:type="dxa"/>
            <w:noWrap/>
            <w:vAlign w:val="center"/>
          </w:tcPr>
          <w:p w14:paraId="1809EABC" w14:textId="30C52EA0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  <w:tc>
          <w:tcPr>
            <w:tcW w:w="1154" w:type="dxa"/>
            <w:noWrap/>
            <w:vAlign w:val="center"/>
          </w:tcPr>
          <w:p w14:paraId="4F7EDACE" w14:textId="361A37C1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0.032)</w:t>
            </w:r>
          </w:p>
        </w:tc>
      </w:tr>
      <w:tr w:rsidR="00A610DC" w:rsidRPr="006C610C" w14:paraId="63FC2637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2E488781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2F83319D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60–89</w:t>
            </w:r>
          </w:p>
        </w:tc>
        <w:tc>
          <w:tcPr>
            <w:tcW w:w="2752" w:type="dxa"/>
            <w:noWrap/>
            <w:vAlign w:val="center"/>
          </w:tcPr>
          <w:p w14:paraId="57130E07" w14:textId="1E261F43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.17 (0.84, 1.64)</w:t>
            </w:r>
          </w:p>
        </w:tc>
        <w:tc>
          <w:tcPr>
            <w:tcW w:w="1154" w:type="dxa"/>
            <w:noWrap/>
            <w:vAlign w:val="center"/>
          </w:tcPr>
          <w:p w14:paraId="110E1303" w14:textId="01147744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.360</w:t>
            </w:r>
          </w:p>
        </w:tc>
      </w:tr>
      <w:tr w:rsidR="00A610DC" w:rsidRPr="006C610C" w14:paraId="1CA4FC77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5B52FACC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196C56C1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30-60</w:t>
            </w:r>
          </w:p>
        </w:tc>
        <w:tc>
          <w:tcPr>
            <w:tcW w:w="2752" w:type="dxa"/>
            <w:noWrap/>
            <w:vAlign w:val="center"/>
          </w:tcPr>
          <w:p w14:paraId="6C48DA24" w14:textId="767CC1D9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.17 (0.79, 1.75</w:t>
            </w:r>
          </w:p>
        </w:tc>
        <w:tc>
          <w:tcPr>
            <w:tcW w:w="1154" w:type="dxa"/>
            <w:noWrap/>
            <w:vAlign w:val="center"/>
          </w:tcPr>
          <w:p w14:paraId="41E5817A" w14:textId="0A8914FA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.430</w:t>
            </w:r>
          </w:p>
        </w:tc>
      </w:tr>
      <w:tr w:rsidR="00A610DC" w:rsidRPr="006C610C" w14:paraId="37B2AD8B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00761E3A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4E724500" w14:textId="47F67650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&lt;30 </w:t>
            </w:r>
          </w:p>
        </w:tc>
        <w:tc>
          <w:tcPr>
            <w:tcW w:w="2752" w:type="dxa"/>
            <w:noWrap/>
            <w:vAlign w:val="center"/>
          </w:tcPr>
          <w:p w14:paraId="10CDF81B" w14:textId="5788577C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.40 (0.19, 0.83)</w:t>
            </w:r>
          </w:p>
        </w:tc>
        <w:tc>
          <w:tcPr>
            <w:tcW w:w="1154" w:type="dxa"/>
            <w:noWrap/>
            <w:vAlign w:val="center"/>
          </w:tcPr>
          <w:p w14:paraId="48B3E05A" w14:textId="15189760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.014</w:t>
            </w:r>
          </w:p>
        </w:tc>
      </w:tr>
      <w:tr w:rsidR="00A610DC" w:rsidRPr="006C610C" w14:paraId="52E77F44" w14:textId="77777777" w:rsidTr="004B6358">
        <w:trPr>
          <w:trHeight w:val="220"/>
        </w:trPr>
        <w:tc>
          <w:tcPr>
            <w:tcW w:w="4820" w:type="dxa"/>
            <w:gridSpan w:val="3"/>
            <w:vAlign w:val="center"/>
            <w:hideMark/>
          </w:tcPr>
          <w:p w14:paraId="5CB886F6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Surgery time, hour </w:t>
            </w:r>
          </w:p>
        </w:tc>
        <w:tc>
          <w:tcPr>
            <w:tcW w:w="2752" w:type="dxa"/>
            <w:noWrap/>
            <w:vAlign w:val="center"/>
          </w:tcPr>
          <w:p w14:paraId="2E1E6090" w14:textId="1C6C4098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.03 (0.97, 1.09)</w:t>
            </w:r>
          </w:p>
        </w:tc>
        <w:tc>
          <w:tcPr>
            <w:tcW w:w="1154" w:type="dxa"/>
            <w:noWrap/>
            <w:vAlign w:val="center"/>
          </w:tcPr>
          <w:p w14:paraId="5E6B3BF1" w14:textId="639BF8AE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.359</w:t>
            </w:r>
          </w:p>
        </w:tc>
      </w:tr>
      <w:tr w:rsidR="00A610DC" w:rsidRPr="006C610C" w14:paraId="608870D8" w14:textId="77777777" w:rsidTr="00CA4795">
        <w:trPr>
          <w:trHeight w:val="220"/>
        </w:trPr>
        <w:tc>
          <w:tcPr>
            <w:tcW w:w="4820" w:type="dxa"/>
            <w:gridSpan w:val="3"/>
            <w:vAlign w:val="center"/>
            <w:hideMark/>
          </w:tcPr>
          <w:p w14:paraId="160A3111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Type of surgery</w:t>
            </w:r>
          </w:p>
        </w:tc>
        <w:tc>
          <w:tcPr>
            <w:tcW w:w="2752" w:type="dxa"/>
            <w:noWrap/>
            <w:vAlign w:val="center"/>
          </w:tcPr>
          <w:p w14:paraId="20091918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154" w:type="dxa"/>
            <w:noWrap/>
            <w:vAlign w:val="center"/>
          </w:tcPr>
          <w:p w14:paraId="18145EE0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A610DC" w:rsidRPr="006C610C" w14:paraId="72864B3A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6D5DF485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487A7B4A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Non-cardiovascular surgery</w:t>
            </w:r>
          </w:p>
        </w:tc>
        <w:tc>
          <w:tcPr>
            <w:tcW w:w="2752" w:type="dxa"/>
            <w:noWrap/>
            <w:vAlign w:val="center"/>
          </w:tcPr>
          <w:p w14:paraId="1DD8B228" w14:textId="4AA0372F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1154" w:type="dxa"/>
            <w:noWrap/>
            <w:vAlign w:val="center"/>
          </w:tcPr>
          <w:p w14:paraId="1D376E11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A610DC" w:rsidRPr="006C610C" w14:paraId="4B282A12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2500F419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30A118A8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Cardiovascular surgery</w:t>
            </w:r>
          </w:p>
        </w:tc>
        <w:tc>
          <w:tcPr>
            <w:tcW w:w="2752" w:type="dxa"/>
            <w:noWrap/>
            <w:vAlign w:val="center"/>
          </w:tcPr>
          <w:p w14:paraId="2F3BBA00" w14:textId="10F2F6D3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.62 (0.41, 0.95)</w:t>
            </w:r>
          </w:p>
        </w:tc>
        <w:tc>
          <w:tcPr>
            <w:tcW w:w="1154" w:type="dxa"/>
            <w:noWrap/>
            <w:vAlign w:val="center"/>
          </w:tcPr>
          <w:p w14:paraId="215B6B18" w14:textId="221B2F8A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.027</w:t>
            </w:r>
          </w:p>
        </w:tc>
      </w:tr>
      <w:tr w:rsidR="00A610DC" w:rsidRPr="006C610C" w14:paraId="715411FB" w14:textId="77777777" w:rsidTr="004B6358">
        <w:trPr>
          <w:trHeight w:val="220"/>
        </w:trPr>
        <w:tc>
          <w:tcPr>
            <w:tcW w:w="4820" w:type="dxa"/>
            <w:gridSpan w:val="3"/>
            <w:vAlign w:val="center"/>
            <w:hideMark/>
          </w:tcPr>
          <w:p w14:paraId="5EE2D0C6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Emergency surgery</w:t>
            </w:r>
          </w:p>
        </w:tc>
        <w:tc>
          <w:tcPr>
            <w:tcW w:w="2752" w:type="dxa"/>
            <w:noWrap/>
            <w:vAlign w:val="center"/>
          </w:tcPr>
          <w:p w14:paraId="3E702CC6" w14:textId="351827C4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.10 (0.73, 1.65)</w:t>
            </w:r>
          </w:p>
        </w:tc>
        <w:tc>
          <w:tcPr>
            <w:tcW w:w="1154" w:type="dxa"/>
            <w:noWrap/>
            <w:vAlign w:val="center"/>
          </w:tcPr>
          <w:p w14:paraId="70727088" w14:textId="091D997E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.643</w:t>
            </w:r>
          </w:p>
        </w:tc>
      </w:tr>
      <w:tr w:rsidR="00A610DC" w:rsidRPr="006C610C" w14:paraId="29F711CB" w14:textId="77777777" w:rsidTr="004B6358">
        <w:trPr>
          <w:trHeight w:val="220"/>
        </w:trPr>
        <w:tc>
          <w:tcPr>
            <w:tcW w:w="4820" w:type="dxa"/>
            <w:gridSpan w:val="3"/>
            <w:vAlign w:val="center"/>
            <w:hideMark/>
          </w:tcPr>
          <w:p w14:paraId="4142BEB3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Intraoperative 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hypotension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752" w:type="dxa"/>
            <w:noWrap/>
            <w:vAlign w:val="center"/>
          </w:tcPr>
          <w:p w14:paraId="389A9DE3" w14:textId="382453FD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.01 (0.95, 1.07)</w:t>
            </w:r>
          </w:p>
        </w:tc>
        <w:tc>
          <w:tcPr>
            <w:tcW w:w="1154" w:type="dxa"/>
            <w:noWrap/>
            <w:vAlign w:val="center"/>
          </w:tcPr>
          <w:p w14:paraId="1EA7E489" w14:textId="06729152" w:rsidR="00A610DC" w:rsidRPr="006C610C" w:rsidRDefault="00651ADD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.814</w:t>
            </w:r>
          </w:p>
        </w:tc>
      </w:tr>
      <w:tr w:rsidR="00A610DC" w:rsidRPr="006C610C" w14:paraId="1AE6B4D4" w14:textId="77777777" w:rsidTr="00CA4795">
        <w:trPr>
          <w:trHeight w:val="220"/>
        </w:trPr>
        <w:tc>
          <w:tcPr>
            <w:tcW w:w="4820" w:type="dxa"/>
            <w:gridSpan w:val="3"/>
            <w:vAlign w:val="center"/>
            <w:hideMark/>
          </w:tcPr>
          <w:p w14:paraId="0672712A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lastRenderedPageBreak/>
              <w:t>Type of anesthesia</w:t>
            </w:r>
          </w:p>
        </w:tc>
        <w:tc>
          <w:tcPr>
            <w:tcW w:w="2752" w:type="dxa"/>
            <w:noWrap/>
            <w:vAlign w:val="center"/>
          </w:tcPr>
          <w:p w14:paraId="6F6C189E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154" w:type="dxa"/>
            <w:noWrap/>
            <w:vAlign w:val="center"/>
          </w:tcPr>
          <w:p w14:paraId="20F966BA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A610DC" w:rsidRPr="006C610C" w14:paraId="4EC0DC6A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1FB3F8E4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56600E6E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General anesthesia</w:t>
            </w:r>
          </w:p>
        </w:tc>
        <w:tc>
          <w:tcPr>
            <w:tcW w:w="2752" w:type="dxa"/>
            <w:noWrap/>
            <w:vAlign w:val="center"/>
          </w:tcPr>
          <w:p w14:paraId="3E16765E" w14:textId="2D62CEB9" w:rsidR="00A610DC" w:rsidRPr="006C610C" w:rsidRDefault="0088521B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1154" w:type="dxa"/>
            <w:noWrap/>
            <w:vAlign w:val="center"/>
          </w:tcPr>
          <w:p w14:paraId="7EC7B6E8" w14:textId="07E00EED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A610DC" w:rsidRPr="006C610C" w14:paraId="7D6F351D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57D4AB58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14BE2AD5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Regional anesthesia</w:t>
            </w:r>
          </w:p>
        </w:tc>
        <w:tc>
          <w:tcPr>
            <w:tcW w:w="2752" w:type="dxa"/>
            <w:noWrap/>
            <w:vAlign w:val="center"/>
          </w:tcPr>
          <w:p w14:paraId="5E7DFB61" w14:textId="663C8827" w:rsidR="00A610DC" w:rsidRPr="006C610C" w:rsidRDefault="0088521B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.99 (0.46, 2.13)</w:t>
            </w:r>
          </w:p>
        </w:tc>
        <w:tc>
          <w:tcPr>
            <w:tcW w:w="1154" w:type="dxa"/>
            <w:noWrap/>
            <w:vAlign w:val="center"/>
          </w:tcPr>
          <w:p w14:paraId="22219574" w14:textId="3AC1F618" w:rsidR="00A610DC" w:rsidRPr="006C610C" w:rsidRDefault="0088521B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.984</w:t>
            </w:r>
          </w:p>
        </w:tc>
      </w:tr>
      <w:tr w:rsidR="00A610DC" w:rsidRPr="006C610C" w14:paraId="456CF38E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2E559FA9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25DACF44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Monitored anesthesia care</w:t>
            </w:r>
          </w:p>
        </w:tc>
        <w:tc>
          <w:tcPr>
            <w:tcW w:w="2752" w:type="dxa"/>
            <w:noWrap/>
            <w:vAlign w:val="center"/>
          </w:tcPr>
          <w:p w14:paraId="564E385F" w14:textId="0F4E14D8" w:rsidR="00A610DC" w:rsidRPr="006C610C" w:rsidRDefault="0088521B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.71 (0.31, 1.61)</w:t>
            </w:r>
          </w:p>
        </w:tc>
        <w:tc>
          <w:tcPr>
            <w:tcW w:w="1154" w:type="dxa"/>
            <w:noWrap/>
            <w:vAlign w:val="center"/>
          </w:tcPr>
          <w:p w14:paraId="11D57818" w14:textId="1E9454A9" w:rsidR="00A610DC" w:rsidRPr="006C610C" w:rsidRDefault="0088521B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.410</w:t>
            </w:r>
          </w:p>
        </w:tc>
      </w:tr>
      <w:tr w:rsidR="00A610DC" w:rsidRPr="006C610C" w14:paraId="3C1CEFE7" w14:textId="77777777" w:rsidTr="00CA4795">
        <w:trPr>
          <w:trHeight w:val="220"/>
        </w:trPr>
        <w:tc>
          <w:tcPr>
            <w:tcW w:w="4820" w:type="dxa"/>
            <w:gridSpan w:val="3"/>
            <w:vAlign w:val="center"/>
            <w:hideMark/>
          </w:tcPr>
          <w:p w14:paraId="7FC86952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Patient management (PODs 0–3)</w:t>
            </w:r>
          </w:p>
        </w:tc>
        <w:tc>
          <w:tcPr>
            <w:tcW w:w="2752" w:type="dxa"/>
            <w:noWrap/>
            <w:vAlign w:val="center"/>
          </w:tcPr>
          <w:p w14:paraId="467D6DB8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154" w:type="dxa"/>
            <w:noWrap/>
            <w:vAlign w:val="center"/>
          </w:tcPr>
          <w:p w14:paraId="54E6FA4B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</w:p>
        </w:tc>
      </w:tr>
      <w:tr w:rsidR="00A610DC" w:rsidRPr="006C610C" w14:paraId="7E99AEDB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3D2C56E5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690E7132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NaCl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0.9% infused, mL kg</w:t>
            </w:r>
          </w:p>
        </w:tc>
        <w:tc>
          <w:tcPr>
            <w:tcW w:w="2752" w:type="dxa"/>
            <w:noWrap/>
            <w:vAlign w:val="center"/>
          </w:tcPr>
          <w:p w14:paraId="6A197B7B" w14:textId="10170F61" w:rsidR="00A610DC" w:rsidRPr="006C610C" w:rsidRDefault="0088521B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.00 (0.98</w:t>
            </w:r>
            <w:r w:rsidR="00734709">
              <w:rPr>
                <w:rFonts w:ascii="Times New Roman" w:eastAsia="Malgun Gothic" w:hAnsi="Times New Roman" w:cs="Times New Roman"/>
                <w:kern w:val="0"/>
                <w:szCs w:val="20"/>
              </w:rPr>
              <w:t>, 1.01)</w:t>
            </w:r>
          </w:p>
        </w:tc>
        <w:tc>
          <w:tcPr>
            <w:tcW w:w="1154" w:type="dxa"/>
            <w:noWrap/>
            <w:vAlign w:val="center"/>
          </w:tcPr>
          <w:p w14:paraId="6EA3023C" w14:textId="2D28B21D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.842</w:t>
            </w:r>
          </w:p>
        </w:tc>
      </w:tr>
      <w:tr w:rsidR="00A610DC" w:rsidRPr="006C610C" w14:paraId="0DFC9212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68D5F986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73D26E28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NaCl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0.45% infused, mL kg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</w:p>
        </w:tc>
        <w:tc>
          <w:tcPr>
            <w:tcW w:w="2752" w:type="dxa"/>
            <w:noWrap/>
            <w:vAlign w:val="center"/>
          </w:tcPr>
          <w:p w14:paraId="6AD8E49F" w14:textId="60C373C9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.01 (1.00, 1.01)</w:t>
            </w:r>
          </w:p>
        </w:tc>
        <w:tc>
          <w:tcPr>
            <w:tcW w:w="1154" w:type="dxa"/>
            <w:noWrap/>
            <w:vAlign w:val="center"/>
          </w:tcPr>
          <w:p w14:paraId="1DC79DC7" w14:textId="4E5F835A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.106</w:t>
            </w:r>
          </w:p>
        </w:tc>
      </w:tr>
      <w:tr w:rsidR="00A610DC" w:rsidRPr="006C610C" w14:paraId="497E4D44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2D7C678D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189D49BE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Balanced electrolyte solution infused, mL kg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</w:p>
        </w:tc>
        <w:tc>
          <w:tcPr>
            <w:tcW w:w="2752" w:type="dxa"/>
            <w:noWrap/>
            <w:vAlign w:val="center"/>
          </w:tcPr>
          <w:p w14:paraId="6522B65E" w14:textId="5D8580F1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.00 (1.00, 1.00)</w:t>
            </w:r>
          </w:p>
        </w:tc>
        <w:tc>
          <w:tcPr>
            <w:tcW w:w="1154" w:type="dxa"/>
            <w:noWrap/>
            <w:vAlign w:val="center"/>
          </w:tcPr>
          <w:p w14:paraId="7FBB24C3" w14:textId="63B69DB6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.772</w:t>
            </w:r>
          </w:p>
        </w:tc>
      </w:tr>
      <w:tr w:rsidR="00A610DC" w:rsidRPr="006C610C" w14:paraId="36CBD3A5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0D67106F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45EE26ED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Free water containing dextrose, mL kg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</w:p>
        </w:tc>
        <w:tc>
          <w:tcPr>
            <w:tcW w:w="2752" w:type="dxa"/>
            <w:noWrap/>
            <w:vAlign w:val="center"/>
          </w:tcPr>
          <w:p w14:paraId="5C581934" w14:textId="7DFD4421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.00 (1.00, 1.00)</w:t>
            </w:r>
          </w:p>
        </w:tc>
        <w:tc>
          <w:tcPr>
            <w:tcW w:w="1154" w:type="dxa"/>
            <w:noWrap/>
            <w:vAlign w:val="center"/>
          </w:tcPr>
          <w:p w14:paraId="3ACBC831" w14:textId="42F63426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.438</w:t>
            </w:r>
          </w:p>
        </w:tc>
      </w:tr>
      <w:tr w:rsidR="00A610DC" w:rsidRPr="006C610C" w14:paraId="3D6BF951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44834499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7AEB6B62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Hydroxyethyl starch infused, mL kg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</w:p>
        </w:tc>
        <w:tc>
          <w:tcPr>
            <w:tcW w:w="2752" w:type="dxa"/>
            <w:noWrap/>
            <w:vAlign w:val="center"/>
          </w:tcPr>
          <w:p w14:paraId="34838B95" w14:textId="23DE8B8A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.01 (1.00, 1.02)</w:t>
            </w:r>
          </w:p>
        </w:tc>
        <w:tc>
          <w:tcPr>
            <w:tcW w:w="1154" w:type="dxa"/>
            <w:noWrap/>
            <w:vAlign w:val="center"/>
          </w:tcPr>
          <w:p w14:paraId="358EAC12" w14:textId="3781095B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.010</w:t>
            </w:r>
          </w:p>
        </w:tc>
      </w:tr>
      <w:tr w:rsidR="00A610DC" w:rsidRPr="006C610C" w14:paraId="0B2A6A9D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72487CE7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61EC9A02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Intraoperative fluid balance, %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c</w:t>
            </w:r>
          </w:p>
        </w:tc>
        <w:tc>
          <w:tcPr>
            <w:tcW w:w="2752" w:type="dxa"/>
            <w:noWrap/>
            <w:vAlign w:val="center"/>
          </w:tcPr>
          <w:p w14:paraId="4CDD34BD" w14:textId="18A4761A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.01 (0.95, 1.07)</w:t>
            </w:r>
          </w:p>
        </w:tc>
        <w:tc>
          <w:tcPr>
            <w:tcW w:w="1154" w:type="dxa"/>
            <w:noWrap/>
            <w:vAlign w:val="center"/>
          </w:tcPr>
          <w:p w14:paraId="5D3D13B8" w14:textId="252DB418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.814</w:t>
            </w:r>
          </w:p>
        </w:tc>
      </w:tr>
      <w:tr w:rsidR="00A610DC" w:rsidRPr="006C610C" w14:paraId="11745548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7548CAAB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049406D3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Use of </w:t>
            </w:r>
            <w:r w:rsidRPr="004B6358">
              <w:rPr>
                <w:rFonts w:ascii="Times New Roman" w:eastAsia="Malgun Gothic" w:hAnsi="Times New Roman" w:cs="Times New Roman"/>
                <w:kern w:val="0"/>
                <w:szCs w:val="20"/>
              </w:rPr>
              <w:t>inotropes/</w:t>
            </w:r>
            <w:proofErr w:type="spellStart"/>
            <w:r w:rsidRPr="004B6358">
              <w:rPr>
                <w:rFonts w:ascii="Times New Roman" w:eastAsia="Malgun Gothic" w:hAnsi="Times New Roman" w:cs="Times New Roman"/>
                <w:kern w:val="0"/>
                <w:szCs w:val="20"/>
              </w:rPr>
              <w:t>vasopressors</w:t>
            </w:r>
            <w:r w:rsidRPr="004B6358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752" w:type="dxa"/>
            <w:noWrap/>
            <w:vAlign w:val="center"/>
          </w:tcPr>
          <w:p w14:paraId="3DD67424" w14:textId="1281DAE1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.07 (0.76, 1.49)</w:t>
            </w:r>
          </w:p>
        </w:tc>
        <w:tc>
          <w:tcPr>
            <w:tcW w:w="1154" w:type="dxa"/>
            <w:noWrap/>
            <w:vAlign w:val="center"/>
          </w:tcPr>
          <w:p w14:paraId="6732585A" w14:textId="530BC99A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.712</w:t>
            </w:r>
          </w:p>
        </w:tc>
      </w:tr>
      <w:tr w:rsidR="00A610DC" w:rsidRPr="006C610C" w14:paraId="0DCC8B29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36F863CE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72199599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Use of 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diuretics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752" w:type="dxa"/>
            <w:noWrap/>
            <w:vAlign w:val="center"/>
          </w:tcPr>
          <w:p w14:paraId="5A8CFE86" w14:textId="5BDA46B9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.90 (0.67, 1.20)</w:t>
            </w:r>
          </w:p>
        </w:tc>
        <w:tc>
          <w:tcPr>
            <w:tcW w:w="1154" w:type="dxa"/>
            <w:noWrap/>
            <w:vAlign w:val="center"/>
          </w:tcPr>
          <w:p w14:paraId="6E0D42E7" w14:textId="6C88C810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.457</w:t>
            </w:r>
          </w:p>
        </w:tc>
      </w:tr>
      <w:tr w:rsidR="00A610DC" w:rsidRPr="006C610C" w14:paraId="2440D969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7B036574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4C5810DF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Use of radiocontrast </w:t>
            </w:r>
          </w:p>
        </w:tc>
        <w:tc>
          <w:tcPr>
            <w:tcW w:w="2752" w:type="dxa"/>
            <w:noWrap/>
            <w:vAlign w:val="center"/>
          </w:tcPr>
          <w:p w14:paraId="698C0D0E" w14:textId="331D44D7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.11 (0.82, 1.51)</w:t>
            </w:r>
          </w:p>
        </w:tc>
        <w:tc>
          <w:tcPr>
            <w:tcW w:w="1154" w:type="dxa"/>
            <w:noWrap/>
            <w:vAlign w:val="center"/>
          </w:tcPr>
          <w:p w14:paraId="3CDDCE51" w14:textId="7792D15C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.484</w:t>
            </w:r>
          </w:p>
        </w:tc>
      </w:tr>
      <w:tr w:rsidR="00A610DC" w:rsidRPr="006C610C" w14:paraId="1584A908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66E15EC5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6EFD8C4C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Use of nephrotoxic 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antibiotics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2752" w:type="dxa"/>
            <w:noWrap/>
            <w:vAlign w:val="center"/>
          </w:tcPr>
          <w:p w14:paraId="0FFC2C8F" w14:textId="445ECBAB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.13 (0.79, 1.61)</w:t>
            </w:r>
          </w:p>
        </w:tc>
        <w:tc>
          <w:tcPr>
            <w:tcW w:w="1154" w:type="dxa"/>
            <w:noWrap/>
            <w:vAlign w:val="center"/>
          </w:tcPr>
          <w:p w14:paraId="5846219F" w14:textId="76F69CE9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.506</w:t>
            </w:r>
          </w:p>
        </w:tc>
      </w:tr>
      <w:tr w:rsidR="00A610DC" w:rsidRPr="006C610C" w14:paraId="54C2607C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1D554A56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6C118215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Use of NSAIDs</w:t>
            </w:r>
          </w:p>
        </w:tc>
        <w:tc>
          <w:tcPr>
            <w:tcW w:w="2752" w:type="dxa"/>
            <w:noWrap/>
            <w:vAlign w:val="center"/>
          </w:tcPr>
          <w:p w14:paraId="76B84C59" w14:textId="5FB77AEA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.19 (0.88, 1.60)</w:t>
            </w:r>
          </w:p>
        </w:tc>
        <w:tc>
          <w:tcPr>
            <w:tcW w:w="1154" w:type="dxa"/>
            <w:noWrap/>
            <w:vAlign w:val="center"/>
          </w:tcPr>
          <w:p w14:paraId="1755E1C1" w14:textId="378BD534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.257</w:t>
            </w:r>
          </w:p>
        </w:tc>
      </w:tr>
      <w:tr w:rsidR="00A610DC" w:rsidRPr="006C610C" w14:paraId="66444D17" w14:textId="77777777" w:rsidTr="00CA4795">
        <w:trPr>
          <w:trHeight w:val="220"/>
        </w:trPr>
        <w:tc>
          <w:tcPr>
            <w:tcW w:w="7572" w:type="dxa"/>
            <w:gridSpan w:val="4"/>
            <w:vAlign w:val="center"/>
            <w:hideMark/>
          </w:tcPr>
          <w:p w14:paraId="3FFC57CD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Postoperative laboratory (POD 0-3) and clinical outcomes</w:t>
            </w:r>
          </w:p>
        </w:tc>
        <w:tc>
          <w:tcPr>
            <w:tcW w:w="1154" w:type="dxa"/>
            <w:noWrap/>
            <w:vAlign w:val="center"/>
          </w:tcPr>
          <w:p w14:paraId="4EC13CBF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A610DC" w:rsidRPr="006C610C" w14:paraId="26C414E1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654E6629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0BB227F0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Maximum Cl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 xml:space="preserve">- 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(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mmol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52" w:type="dxa"/>
            <w:noWrap/>
            <w:vAlign w:val="center"/>
          </w:tcPr>
          <w:p w14:paraId="4CB2CB06" w14:textId="656D0266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.02 (0.99, 1.05)</w:t>
            </w:r>
          </w:p>
        </w:tc>
        <w:tc>
          <w:tcPr>
            <w:tcW w:w="1154" w:type="dxa"/>
            <w:noWrap/>
            <w:vAlign w:val="center"/>
          </w:tcPr>
          <w:p w14:paraId="02237ECC" w14:textId="449F8459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.270</w:t>
            </w:r>
          </w:p>
        </w:tc>
      </w:tr>
      <w:tr w:rsidR="00A610DC" w:rsidRPr="006C610C" w14:paraId="35604D77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4B61BB21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7F54C517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Hyperchloremia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in POD 0 (Cl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 xml:space="preserve">- 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≥ 110 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mmol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52" w:type="dxa"/>
            <w:noWrap/>
            <w:vAlign w:val="center"/>
          </w:tcPr>
          <w:p w14:paraId="7219F6F8" w14:textId="3FED10C9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.48 (1.01, 2.15)</w:t>
            </w:r>
          </w:p>
        </w:tc>
        <w:tc>
          <w:tcPr>
            <w:tcW w:w="1154" w:type="dxa"/>
            <w:noWrap/>
            <w:vAlign w:val="center"/>
          </w:tcPr>
          <w:p w14:paraId="69246C6C" w14:textId="69AF4EE3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.044</w:t>
            </w:r>
          </w:p>
        </w:tc>
      </w:tr>
      <w:tr w:rsidR="00A610DC" w:rsidRPr="006C610C" w14:paraId="6CDD211D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4A88AD17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7865238B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Hyperchloremia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in POD 0-3 (Cl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 xml:space="preserve">- 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≥ 110 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mmol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52" w:type="dxa"/>
            <w:noWrap/>
            <w:vAlign w:val="center"/>
          </w:tcPr>
          <w:p w14:paraId="5B1183AE" w14:textId="416FDA7C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.24 (0.89, 1.72)</w:t>
            </w:r>
          </w:p>
        </w:tc>
        <w:tc>
          <w:tcPr>
            <w:tcW w:w="1154" w:type="dxa"/>
            <w:noWrap/>
            <w:vAlign w:val="center"/>
          </w:tcPr>
          <w:p w14:paraId="49F59189" w14:textId="5C6F21AA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.200</w:t>
            </w:r>
          </w:p>
        </w:tc>
      </w:tr>
      <w:tr w:rsidR="00A610DC" w:rsidRPr="006C610C" w14:paraId="53025369" w14:textId="77777777" w:rsidTr="00CA4795">
        <w:trPr>
          <w:trHeight w:val="220"/>
        </w:trPr>
        <w:tc>
          <w:tcPr>
            <w:tcW w:w="426" w:type="dxa"/>
            <w:vAlign w:val="center"/>
          </w:tcPr>
          <w:p w14:paraId="7A4C4866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14:paraId="5B825C6D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Increases in Cl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 xml:space="preserve">- 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(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mmol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52" w:type="dxa"/>
            <w:noWrap/>
            <w:vAlign w:val="center"/>
          </w:tcPr>
          <w:p w14:paraId="3320A6AD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154" w:type="dxa"/>
            <w:noWrap/>
            <w:vAlign w:val="center"/>
          </w:tcPr>
          <w:p w14:paraId="06A715F7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A610DC" w:rsidRPr="006C610C" w14:paraId="7911AB88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1B46C335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vAlign w:val="center"/>
          </w:tcPr>
          <w:p w14:paraId="04BB767D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176" w:type="dxa"/>
            <w:vAlign w:val="center"/>
            <w:hideMark/>
          </w:tcPr>
          <w:p w14:paraId="26BD4FA9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Q1 ≤ 1 (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mmol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52" w:type="dxa"/>
            <w:noWrap/>
            <w:vAlign w:val="center"/>
          </w:tcPr>
          <w:p w14:paraId="47A5CD5A" w14:textId="2E6B4F79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1154" w:type="dxa"/>
            <w:noWrap/>
            <w:vAlign w:val="center"/>
          </w:tcPr>
          <w:p w14:paraId="3EC3D00F" w14:textId="2E31DF1D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0.968)</w:t>
            </w:r>
          </w:p>
        </w:tc>
      </w:tr>
      <w:tr w:rsidR="00A610DC" w:rsidRPr="006C610C" w14:paraId="2FF9351B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35EE89AD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vAlign w:val="center"/>
          </w:tcPr>
          <w:p w14:paraId="1B2482B3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176" w:type="dxa"/>
            <w:vAlign w:val="center"/>
            <w:hideMark/>
          </w:tcPr>
          <w:p w14:paraId="62B6C020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1 &lt; Q2 ≤ 3 (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mmol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52" w:type="dxa"/>
            <w:noWrap/>
            <w:vAlign w:val="center"/>
          </w:tcPr>
          <w:p w14:paraId="17F5872F" w14:textId="0B577F87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.97 (0.63, 1.49)</w:t>
            </w:r>
          </w:p>
        </w:tc>
        <w:tc>
          <w:tcPr>
            <w:tcW w:w="1154" w:type="dxa"/>
            <w:noWrap/>
            <w:vAlign w:val="center"/>
          </w:tcPr>
          <w:p w14:paraId="414FDDB5" w14:textId="0AF1589D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.889</w:t>
            </w:r>
          </w:p>
        </w:tc>
      </w:tr>
      <w:tr w:rsidR="00A610DC" w:rsidRPr="006C610C" w14:paraId="0FA6ED4A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06772A2C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vAlign w:val="center"/>
          </w:tcPr>
          <w:p w14:paraId="249999E6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176" w:type="dxa"/>
            <w:vAlign w:val="center"/>
            <w:hideMark/>
          </w:tcPr>
          <w:p w14:paraId="33B1E412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3 &lt; Q3 ≤ 6 (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mmol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52" w:type="dxa"/>
            <w:noWrap/>
            <w:vAlign w:val="center"/>
          </w:tcPr>
          <w:p w14:paraId="4A87665F" w14:textId="5028D1C3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.99 (0.67, 1.46)</w:t>
            </w:r>
          </w:p>
        </w:tc>
        <w:tc>
          <w:tcPr>
            <w:tcW w:w="1154" w:type="dxa"/>
            <w:noWrap/>
            <w:vAlign w:val="center"/>
          </w:tcPr>
          <w:p w14:paraId="476F3090" w14:textId="7F3A4B50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.959</w:t>
            </w:r>
          </w:p>
        </w:tc>
      </w:tr>
      <w:tr w:rsidR="00A610DC" w:rsidRPr="006C610C" w14:paraId="64410941" w14:textId="77777777" w:rsidTr="004B6358">
        <w:trPr>
          <w:trHeight w:val="220"/>
        </w:trPr>
        <w:tc>
          <w:tcPr>
            <w:tcW w:w="426" w:type="dxa"/>
            <w:vAlign w:val="center"/>
          </w:tcPr>
          <w:p w14:paraId="11E9F5B8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vAlign w:val="center"/>
          </w:tcPr>
          <w:p w14:paraId="57845268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176" w:type="dxa"/>
            <w:vAlign w:val="center"/>
            <w:hideMark/>
          </w:tcPr>
          <w:p w14:paraId="0A5A5353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Q4 &gt; 6 (</w:t>
            </w:r>
            <w:proofErr w:type="spellStart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mmol</w:t>
            </w:r>
            <w:proofErr w:type="spellEnd"/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l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-1</w:t>
            </w: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752" w:type="dxa"/>
            <w:noWrap/>
            <w:vAlign w:val="center"/>
          </w:tcPr>
          <w:p w14:paraId="463B4E13" w14:textId="616AA6B2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.08 (0.73, 1.60)</w:t>
            </w:r>
          </w:p>
        </w:tc>
        <w:tc>
          <w:tcPr>
            <w:tcW w:w="1154" w:type="dxa"/>
            <w:noWrap/>
            <w:vAlign w:val="center"/>
          </w:tcPr>
          <w:p w14:paraId="6C2F0E35" w14:textId="1467518D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.712</w:t>
            </w:r>
          </w:p>
        </w:tc>
      </w:tr>
      <w:tr w:rsidR="00A610DC" w:rsidRPr="006C610C" w14:paraId="05C6E573" w14:textId="77777777" w:rsidTr="004B6358">
        <w:trPr>
          <w:trHeight w:val="220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2E0CE226" w14:textId="77777777" w:rsidR="00A610DC" w:rsidRPr="006C610C" w:rsidRDefault="00A610DC" w:rsidP="001365F4">
            <w:pPr>
              <w:widowControl/>
              <w:wordWrap/>
              <w:autoSpaceDE/>
              <w:spacing w:after="0" w:line="48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3F4C95FC" w14:textId="77777777" w:rsidR="00A610DC" w:rsidRPr="006C610C" w:rsidRDefault="00A610DC" w:rsidP="001365F4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6C610C">
              <w:rPr>
                <w:rFonts w:ascii="Times New Roman" w:eastAsia="Malgun Gothic" w:hAnsi="Times New Roman" w:cs="Times New Roman"/>
                <w:kern w:val="0"/>
                <w:szCs w:val="20"/>
              </w:rPr>
              <w:t>Postoperative metabolic acidosis in POD 0-3</w:t>
            </w:r>
          </w:p>
        </w:tc>
        <w:tc>
          <w:tcPr>
            <w:tcW w:w="2752" w:type="dxa"/>
            <w:tcBorders>
              <w:bottom w:val="double" w:sz="4" w:space="0" w:color="auto"/>
            </w:tcBorders>
            <w:noWrap/>
            <w:vAlign w:val="center"/>
          </w:tcPr>
          <w:p w14:paraId="7822B7A4" w14:textId="0E19F400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.87 (0.53, 1.42)</w:t>
            </w:r>
          </w:p>
        </w:tc>
        <w:tc>
          <w:tcPr>
            <w:tcW w:w="1154" w:type="dxa"/>
            <w:tcBorders>
              <w:bottom w:val="double" w:sz="4" w:space="0" w:color="auto"/>
            </w:tcBorders>
            <w:noWrap/>
            <w:vAlign w:val="center"/>
          </w:tcPr>
          <w:p w14:paraId="66EBF946" w14:textId="2D2AA72A" w:rsidR="00A610DC" w:rsidRPr="006C610C" w:rsidRDefault="00734709" w:rsidP="001365F4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>
              <w:rPr>
                <w:rFonts w:ascii="Times New Roman" w:eastAsia="Malgun Gothic" w:hAnsi="Times New Roman" w:cs="Times New Roman"/>
                <w:kern w:val="0"/>
                <w:szCs w:val="20"/>
              </w:rPr>
              <w:t>.567</w:t>
            </w:r>
          </w:p>
        </w:tc>
      </w:tr>
    </w:tbl>
    <w:p w14:paraId="3A5D1949" w14:textId="77777777" w:rsidR="00A610DC" w:rsidRPr="006C610C" w:rsidRDefault="00A610DC" w:rsidP="001365F4">
      <w:pPr>
        <w:spacing w:after="0" w:line="480" w:lineRule="auto"/>
        <w:rPr>
          <w:rStyle w:val="st1"/>
          <w:rFonts w:ascii="Times New Roman" w:hAnsi="Times New Roman" w:cs="Times New Roman"/>
          <w:szCs w:val="20"/>
        </w:rPr>
      </w:pPr>
      <w:proofErr w:type="gramStart"/>
      <w:r w:rsidRPr="006C610C">
        <w:rPr>
          <w:rFonts w:ascii="Times New Roman" w:eastAsia="Malgun Gothic" w:hAnsi="Times New Roman" w:cs="Times New Roman"/>
          <w:kern w:val="0"/>
          <w:szCs w:val="20"/>
        </w:rPr>
        <w:t>a</w:t>
      </w:r>
      <w:proofErr w:type="gramEnd"/>
      <w:r w:rsidRPr="006C610C">
        <w:rPr>
          <w:rFonts w:ascii="Times New Roman" w:eastAsia="Malgun Gothic" w:hAnsi="Times New Roman" w:cs="Times New Roman"/>
          <w:kern w:val="0"/>
          <w:szCs w:val="20"/>
        </w:rPr>
        <w:t xml:space="preserve">: </w:t>
      </w:r>
      <w:proofErr w:type="spellStart"/>
      <w:r w:rsidRPr="006C610C">
        <w:rPr>
          <w:rFonts w:ascii="Times New Roman" w:eastAsia="Malgun Gothic" w:hAnsi="Times New Roman" w:cs="Times New Roman"/>
          <w:kern w:val="0"/>
          <w:szCs w:val="20"/>
        </w:rPr>
        <w:t>eGFR</w:t>
      </w:r>
      <w:proofErr w:type="spellEnd"/>
      <w:r w:rsidRPr="006C610C">
        <w:rPr>
          <w:rFonts w:ascii="Times New Roman" w:eastAsia="Malgun Gothic" w:hAnsi="Times New Roman" w:cs="Times New Roman"/>
          <w:kern w:val="0"/>
          <w:szCs w:val="20"/>
        </w:rPr>
        <w:t xml:space="preserve"> (mL·min</w:t>
      </w:r>
      <w:r w:rsidRPr="006C610C">
        <w:rPr>
          <w:rFonts w:ascii="Times New Roman" w:eastAsia="Malgun Gothic" w:hAnsi="Times New Roman" w:cs="Times New Roman"/>
          <w:kern w:val="0"/>
          <w:szCs w:val="20"/>
          <w:vertAlign w:val="superscript"/>
        </w:rPr>
        <w:t>-1</w:t>
      </w:r>
      <w:r w:rsidRPr="006C610C">
        <w:rPr>
          <w:rFonts w:ascii="Times New Roman" w:eastAsia="Malgun Gothic" w:hAnsi="Times New Roman" w:cs="Times New Roman"/>
          <w:kern w:val="0"/>
          <w:szCs w:val="20"/>
        </w:rPr>
        <w:t>·1.73·m</w:t>
      </w:r>
      <w:r w:rsidRPr="006C610C">
        <w:rPr>
          <w:rFonts w:ascii="Times New Roman" w:eastAsia="Malgun Gothic" w:hAnsi="Times New Roman" w:cs="Times New Roman"/>
          <w:kern w:val="0"/>
          <w:szCs w:val="20"/>
          <w:vertAlign w:val="superscript"/>
        </w:rPr>
        <w:t>-2</w:t>
      </w:r>
      <w:r w:rsidRPr="006C610C">
        <w:rPr>
          <w:rFonts w:ascii="Times New Roman" w:hAnsi="Times New Roman" w:cs="Times New Roman"/>
          <w:szCs w:val="20"/>
        </w:rPr>
        <w:t xml:space="preserve">) = </w:t>
      </w:r>
      <w:r w:rsidRPr="006C610C">
        <w:rPr>
          <w:rStyle w:val="st1"/>
          <w:rFonts w:ascii="Times New Roman" w:hAnsi="Times New Roman" w:cs="Times New Roman"/>
          <w:szCs w:val="20"/>
        </w:rPr>
        <w:t>186 × (Creatinine)</w:t>
      </w:r>
      <w:r w:rsidRPr="006C610C">
        <w:rPr>
          <w:rStyle w:val="st1"/>
          <w:rFonts w:ascii="Times New Roman" w:hAnsi="Times New Roman" w:cs="Times New Roman"/>
          <w:szCs w:val="20"/>
          <w:vertAlign w:val="superscript"/>
        </w:rPr>
        <w:t>-1.154</w:t>
      </w:r>
      <w:r w:rsidRPr="006C610C">
        <w:rPr>
          <w:rStyle w:val="st1"/>
          <w:rFonts w:ascii="Times New Roman" w:hAnsi="Times New Roman" w:cs="Times New Roman"/>
          <w:szCs w:val="20"/>
        </w:rPr>
        <w:t xml:space="preserve"> × (Age)</w:t>
      </w:r>
      <w:r w:rsidRPr="006C610C">
        <w:rPr>
          <w:rStyle w:val="st1"/>
          <w:rFonts w:ascii="Times New Roman" w:hAnsi="Times New Roman" w:cs="Times New Roman"/>
          <w:szCs w:val="20"/>
          <w:vertAlign w:val="superscript"/>
        </w:rPr>
        <w:t>-0.203</w:t>
      </w:r>
      <w:r w:rsidRPr="006C610C">
        <w:rPr>
          <w:rStyle w:val="st1"/>
          <w:rFonts w:ascii="Times New Roman" w:hAnsi="Times New Roman" w:cs="Times New Roman"/>
          <w:szCs w:val="20"/>
        </w:rPr>
        <w:t xml:space="preserve"> (× 0.742 if female)</w:t>
      </w:r>
    </w:p>
    <w:p w14:paraId="209FDB51" w14:textId="77777777" w:rsidR="00A610DC" w:rsidRPr="006C610C" w:rsidRDefault="00A610DC" w:rsidP="001365F4">
      <w:pPr>
        <w:spacing w:after="0" w:line="480" w:lineRule="auto"/>
        <w:rPr>
          <w:rFonts w:eastAsia="Malgun Gothic"/>
          <w:kern w:val="0"/>
        </w:rPr>
      </w:pPr>
      <w:proofErr w:type="gramStart"/>
      <w:r w:rsidRPr="006C610C">
        <w:rPr>
          <w:rFonts w:ascii="Times New Roman" w:eastAsia="Malgun Gothic" w:hAnsi="Times New Roman" w:cs="Times New Roman"/>
          <w:kern w:val="0"/>
          <w:szCs w:val="20"/>
        </w:rPr>
        <w:t>b</w:t>
      </w:r>
      <w:proofErr w:type="gramEnd"/>
      <w:r w:rsidRPr="006C610C">
        <w:rPr>
          <w:rFonts w:ascii="Times New Roman" w:eastAsia="Malgun Gothic" w:hAnsi="Times New Roman" w:cs="Times New Roman"/>
          <w:kern w:val="0"/>
          <w:szCs w:val="20"/>
        </w:rPr>
        <w:t>:</w:t>
      </w:r>
      <w:r w:rsidRPr="006C610C">
        <w:rPr>
          <w:rFonts w:ascii="Times New Roman" w:eastAsia="Malgun Gothic" w:hAnsi="Times New Roman" w:cs="Times New Roman"/>
          <w:kern w:val="0"/>
          <w:szCs w:val="20"/>
          <w:vertAlign w:val="superscript"/>
        </w:rPr>
        <w:t xml:space="preserve"> </w:t>
      </w:r>
      <w:r w:rsidRPr="006C610C">
        <w:rPr>
          <w:rFonts w:ascii="Times New Roman" w:eastAsia="Malgun Gothic" w:hAnsi="Times New Roman" w:cs="Times New Roman"/>
          <w:kern w:val="0"/>
          <w:szCs w:val="20"/>
        </w:rPr>
        <w:t>Intraoperative hypotension was defined as mean blood pressure &lt;60 mmHg for &gt;1 minute</w:t>
      </w:r>
    </w:p>
    <w:p w14:paraId="2FAD6514" w14:textId="77777777" w:rsidR="00A610DC" w:rsidRPr="006C610C" w:rsidRDefault="00A610DC" w:rsidP="001365F4">
      <w:pPr>
        <w:spacing w:after="0" w:line="480" w:lineRule="auto"/>
        <w:rPr>
          <w:rFonts w:ascii="Times New Roman" w:eastAsia="Malgun Gothic" w:hAnsi="Times New Roman" w:cs="Times New Roman"/>
          <w:kern w:val="0"/>
          <w:szCs w:val="20"/>
          <w:vertAlign w:val="superscript"/>
        </w:rPr>
      </w:pPr>
      <w:proofErr w:type="gramStart"/>
      <w:r w:rsidRPr="006C610C">
        <w:rPr>
          <w:rFonts w:ascii="Times New Roman" w:eastAsia="Malgun Gothic" w:hAnsi="Times New Roman" w:cs="Times New Roman"/>
          <w:kern w:val="0"/>
          <w:szCs w:val="20"/>
        </w:rPr>
        <w:t>c</w:t>
      </w:r>
      <w:proofErr w:type="gramEnd"/>
      <w:r w:rsidRPr="006C610C">
        <w:rPr>
          <w:rFonts w:ascii="Times New Roman" w:eastAsia="Malgun Gothic" w:hAnsi="Times New Roman" w:cs="Times New Roman"/>
          <w:kern w:val="0"/>
          <w:szCs w:val="20"/>
        </w:rPr>
        <w:t xml:space="preserve">: Intraoperative fluid balance (%) = {[Total input fluid (L) – Total output fluid (L)] × 100} / weight on </w:t>
      </w:r>
      <w:r w:rsidRPr="006C610C">
        <w:rPr>
          <w:rFonts w:ascii="Times New Roman" w:eastAsia="Malgun Gothic" w:hAnsi="Times New Roman" w:cs="Times New Roman"/>
          <w:kern w:val="0"/>
          <w:szCs w:val="20"/>
        </w:rPr>
        <w:lastRenderedPageBreak/>
        <w:t>admission (kg)</w:t>
      </w:r>
      <w:r w:rsidRPr="006C610C">
        <w:rPr>
          <w:rFonts w:ascii="Times New Roman" w:eastAsia="Malgun Gothic" w:hAnsi="Times New Roman" w:cs="Times New Roman"/>
          <w:kern w:val="0"/>
          <w:szCs w:val="20"/>
          <w:vertAlign w:val="superscript"/>
        </w:rPr>
        <w:t xml:space="preserve"> </w:t>
      </w:r>
    </w:p>
    <w:p w14:paraId="2A0B8204" w14:textId="40712C49" w:rsidR="00A610DC" w:rsidRPr="006C610C" w:rsidRDefault="00A610DC" w:rsidP="001365F4">
      <w:pPr>
        <w:spacing w:after="0" w:line="480" w:lineRule="auto"/>
        <w:rPr>
          <w:rFonts w:ascii="Times New Roman" w:eastAsia="Malgun Gothic" w:hAnsi="Times New Roman" w:cs="Times New Roman"/>
          <w:kern w:val="0"/>
          <w:szCs w:val="20"/>
        </w:rPr>
      </w:pPr>
      <w:proofErr w:type="gramStart"/>
      <w:r w:rsidRPr="006C610C">
        <w:rPr>
          <w:rFonts w:ascii="Times New Roman" w:eastAsia="Malgun Gothic" w:hAnsi="Times New Roman" w:cs="Times New Roman"/>
          <w:szCs w:val="20"/>
        </w:rPr>
        <w:t>d</w:t>
      </w:r>
      <w:proofErr w:type="gramEnd"/>
      <w:r w:rsidRPr="006C610C">
        <w:rPr>
          <w:rFonts w:ascii="Times New Roman" w:eastAsia="Malgun Gothic" w:hAnsi="Times New Roman" w:cs="Times New Roman"/>
          <w:szCs w:val="20"/>
        </w:rPr>
        <w:t>:</w:t>
      </w:r>
      <w:r w:rsidRPr="006C610C">
        <w:rPr>
          <w:rFonts w:ascii="Times New Roman" w:eastAsia="Malgun Gothic" w:hAnsi="Times New Roman" w:cs="Times New Roman"/>
          <w:szCs w:val="20"/>
          <w:vertAlign w:val="superscript"/>
        </w:rPr>
        <w:t xml:space="preserve"> </w:t>
      </w:r>
      <w:r w:rsidR="00B63D63" w:rsidRPr="006C610C">
        <w:rPr>
          <w:rFonts w:ascii="Times New Roman" w:eastAsia="Malgun Gothic" w:hAnsi="Times New Roman" w:cs="Times New Roman"/>
          <w:kern w:val="0"/>
          <w:szCs w:val="20"/>
        </w:rPr>
        <w:t>Inotropes</w:t>
      </w:r>
      <w:r w:rsidRPr="006C610C">
        <w:rPr>
          <w:rFonts w:ascii="Times New Roman" w:eastAsia="Malgun Gothic" w:hAnsi="Times New Roman" w:cs="Times New Roman"/>
          <w:kern w:val="0"/>
          <w:szCs w:val="20"/>
        </w:rPr>
        <w:t xml:space="preserve">/vasopressors include norepinephrine, epinephrine, </w:t>
      </w:r>
      <w:r w:rsidRPr="004B6358">
        <w:rPr>
          <w:rFonts w:ascii="Times New Roman" w:eastAsia="Malgun Gothic" w:hAnsi="Times New Roman" w:cs="Times New Roman"/>
          <w:kern w:val="0"/>
          <w:szCs w:val="20"/>
        </w:rPr>
        <w:t xml:space="preserve">vasopressin, </w:t>
      </w:r>
      <w:proofErr w:type="spellStart"/>
      <w:r w:rsidRPr="004B6358">
        <w:rPr>
          <w:rFonts w:ascii="Times New Roman" w:eastAsia="Malgun Gothic" w:hAnsi="Times New Roman" w:cs="Times New Roman"/>
          <w:kern w:val="0"/>
          <w:szCs w:val="20"/>
        </w:rPr>
        <w:t>dobutamine</w:t>
      </w:r>
      <w:proofErr w:type="spellEnd"/>
      <w:r w:rsidRPr="004B6358">
        <w:rPr>
          <w:rFonts w:ascii="Times New Roman" w:eastAsia="Malgun Gothic" w:hAnsi="Times New Roman" w:cs="Times New Roman"/>
          <w:kern w:val="0"/>
          <w:szCs w:val="20"/>
        </w:rPr>
        <w:t>, and dopamine.</w:t>
      </w:r>
    </w:p>
    <w:p w14:paraId="16878D73" w14:textId="77777777" w:rsidR="00A610DC" w:rsidRPr="006C610C" w:rsidRDefault="00A610DC" w:rsidP="001365F4">
      <w:pPr>
        <w:spacing w:after="0" w:line="480" w:lineRule="auto"/>
        <w:rPr>
          <w:rFonts w:ascii="Times New Roman" w:eastAsia="Malgun Gothic" w:hAnsi="Times New Roman" w:cs="Times New Roman"/>
          <w:kern w:val="0"/>
          <w:szCs w:val="20"/>
        </w:rPr>
      </w:pPr>
      <w:proofErr w:type="gramStart"/>
      <w:r w:rsidRPr="006C610C">
        <w:rPr>
          <w:rFonts w:ascii="Times New Roman" w:eastAsia="Malgun Gothic" w:hAnsi="Times New Roman" w:cs="Times New Roman"/>
          <w:kern w:val="0"/>
          <w:szCs w:val="20"/>
        </w:rPr>
        <w:t>e</w:t>
      </w:r>
      <w:proofErr w:type="gramEnd"/>
      <w:r w:rsidRPr="006C610C">
        <w:rPr>
          <w:rFonts w:ascii="Times New Roman" w:eastAsia="Malgun Gothic" w:hAnsi="Times New Roman" w:cs="Times New Roman"/>
          <w:kern w:val="0"/>
          <w:szCs w:val="20"/>
        </w:rPr>
        <w:t>:</w:t>
      </w:r>
      <w:r w:rsidRPr="006C610C">
        <w:rPr>
          <w:rFonts w:ascii="Times New Roman" w:eastAsia="Malgun Gothic" w:hAnsi="Times New Roman" w:cs="Times New Roman"/>
          <w:kern w:val="0"/>
          <w:szCs w:val="20"/>
          <w:vertAlign w:val="superscript"/>
        </w:rPr>
        <w:t xml:space="preserve"> </w:t>
      </w:r>
      <w:r w:rsidRPr="006C610C">
        <w:rPr>
          <w:rFonts w:ascii="Times New Roman" w:eastAsia="Malgun Gothic" w:hAnsi="Times New Roman" w:cs="Times New Roman"/>
          <w:kern w:val="0"/>
          <w:szCs w:val="20"/>
        </w:rPr>
        <w:t>Diuretics include mannitol and furosemide.</w:t>
      </w:r>
    </w:p>
    <w:p w14:paraId="694A3EE1" w14:textId="77777777" w:rsidR="00A610DC" w:rsidRPr="006C610C" w:rsidRDefault="00A610DC" w:rsidP="001365F4">
      <w:pPr>
        <w:spacing w:after="0" w:line="480" w:lineRule="auto"/>
        <w:rPr>
          <w:rFonts w:ascii="Times New Roman" w:eastAsia="Malgun Gothic" w:hAnsi="Times New Roman" w:cs="Times New Roman"/>
          <w:kern w:val="0"/>
          <w:szCs w:val="20"/>
        </w:rPr>
      </w:pPr>
      <w:proofErr w:type="gramStart"/>
      <w:r w:rsidRPr="006C610C">
        <w:rPr>
          <w:rFonts w:ascii="Times New Roman" w:eastAsia="Malgun Gothic" w:hAnsi="Times New Roman" w:cs="Times New Roman"/>
          <w:kern w:val="0"/>
          <w:szCs w:val="20"/>
        </w:rPr>
        <w:t>f</w:t>
      </w:r>
      <w:proofErr w:type="gramEnd"/>
      <w:r w:rsidRPr="006C610C">
        <w:rPr>
          <w:rFonts w:ascii="Times New Roman" w:eastAsia="Malgun Gothic" w:hAnsi="Times New Roman" w:cs="Times New Roman"/>
          <w:kern w:val="0"/>
          <w:szCs w:val="20"/>
        </w:rPr>
        <w:t>:</w:t>
      </w:r>
      <w:r w:rsidRPr="006C610C">
        <w:rPr>
          <w:rFonts w:ascii="Times New Roman" w:eastAsia="Malgun Gothic" w:hAnsi="Times New Roman" w:cs="Times New Roman"/>
          <w:kern w:val="0"/>
          <w:szCs w:val="20"/>
          <w:vertAlign w:val="superscript"/>
        </w:rPr>
        <w:t xml:space="preserve"> </w:t>
      </w:r>
      <w:r w:rsidRPr="006C610C">
        <w:rPr>
          <w:rFonts w:ascii="Times New Roman" w:eastAsia="Malgun Gothic" w:hAnsi="Times New Roman" w:cs="Times New Roman"/>
          <w:kern w:val="0"/>
          <w:szCs w:val="20"/>
        </w:rPr>
        <w:t>Nephrotoxic antibiotics include aminoglycoside, cephalosporin, vancomycin, and sulfonamide.</w:t>
      </w:r>
    </w:p>
    <w:p w14:paraId="605B303A" w14:textId="28BD689B" w:rsidR="00A610DC" w:rsidRPr="006C610C" w:rsidRDefault="00221359" w:rsidP="001365F4">
      <w:pPr>
        <w:spacing w:after="0" w:line="480" w:lineRule="auto"/>
        <w:rPr>
          <w:rFonts w:ascii="Times New Roman" w:eastAsia="Malgun Gothic" w:hAnsi="Times New Roman" w:cs="Times New Roman"/>
          <w:kern w:val="0"/>
          <w:szCs w:val="20"/>
        </w:rPr>
      </w:pPr>
      <w:r w:rsidRPr="006C610C">
        <w:rPr>
          <w:rFonts w:ascii="Times New Roman" w:eastAsia="Malgun Gothic" w:hAnsi="Times New Roman" w:cs="Times New Roman"/>
          <w:szCs w:val="20"/>
        </w:rPr>
        <w:t xml:space="preserve">AKI, acute kidney injury; </w:t>
      </w:r>
      <w:r w:rsidR="00A610DC" w:rsidRPr="006C610C">
        <w:rPr>
          <w:rFonts w:ascii="Times New Roman" w:eastAsia="Malgun Gothic" w:hAnsi="Times New Roman" w:cs="Times New Roman"/>
          <w:szCs w:val="20"/>
        </w:rPr>
        <w:t xml:space="preserve">ICU, </w:t>
      </w:r>
      <w:r w:rsidR="008C7CD5" w:rsidRPr="006C610C">
        <w:rPr>
          <w:rFonts w:ascii="Times New Roman" w:eastAsia="Malgun Gothic" w:hAnsi="Times New Roman" w:cs="Times New Roman"/>
          <w:szCs w:val="20"/>
        </w:rPr>
        <w:t xml:space="preserve">intensive </w:t>
      </w:r>
      <w:r w:rsidR="00A610DC" w:rsidRPr="006C610C">
        <w:rPr>
          <w:rFonts w:ascii="Times New Roman" w:eastAsia="Malgun Gothic" w:hAnsi="Times New Roman" w:cs="Times New Roman"/>
          <w:szCs w:val="20"/>
        </w:rPr>
        <w:t xml:space="preserve">care unit; </w:t>
      </w:r>
      <w:r w:rsidR="00A610DC" w:rsidRPr="006C610C">
        <w:rPr>
          <w:rFonts w:ascii="Times New Roman" w:eastAsia="Malgun Gothic" w:hAnsi="Times New Roman" w:cs="Times New Roman"/>
          <w:kern w:val="0"/>
          <w:szCs w:val="20"/>
        </w:rPr>
        <w:t xml:space="preserve">ASA classification, American Society of Anesthesiologists classification; </w:t>
      </w:r>
      <w:proofErr w:type="spellStart"/>
      <w:r w:rsidR="00A610DC" w:rsidRPr="006C610C">
        <w:rPr>
          <w:rFonts w:ascii="Times New Roman" w:eastAsia="Malgun Gothic" w:hAnsi="Times New Roman" w:cs="Times New Roman"/>
          <w:kern w:val="0"/>
          <w:szCs w:val="20"/>
        </w:rPr>
        <w:t>eGFR</w:t>
      </w:r>
      <w:proofErr w:type="spellEnd"/>
      <w:r w:rsidR="00A610DC" w:rsidRPr="006C610C">
        <w:rPr>
          <w:rFonts w:ascii="Times New Roman" w:eastAsia="Malgun Gothic" w:hAnsi="Times New Roman" w:cs="Times New Roman"/>
          <w:kern w:val="0"/>
          <w:szCs w:val="20"/>
        </w:rPr>
        <w:t xml:space="preserve">, estimated glomerular filtration rate; RRT, </w:t>
      </w:r>
      <w:r w:rsidR="008C7CD5" w:rsidRPr="006C610C">
        <w:rPr>
          <w:rFonts w:ascii="Times New Roman" w:eastAsia="Malgun Gothic" w:hAnsi="Times New Roman" w:cs="Times New Roman"/>
          <w:kern w:val="0"/>
          <w:szCs w:val="20"/>
        </w:rPr>
        <w:t xml:space="preserve">renal </w:t>
      </w:r>
      <w:r w:rsidR="00A610DC" w:rsidRPr="006C610C">
        <w:rPr>
          <w:rFonts w:ascii="Times New Roman" w:eastAsia="Malgun Gothic" w:hAnsi="Times New Roman" w:cs="Times New Roman"/>
          <w:kern w:val="0"/>
          <w:szCs w:val="20"/>
        </w:rPr>
        <w:t xml:space="preserve">replacement therapy; POD, </w:t>
      </w:r>
      <w:r w:rsidR="008C7CD5" w:rsidRPr="006C610C">
        <w:rPr>
          <w:rFonts w:ascii="Times New Roman" w:eastAsia="Malgun Gothic" w:hAnsi="Times New Roman" w:cs="Times New Roman"/>
          <w:kern w:val="0"/>
          <w:szCs w:val="20"/>
        </w:rPr>
        <w:t xml:space="preserve">postoperative </w:t>
      </w:r>
      <w:r w:rsidR="00A610DC" w:rsidRPr="006C610C">
        <w:rPr>
          <w:rFonts w:ascii="Times New Roman" w:eastAsia="Malgun Gothic" w:hAnsi="Times New Roman" w:cs="Times New Roman"/>
          <w:kern w:val="0"/>
          <w:szCs w:val="20"/>
        </w:rPr>
        <w:t xml:space="preserve">day; NSAID, </w:t>
      </w:r>
      <w:r w:rsidR="008C7CD5" w:rsidRPr="006C610C">
        <w:rPr>
          <w:rFonts w:ascii="Times New Roman" w:eastAsia="Malgun Gothic" w:hAnsi="Times New Roman" w:cs="Times New Roman"/>
          <w:kern w:val="0"/>
          <w:szCs w:val="20"/>
        </w:rPr>
        <w:t>nonsteroidal anti</w:t>
      </w:r>
      <w:r w:rsidR="00A610DC" w:rsidRPr="006C610C">
        <w:rPr>
          <w:rFonts w:ascii="Times New Roman" w:eastAsia="Malgun Gothic" w:hAnsi="Times New Roman" w:cs="Times New Roman"/>
          <w:kern w:val="0"/>
          <w:szCs w:val="20"/>
        </w:rPr>
        <w:t xml:space="preserve">-inflammatory </w:t>
      </w:r>
      <w:r w:rsidR="008C7CD5" w:rsidRPr="006C610C">
        <w:rPr>
          <w:rFonts w:ascii="Times New Roman" w:eastAsia="Malgun Gothic" w:hAnsi="Times New Roman" w:cs="Times New Roman"/>
          <w:kern w:val="0"/>
          <w:szCs w:val="20"/>
        </w:rPr>
        <w:t>drug</w:t>
      </w:r>
    </w:p>
    <w:p w14:paraId="18C11047" w14:textId="77777777" w:rsidR="00A610DC" w:rsidRPr="006C610C" w:rsidRDefault="00A610DC" w:rsidP="00F41A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610DC" w:rsidRPr="006C610C" w:rsidSect="000C134B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14DE" w14:textId="77777777" w:rsidR="00ED4EE8" w:rsidRDefault="00ED4EE8" w:rsidP="00F93F72">
      <w:pPr>
        <w:spacing w:after="0" w:line="240" w:lineRule="auto"/>
      </w:pPr>
      <w:r>
        <w:separator/>
      </w:r>
    </w:p>
  </w:endnote>
  <w:endnote w:type="continuationSeparator" w:id="0">
    <w:p w14:paraId="674DA461" w14:textId="77777777" w:rsidR="00ED4EE8" w:rsidRDefault="00ED4EE8" w:rsidP="00F9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DAB81" w14:textId="77777777" w:rsidR="00ED4EE8" w:rsidRDefault="00ED4EE8" w:rsidP="00F93F72">
      <w:pPr>
        <w:spacing w:after="0" w:line="240" w:lineRule="auto"/>
      </w:pPr>
      <w:r>
        <w:separator/>
      </w:r>
    </w:p>
  </w:footnote>
  <w:footnote w:type="continuationSeparator" w:id="0">
    <w:p w14:paraId="3AA828B9" w14:textId="77777777" w:rsidR="00ED4EE8" w:rsidRDefault="00ED4EE8" w:rsidP="00F9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11179"/>
      <w:docPartObj>
        <w:docPartGallery w:val="Page Numbers (Top of Page)"/>
        <w:docPartUnique/>
      </w:docPartObj>
    </w:sdtPr>
    <w:sdtEndPr/>
    <w:sdtContent>
      <w:p w14:paraId="4F71C1AE" w14:textId="675FBAB6" w:rsidR="005B271D" w:rsidRPr="003D69C2" w:rsidRDefault="005B271D">
        <w:pPr>
          <w:pStyle w:val="Header"/>
          <w:jc w:val="right"/>
        </w:pPr>
        <w:r w:rsidRPr="003D69C2">
          <w:fldChar w:fldCharType="begin"/>
        </w:r>
        <w:r w:rsidRPr="003D69C2">
          <w:instrText>PAGE   \* MERGEFORMAT</w:instrText>
        </w:r>
        <w:r w:rsidRPr="003D69C2">
          <w:fldChar w:fldCharType="separate"/>
        </w:r>
        <w:r w:rsidR="000C134B">
          <w:rPr>
            <w:noProof/>
          </w:rPr>
          <w:t>1</w:t>
        </w:r>
        <w:r w:rsidRPr="003D69C2">
          <w:fldChar w:fldCharType="end"/>
        </w:r>
      </w:p>
    </w:sdtContent>
  </w:sdt>
  <w:p w14:paraId="5A2014B0" w14:textId="77777777" w:rsidR="005B271D" w:rsidRPr="003D69C2" w:rsidRDefault="005B2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63D"/>
    <w:multiLevelType w:val="multilevel"/>
    <w:tmpl w:val="F6E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11612"/>
    <w:multiLevelType w:val="hybridMultilevel"/>
    <w:tmpl w:val="0C8CAE0E"/>
    <w:lvl w:ilvl="0" w:tplc="69484AFC">
      <w:start w:val="201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Total_Editing_Time" w:val="196"/>
  </w:docVars>
  <w:rsids>
    <w:rsidRoot w:val="00EB1EB7"/>
    <w:rsid w:val="00003D9B"/>
    <w:rsid w:val="00007A8E"/>
    <w:rsid w:val="00011C8A"/>
    <w:rsid w:val="00014C88"/>
    <w:rsid w:val="0001568D"/>
    <w:rsid w:val="000201D0"/>
    <w:rsid w:val="000207B6"/>
    <w:rsid w:val="00021B96"/>
    <w:rsid w:val="00024E65"/>
    <w:rsid w:val="00030546"/>
    <w:rsid w:val="00030B7A"/>
    <w:rsid w:val="00032165"/>
    <w:rsid w:val="000322CA"/>
    <w:rsid w:val="00035A10"/>
    <w:rsid w:val="00035FED"/>
    <w:rsid w:val="00036255"/>
    <w:rsid w:val="000413FF"/>
    <w:rsid w:val="00041579"/>
    <w:rsid w:val="00043D56"/>
    <w:rsid w:val="00043F44"/>
    <w:rsid w:val="0004441F"/>
    <w:rsid w:val="000446FC"/>
    <w:rsid w:val="00044B1D"/>
    <w:rsid w:val="000454DE"/>
    <w:rsid w:val="00046002"/>
    <w:rsid w:val="000468A6"/>
    <w:rsid w:val="000523F4"/>
    <w:rsid w:val="00056874"/>
    <w:rsid w:val="000606E5"/>
    <w:rsid w:val="0006120C"/>
    <w:rsid w:val="000617EE"/>
    <w:rsid w:val="00064279"/>
    <w:rsid w:val="000648CC"/>
    <w:rsid w:val="000713A2"/>
    <w:rsid w:val="00072855"/>
    <w:rsid w:val="00073751"/>
    <w:rsid w:val="0007475E"/>
    <w:rsid w:val="0007481E"/>
    <w:rsid w:val="00074E6D"/>
    <w:rsid w:val="0007696D"/>
    <w:rsid w:val="00077047"/>
    <w:rsid w:val="000774C0"/>
    <w:rsid w:val="00077DEF"/>
    <w:rsid w:val="0008216F"/>
    <w:rsid w:val="00083FB1"/>
    <w:rsid w:val="00086697"/>
    <w:rsid w:val="00087A53"/>
    <w:rsid w:val="00094077"/>
    <w:rsid w:val="000943B8"/>
    <w:rsid w:val="0009596E"/>
    <w:rsid w:val="000A0413"/>
    <w:rsid w:val="000A1EB7"/>
    <w:rsid w:val="000A2063"/>
    <w:rsid w:val="000A57CF"/>
    <w:rsid w:val="000A6E7A"/>
    <w:rsid w:val="000A7AC9"/>
    <w:rsid w:val="000B1571"/>
    <w:rsid w:val="000B2DFB"/>
    <w:rsid w:val="000B3461"/>
    <w:rsid w:val="000B395F"/>
    <w:rsid w:val="000C0070"/>
    <w:rsid w:val="000C134B"/>
    <w:rsid w:val="000C1F36"/>
    <w:rsid w:val="000C1F92"/>
    <w:rsid w:val="000C589D"/>
    <w:rsid w:val="000C5C74"/>
    <w:rsid w:val="000C68F2"/>
    <w:rsid w:val="000D5D02"/>
    <w:rsid w:val="000D74ED"/>
    <w:rsid w:val="000E01B9"/>
    <w:rsid w:val="000E028D"/>
    <w:rsid w:val="000E2D39"/>
    <w:rsid w:val="000E47D4"/>
    <w:rsid w:val="000E4ADA"/>
    <w:rsid w:val="000E4C80"/>
    <w:rsid w:val="000E51CF"/>
    <w:rsid w:val="000E57DE"/>
    <w:rsid w:val="000E59A4"/>
    <w:rsid w:val="000E6C9C"/>
    <w:rsid w:val="000E71D5"/>
    <w:rsid w:val="000F07E2"/>
    <w:rsid w:val="000F1244"/>
    <w:rsid w:val="000F260C"/>
    <w:rsid w:val="000F289B"/>
    <w:rsid w:val="000F781B"/>
    <w:rsid w:val="00100435"/>
    <w:rsid w:val="001076FC"/>
    <w:rsid w:val="001112D8"/>
    <w:rsid w:val="00111D4C"/>
    <w:rsid w:val="00113C89"/>
    <w:rsid w:val="00114E72"/>
    <w:rsid w:val="00115E7C"/>
    <w:rsid w:val="00115F88"/>
    <w:rsid w:val="00116555"/>
    <w:rsid w:val="00125017"/>
    <w:rsid w:val="00127D21"/>
    <w:rsid w:val="00132779"/>
    <w:rsid w:val="001339ED"/>
    <w:rsid w:val="001343BD"/>
    <w:rsid w:val="00135FD0"/>
    <w:rsid w:val="001365F4"/>
    <w:rsid w:val="00137F53"/>
    <w:rsid w:val="00140532"/>
    <w:rsid w:val="001435B8"/>
    <w:rsid w:val="001436F4"/>
    <w:rsid w:val="00143858"/>
    <w:rsid w:val="00143D76"/>
    <w:rsid w:val="00144D48"/>
    <w:rsid w:val="00147124"/>
    <w:rsid w:val="001476F3"/>
    <w:rsid w:val="0015007E"/>
    <w:rsid w:val="00150D8D"/>
    <w:rsid w:val="001511C0"/>
    <w:rsid w:val="0015362F"/>
    <w:rsid w:val="00157189"/>
    <w:rsid w:val="00157521"/>
    <w:rsid w:val="00157C52"/>
    <w:rsid w:val="00160487"/>
    <w:rsid w:val="00160D2F"/>
    <w:rsid w:val="00161E88"/>
    <w:rsid w:val="00165159"/>
    <w:rsid w:val="0016648C"/>
    <w:rsid w:val="001705AF"/>
    <w:rsid w:val="001721F8"/>
    <w:rsid w:val="00174D33"/>
    <w:rsid w:val="00174F82"/>
    <w:rsid w:val="0017746D"/>
    <w:rsid w:val="0017769A"/>
    <w:rsid w:val="00177A96"/>
    <w:rsid w:val="001802EB"/>
    <w:rsid w:val="00182529"/>
    <w:rsid w:val="00184013"/>
    <w:rsid w:val="00184753"/>
    <w:rsid w:val="001858F9"/>
    <w:rsid w:val="00187544"/>
    <w:rsid w:val="00187EE4"/>
    <w:rsid w:val="0019130E"/>
    <w:rsid w:val="001915BB"/>
    <w:rsid w:val="00193012"/>
    <w:rsid w:val="001957AB"/>
    <w:rsid w:val="00195DA4"/>
    <w:rsid w:val="00196AAE"/>
    <w:rsid w:val="001A019F"/>
    <w:rsid w:val="001A0221"/>
    <w:rsid w:val="001A11F0"/>
    <w:rsid w:val="001A120E"/>
    <w:rsid w:val="001A2E3D"/>
    <w:rsid w:val="001A3273"/>
    <w:rsid w:val="001A6A2F"/>
    <w:rsid w:val="001A6DF5"/>
    <w:rsid w:val="001B1C99"/>
    <w:rsid w:val="001B346D"/>
    <w:rsid w:val="001B3E75"/>
    <w:rsid w:val="001C1289"/>
    <w:rsid w:val="001C55C5"/>
    <w:rsid w:val="001C7178"/>
    <w:rsid w:val="001D20E4"/>
    <w:rsid w:val="001D2A6A"/>
    <w:rsid w:val="001D4154"/>
    <w:rsid w:val="001D479E"/>
    <w:rsid w:val="001D5368"/>
    <w:rsid w:val="001D7D64"/>
    <w:rsid w:val="001E03B8"/>
    <w:rsid w:val="001E0DC8"/>
    <w:rsid w:val="001E2773"/>
    <w:rsid w:val="001E2DA5"/>
    <w:rsid w:val="001E3292"/>
    <w:rsid w:val="001E381D"/>
    <w:rsid w:val="001E48BA"/>
    <w:rsid w:val="001E7CAE"/>
    <w:rsid w:val="001F085D"/>
    <w:rsid w:val="001F281F"/>
    <w:rsid w:val="001F2D38"/>
    <w:rsid w:val="001F5E0B"/>
    <w:rsid w:val="002101DF"/>
    <w:rsid w:val="002117F3"/>
    <w:rsid w:val="0022097F"/>
    <w:rsid w:val="00220B9F"/>
    <w:rsid w:val="00220EDE"/>
    <w:rsid w:val="00221359"/>
    <w:rsid w:val="002220C6"/>
    <w:rsid w:val="0022219F"/>
    <w:rsid w:val="002231FC"/>
    <w:rsid w:val="00223323"/>
    <w:rsid w:val="00223363"/>
    <w:rsid w:val="002243D8"/>
    <w:rsid w:val="00226B47"/>
    <w:rsid w:val="00227850"/>
    <w:rsid w:val="002339E6"/>
    <w:rsid w:val="0023561E"/>
    <w:rsid w:val="00235C0A"/>
    <w:rsid w:val="00240251"/>
    <w:rsid w:val="00240FF4"/>
    <w:rsid w:val="00242D6C"/>
    <w:rsid w:val="002438FB"/>
    <w:rsid w:val="00244B41"/>
    <w:rsid w:val="00251FF5"/>
    <w:rsid w:val="00253558"/>
    <w:rsid w:val="00255507"/>
    <w:rsid w:val="0025561D"/>
    <w:rsid w:val="00255FC5"/>
    <w:rsid w:val="00260ADF"/>
    <w:rsid w:val="00262314"/>
    <w:rsid w:val="00263286"/>
    <w:rsid w:val="00265D8F"/>
    <w:rsid w:val="00266F1F"/>
    <w:rsid w:val="002676AF"/>
    <w:rsid w:val="002705B8"/>
    <w:rsid w:val="00272FE2"/>
    <w:rsid w:val="00273662"/>
    <w:rsid w:val="0027445D"/>
    <w:rsid w:val="0027486B"/>
    <w:rsid w:val="002753FB"/>
    <w:rsid w:val="002760A8"/>
    <w:rsid w:val="00281776"/>
    <w:rsid w:val="00281B63"/>
    <w:rsid w:val="00281DF1"/>
    <w:rsid w:val="002833AF"/>
    <w:rsid w:val="0028569F"/>
    <w:rsid w:val="0028651C"/>
    <w:rsid w:val="0028763E"/>
    <w:rsid w:val="002876F6"/>
    <w:rsid w:val="00290415"/>
    <w:rsid w:val="00290D29"/>
    <w:rsid w:val="002933E3"/>
    <w:rsid w:val="002937EA"/>
    <w:rsid w:val="00295408"/>
    <w:rsid w:val="002A1B69"/>
    <w:rsid w:val="002A35D6"/>
    <w:rsid w:val="002A5561"/>
    <w:rsid w:val="002A7750"/>
    <w:rsid w:val="002B188C"/>
    <w:rsid w:val="002B384E"/>
    <w:rsid w:val="002B3B3F"/>
    <w:rsid w:val="002B40DA"/>
    <w:rsid w:val="002B471A"/>
    <w:rsid w:val="002B4A52"/>
    <w:rsid w:val="002B58B5"/>
    <w:rsid w:val="002D0913"/>
    <w:rsid w:val="002D2507"/>
    <w:rsid w:val="002D2ED7"/>
    <w:rsid w:val="002D566D"/>
    <w:rsid w:val="002D6AC7"/>
    <w:rsid w:val="002D6DF0"/>
    <w:rsid w:val="002E053D"/>
    <w:rsid w:val="002E08F7"/>
    <w:rsid w:val="002E1E39"/>
    <w:rsid w:val="002E3AE6"/>
    <w:rsid w:val="002E3C0A"/>
    <w:rsid w:val="002E6BD4"/>
    <w:rsid w:val="002E7306"/>
    <w:rsid w:val="002F024F"/>
    <w:rsid w:val="002F068C"/>
    <w:rsid w:val="002F08E5"/>
    <w:rsid w:val="002F09FB"/>
    <w:rsid w:val="002F0A67"/>
    <w:rsid w:val="002F2DA6"/>
    <w:rsid w:val="002F5221"/>
    <w:rsid w:val="002F5BEE"/>
    <w:rsid w:val="00300E5E"/>
    <w:rsid w:val="00301F7E"/>
    <w:rsid w:val="003022DE"/>
    <w:rsid w:val="003026FF"/>
    <w:rsid w:val="003030DC"/>
    <w:rsid w:val="00310ED7"/>
    <w:rsid w:val="00310EE7"/>
    <w:rsid w:val="003138B7"/>
    <w:rsid w:val="00314BB9"/>
    <w:rsid w:val="00315B7A"/>
    <w:rsid w:val="00315F5F"/>
    <w:rsid w:val="003163DD"/>
    <w:rsid w:val="00317747"/>
    <w:rsid w:val="00320F9A"/>
    <w:rsid w:val="00321B02"/>
    <w:rsid w:val="003231D8"/>
    <w:rsid w:val="00326603"/>
    <w:rsid w:val="00326969"/>
    <w:rsid w:val="003308C8"/>
    <w:rsid w:val="00330DEA"/>
    <w:rsid w:val="003347B9"/>
    <w:rsid w:val="00340A9D"/>
    <w:rsid w:val="00341A45"/>
    <w:rsid w:val="0034212D"/>
    <w:rsid w:val="00343AE5"/>
    <w:rsid w:val="00344AF9"/>
    <w:rsid w:val="0034586D"/>
    <w:rsid w:val="003469AA"/>
    <w:rsid w:val="00347186"/>
    <w:rsid w:val="003479C9"/>
    <w:rsid w:val="00351007"/>
    <w:rsid w:val="00355FB5"/>
    <w:rsid w:val="00356912"/>
    <w:rsid w:val="003600CC"/>
    <w:rsid w:val="003613CC"/>
    <w:rsid w:val="00363833"/>
    <w:rsid w:val="00363AEB"/>
    <w:rsid w:val="00373185"/>
    <w:rsid w:val="00373864"/>
    <w:rsid w:val="00374372"/>
    <w:rsid w:val="00375A02"/>
    <w:rsid w:val="00381E63"/>
    <w:rsid w:val="0038332F"/>
    <w:rsid w:val="003854BA"/>
    <w:rsid w:val="003858A3"/>
    <w:rsid w:val="00386059"/>
    <w:rsid w:val="00394267"/>
    <w:rsid w:val="00395CAB"/>
    <w:rsid w:val="00395EA1"/>
    <w:rsid w:val="003960CD"/>
    <w:rsid w:val="0039699D"/>
    <w:rsid w:val="003A14CF"/>
    <w:rsid w:val="003A17C3"/>
    <w:rsid w:val="003A3556"/>
    <w:rsid w:val="003A67E4"/>
    <w:rsid w:val="003A74BC"/>
    <w:rsid w:val="003B5511"/>
    <w:rsid w:val="003C5606"/>
    <w:rsid w:val="003C572E"/>
    <w:rsid w:val="003C7017"/>
    <w:rsid w:val="003D06B2"/>
    <w:rsid w:val="003D1FD0"/>
    <w:rsid w:val="003D69C2"/>
    <w:rsid w:val="003D7868"/>
    <w:rsid w:val="003D786C"/>
    <w:rsid w:val="003E110F"/>
    <w:rsid w:val="003E17B4"/>
    <w:rsid w:val="003E5EE9"/>
    <w:rsid w:val="003E6551"/>
    <w:rsid w:val="003F1019"/>
    <w:rsid w:val="003F17D7"/>
    <w:rsid w:val="003F19D3"/>
    <w:rsid w:val="003F1D6F"/>
    <w:rsid w:val="003F2357"/>
    <w:rsid w:val="003F4369"/>
    <w:rsid w:val="0040081D"/>
    <w:rsid w:val="004009B0"/>
    <w:rsid w:val="004017AE"/>
    <w:rsid w:val="00401FC5"/>
    <w:rsid w:val="00402006"/>
    <w:rsid w:val="00403097"/>
    <w:rsid w:val="00404A7D"/>
    <w:rsid w:val="0040537B"/>
    <w:rsid w:val="00406E3B"/>
    <w:rsid w:val="004076C8"/>
    <w:rsid w:val="00410B19"/>
    <w:rsid w:val="00410FC2"/>
    <w:rsid w:val="00411B6F"/>
    <w:rsid w:val="00412361"/>
    <w:rsid w:val="00413614"/>
    <w:rsid w:val="00414012"/>
    <w:rsid w:val="00414617"/>
    <w:rsid w:val="00414C08"/>
    <w:rsid w:val="00415043"/>
    <w:rsid w:val="004170F3"/>
    <w:rsid w:val="00417A3F"/>
    <w:rsid w:val="00420037"/>
    <w:rsid w:val="00421C37"/>
    <w:rsid w:val="00422D99"/>
    <w:rsid w:val="0042510F"/>
    <w:rsid w:val="004255B6"/>
    <w:rsid w:val="00426F0B"/>
    <w:rsid w:val="00430737"/>
    <w:rsid w:val="004322CE"/>
    <w:rsid w:val="0043496C"/>
    <w:rsid w:val="004363EE"/>
    <w:rsid w:val="00440661"/>
    <w:rsid w:val="004424CA"/>
    <w:rsid w:val="004455E2"/>
    <w:rsid w:val="004462D3"/>
    <w:rsid w:val="0044768C"/>
    <w:rsid w:val="00450320"/>
    <w:rsid w:val="004516F4"/>
    <w:rsid w:val="00451CE6"/>
    <w:rsid w:val="00451F65"/>
    <w:rsid w:val="00454291"/>
    <w:rsid w:val="00455199"/>
    <w:rsid w:val="00457858"/>
    <w:rsid w:val="0046361F"/>
    <w:rsid w:val="004640D4"/>
    <w:rsid w:val="00466C2D"/>
    <w:rsid w:val="00466D73"/>
    <w:rsid w:val="00467DB9"/>
    <w:rsid w:val="00472FD3"/>
    <w:rsid w:val="004733DC"/>
    <w:rsid w:val="00475A57"/>
    <w:rsid w:val="0047792E"/>
    <w:rsid w:val="004829B4"/>
    <w:rsid w:val="00483CB9"/>
    <w:rsid w:val="0048486E"/>
    <w:rsid w:val="004859E8"/>
    <w:rsid w:val="00486762"/>
    <w:rsid w:val="00487301"/>
    <w:rsid w:val="00487AFA"/>
    <w:rsid w:val="00492C02"/>
    <w:rsid w:val="00494B29"/>
    <w:rsid w:val="00496B28"/>
    <w:rsid w:val="004A44AD"/>
    <w:rsid w:val="004A4981"/>
    <w:rsid w:val="004A5A85"/>
    <w:rsid w:val="004A5E5B"/>
    <w:rsid w:val="004A6D20"/>
    <w:rsid w:val="004B248D"/>
    <w:rsid w:val="004B2DFE"/>
    <w:rsid w:val="004B4117"/>
    <w:rsid w:val="004B6358"/>
    <w:rsid w:val="004C074D"/>
    <w:rsid w:val="004C1F88"/>
    <w:rsid w:val="004C22DA"/>
    <w:rsid w:val="004C2E23"/>
    <w:rsid w:val="004C2FB0"/>
    <w:rsid w:val="004C5E9E"/>
    <w:rsid w:val="004C67B2"/>
    <w:rsid w:val="004C695A"/>
    <w:rsid w:val="004D317E"/>
    <w:rsid w:val="004D4255"/>
    <w:rsid w:val="004D6369"/>
    <w:rsid w:val="004E1874"/>
    <w:rsid w:val="004E224F"/>
    <w:rsid w:val="004E370A"/>
    <w:rsid w:val="004E3773"/>
    <w:rsid w:val="004E4182"/>
    <w:rsid w:val="004E44C7"/>
    <w:rsid w:val="004E52C0"/>
    <w:rsid w:val="004E648B"/>
    <w:rsid w:val="004E721C"/>
    <w:rsid w:val="004F1CEF"/>
    <w:rsid w:val="004F4937"/>
    <w:rsid w:val="00501D4A"/>
    <w:rsid w:val="00502C32"/>
    <w:rsid w:val="00502CC9"/>
    <w:rsid w:val="0050333A"/>
    <w:rsid w:val="005033E4"/>
    <w:rsid w:val="0050525F"/>
    <w:rsid w:val="005058B5"/>
    <w:rsid w:val="00506CA4"/>
    <w:rsid w:val="00507BD0"/>
    <w:rsid w:val="00512221"/>
    <w:rsid w:val="005129CF"/>
    <w:rsid w:val="00513D09"/>
    <w:rsid w:val="0051456B"/>
    <w:rsid w:val="0051514E"/>
    <w:rsid w:val="00515C35"/>
    <w:rsid w:val="00520971"/>
    <w:rsid w:val="005226CD"/>
    <w:rsid w:val="00522A5E"/>
    <w:rsid w:val="0052331F"/>
    <w:rsid w:val="00527799"/>
    <w:rsid w:val="005300CC"/>
    <w:rsid w:val="005328B8"/>
    <w:rsid w:val="00534685"/>
    <w:rsid w:val="0053596F"/>
    <w:rsid w:val="005359DD"/>
    <w:rsid w:val="005364B3"/>
    <w:rsid w:val="005412B6"/>
    <w:rsid w:val="005474A7"/>
    <w:rsid w:val="005474F0"/>
    <w:rsid w:val="00551513"/>
    <w:rsid w:val="00552ECB"/>
    <w:rsid w:val="005531F8"/>
    <w:rsid w:val="0055538F"/>
    <w:rsid w:val="005553FF"/>
    <w:rsid w:val="00555E57"/>
    <w:rsid w:val="00556A23"/>
    <w:rsid w:val="005643D4"/>
    <w:rsid w:val="00566A0F"/>
    <w:rsid w:val="005673E3"/>
    <w:rsid w:val="00570F82"/>
    <w:rsid w:val="00571B64"/>
    <w:rsid w:val="00572541"/>
    <w:rsid w:val="005728DF"/>
    <w:rsid w:val="00575E3D"/>
    <w:rsid w:val="00577753"/>
    <w:rsid w:val="005777BB"/>
    <w:rsid w:val="005802AD"/>
    <w:rsid w:val="005807AA"/>
    <w:rsid w:val="00590500"/>
    <w:rsid w:val="005928BA"/>
    <w:rsid w:val="00592958"/>
    <w:rsid w:val="00594352"/>
    <w:rsid w:val="005A096D"/>
    <w:rsid w:val="005A2869"/>
    <w:rsid w:val="005A469E"/>
    <w:rsid w:val="005A6375"/>
    <w:rsid w:val="005A7038"/>
    <w:rsid w:val="005A7F23"/>
    <w:rsid w:val="005B057F"/>
    <w:rsid w:val="005B271D"/>
    <w:rsid w:val="005B42AF"/>
    <w:rsid w:val="005B438F"/>
    <w:rsid w:val="005B6F37"/>
    <w:rsid w:val="005C0156"/>
    <w:rsid w:val="005C0B31"/>
    <w:rsid w:val="005C2A75"/>
    <w:rsid w:val="005C40CF"/>
    <w:rsid w:val="005C641A"/>
    <w:rsid w:val="005C6BA4"/>
    <w:rsid w:val="005C7510"/>
    <w:rsid w:val="005C777C"/>
    <w:rsid w:val="005C78BF"/>
    <w:rsid w:val="005D057E"/>
    <w:rsid w:val="005D1855"/>
    <w:rsid w:val="005D3FDC"/>
    <w:rsid w:val="005D69F8"/>
    <w:rsid w:val="005E0333"/>
    <w:rsid w:val="005E6F65"/>
    <w:rsid w:val="005E7068"/>
    <w:rsid w:val="005F0D1B"/>
    <w:rsid w:val="005F1365"/>
    <w:rsid w:val="005F15C3"/>
    <w:rsid w:val="005F3DFB"/>
    <w:rsid w:val="005F3EE0"/>
    <w:rsid w:val="005F508F"/>
    <w:rsid w:val="005F573F"/>
    <w:rsid w:val="005F5A27"/>
    <w:rsid w:val="005F7AD1"/>
    <w:rsid w:val="00600165"/>
    <w:rsid w:val="0060697A"/>
    <w:rsid w:val="00613BC1"/>
    <w:rsid w:val="006148D6"/>
    <w:rsid w:val="00614BDB"/>
    <w:rsid w:val="00614C84"/>
    <w:rsid w:val="00615D4B"/>
    <w:rsid w:val="00616B57"/>
    <w:rsid w:val="006171EC"/>
    <w:rsid w:val="00617C82"/>
    <w:rsid w:val="0062054D"/>
    <w:rsid w:val="00621001"/>
    <w:rsid w:val="006210EB"/>
    <w:rsid w:val="00621858"/>
    <w:rsid w:val="0062375B"/>
    <w:rsid w:val="00624D47"/>
    <w:rsid w:val="00631081"/>
    <w:rsid w:val="006327CF"/>
    <w:rsid w:val="00632D5C"/>
    <w:rsid w:val="00635744"/>
    <w:rsid w:val="0063695C"/>
    <w:rsid w:val="00637721"/>
    <w:rsid w:val="00637AC6"/>
    <w:rsid w:val="00637E80"/>
    <w:rsid w:val="0064331E"/>
    <w:rsid w:val="006446AF"/>
    <w:rsid w:val="0064483D"/>
    <w:rsid w:val="00644DEA"/>
    <w:rsid w:val="00647056"/>
    <w:rsid w:val="00651ADD"/>
    <w:rsid w:val="00656C6C"/>
    <w:rsid w:val="00657E0D"/>
    <w:rsid w:val="00660CB3"/>
    <w:rsid w:val="006612FE"/>
    <w:rsid w:val="00665EE0"/>
    <w:rsid w:val="0066610E"/>
    <w:rsid w:val="00666437"/>
    <w:rsid w:val="00666632"/>
    <w:rsid w:val="00670E63"/>
    <w:rsid w:val="00674A0F"/>
    <w:rsid w:val="0068007C"/>
    <w:rsid w:val="00682223"/>
    <w:rsid w:val="00682A41"/>
    <w:rsid w:val="0068507D"/>
    <w:rsid w:val="00685CE1"/>
    <w:rsid w:val="006865CC"/>
    <w:rsid w:val="006905EE"/>
    <w:rsid w:val="006914AD"/>
    <w:rsid w:val="00691C57"/>
    <w:rsid w:val="00691EA3"/>
    <w:rsid w:val="00694407"/>
    <w:rsid w:val="00695649"/>
    <w:rsid w:val="00696FA7"/>
    <w:rsid w:val="006A0188"/>
    <w:rsid w:val="006A1627"/>
    <w:rsid w:val="006A19A9"/>
    <w:rsid w:val="006A23BA"/>
    <w:rsid w:val="006A3045"/>
    <w:rsid w:val="006A57DD"/>
    <w:rsid w:val="006A6F08"/>
    <w:rsid w:val="006B1CE5"/>
    <w:rsid w:val="006B2560"/>
    <w:rsid w:val="006B2A78"/>
    <w:rsid w:val="006B4146"/>
    <w:rsid w:val="006B568E"/>
    <w:rsid w:val="006B67C4"/>
    <w:rsid w:val="006C45B7"/>
    <w:rsid w:val="006C610C"/>
    <w:rsid w:val="006D2265"/>
    <w:rsid w:val="006D2A5C"/>
    <w:rsid w:val="006D2CE1"/>
    <w:rsid w:val="006D4CD1"/>
    <w:rsid w:val="006E1792"/>
    <w:rsid w:val="006E230A"/>
    <w:rsid w:val="006E5495"/>
    <w:rsid w:val="006E62F4"/>
    <w:rsid w:val="006F0351"/>
    <w:rsid w:val="006F230A"/>
    <w:rsid w:val="006F2BFD"/>
    <w:rsid w:val="006F331A"/>
    <w:rsid w:val="006F43B8"/>
    <w:rsid w:val="006F66B8"/>
    <w:rsid w:val="006F6BA5"/>
    <w:rsid w:val="006F6BDE"/>
    <w:rsid w:val="006F73A8"/>
    <w:rsid w:val="006F75A8"/>
    <w:rsid w:val="00700460"/>
    <w:rsid w:val="007041CC"/>
    <w:rsid w:val="0070518F"/>
    <w:rsid w:val="00705232"/>
    <w:rsid w:val="00713038"/>
    <w:rsid w:val="00720601"/>
    <w:rsid w:val="00721B77"/>
    <w:rsid w:val="007273EE"/>
    <w:rsid w:val="00731403"/>
    <w:rsid w:val="00734549"/>
    <w:rsid w:val="00734709"/>
    <w:rsid w:val="00737986"/>
    <w:rsid w:val="00745C7B"/>
    <w:rsid w:val="00746BF5"/>
    <w:rsid w:val="0075281C"/>
    <w:rsid w:val="007535B3"/>
    <w:rsid w:val="00754346"/>
    <w:rsid w:val="00755126"/>
    <w:rsid w:val="00755290"/>
    <w:rsid w:val="00757B96"/>
    <w:rsid w:val="00760637"/>
    <w:rsid w:val="00766210"/>
    <w:rsid w:val="00767525"/>
    <w:rsid w:val="00770EED"/>
    <w:rsid w:val="00771656"/>
    <w:rsid w:val="00773299"/>
    <w:rsid w:val="00773A38"/>
    <w:rsid w:val="00776181"/>
    <w:rsid w:val="00777A28"/>
    <w:rsid w:val="0078054C"/>
    <w:rsid w:val="00785926"/>
    <w:rsid w:val="00786E84"/>
    <w:rsid w:val="007911A8"/>
    <w:rsid w:val="007936D0"/>
    <w:rsid w:val="00794477"/>
    <w:rsid w:val="0079785E"/>
    <w:rsid w:val="007A0CA6"/>
    <w:rsid w:val="007A1167"/>
    <w:rsid w:val="007A2130"/>
    <w:rsid w:val="007A2CF2"/>
    <w:rsid w:val="007A2E10"/>
    <w:rsid w:val="007A3012"/>
    <w:rsid w:val="007A5C54"/>
    <w:rsid w:val="007A6A83"/>
    <w:rsid w:val="007B530F"/>
    <w:rsid w:val="007B57BD"/>
    <w:rsid w:val="007B6697"/>
    <w:rsid w:val="007B7A66"/>
    <w:rsid w:val="007C0136"/>
    <w:rsid w:val="007C179D"/>
    <w:rsid w:val="007C3CF2"/>
    <w:rsid w:val="007C42A9"/>
    <w:rsid w:val="007C5533"/>
    <w:rsid w:val="007C5AFF"/>
    <w:rsid w:val="007D361D"/>
    <w:rsid w:val="007E19F7"/>
    <w:rsid w:val="007E21BB"/>
    <w:rsid w:val="007E522E"/>
    <w:rsid w:val="007E700F"/>
    <w:rsid w:val="007F0D9C"/>
    <w:rsid w:val="007F0FD8"/>
    <w:rsid w:val="007F2A36"/>
    <w:rsid w:val="007F5863"/>
    <w:rsid w:val="007F711E"/>
    <w:rsid w:val="007F7A04"/>
    <w:rsid w:val="00802006"/>
    <w:rsid w:val="00806F40"/>
    <w:rsid w:val="00806F69"/>
    <w:rsid w:val="00811ACD"/>
    <w:rsid w:val="0081340D"/>
    <w:rsid w:val="008139B6"/>
    <w:rsid w:val="00813E83"/>
    <w:rsid w:val="00815AE4"/>
    <w:rsid w:val="00815BEB"/>
    <w:rsid w:val="0082133D"/>
    <w:rsid w:val="00822689"/>
    <w:rsid w:val="00825466"/>
    <w:rsid w:val="008325C0"/>
    <w:rsid w:val="00832B78"/>
    <w:rsid w:val="00833DC8"/>
    <w:rsid w:val="008360FC"/>
    <w:rsid w:val="00836AB0"/>
    <w:rsid w:val="00841761"/>
    <w:rsid w:val="0084351A"/>
    <w:rsid w:val="00845215"/>
    <w:rsid w:val="00845B0F"/>
    <w:rsid w:val="008512E4"/>
    <w:rsid w:val="00860A68"/>
    <w:rsid w:val="00860D3A"/>
    <w:rsid w:val="00861DAF"/>
    <w:rsid w:val="00863BE6"/>
    <w:rsid w:val="0086565E"/>
    <w:rsid w:val="00865920"/>
    <w:rsid w:val="00866B64"/>
    <w:rsid w:val="0086778F"/>
    <w:rsid w:val="00870F22"/>
    <w:rsid w:val="008738E7"/>
    <w:rsid w:val="00873E4F"/>
    <w:rsid w:val="00874487"/>
    <w:rsid w:val="00875E2C"/>
    <w:rsid w:val="00880D67"/>
    <w:rsid w:val="0088326C"/>
    <w:rsid w:val="00883CBF"/>
    <w:rsid w:val="00884E41"/>
    <w:rsid w:val="0088521B"/>
    <w:rsid w:val="0088536E"/>
    <w:rsid w:val="00886CFB"/>
    <w:rsid w:val="00890F8F"/>
    <w:rsid w:val="00891315"/>
    <w:rsid w:val="00891F92"/>
    <w:rsid w:val="00893EE3"/>
    <w:rsid w:val="00894079"/>
    <w:rsid w:val="008948A9"/>
    <w:rsid w:val="00897058"/>
    <w:rsid w:val="008A04A6"/>
    <w:rsid w:val="008A17F0"/>
    <w:rsid w:val="008A1A4C"/>
    <w:rsid w:val="008A2135"/>
    <w:rsid w:val="008A697F"/>
    <w:rsid w:val="008A7916"/>
    <w:rsid w:val="008A798A"/>
    <w:rsid w:val="008A7E55"/>
    <w:rsid w:val="008B0259"/>
    <w:rsid w:val="008B3310"/>
    <w:rsid w:val="008B364F"/>
    <w:rsid w:val="008B45D8"/>
    <w:rsid w:val="008C0CCF"/>
    <w:rsid w:val="008C0DC5"/>
    <w:rsid w:val="008C1D58"/>
    <w:rsid w:val="008C351B"/>
    <w:rsid w:val="008C3625"/>
    <w:rsid w:val="008C503E"/>
    <w:rsid w:val="008C5201"/>
    <w:rsid w:val="008C7CD5"/>
    <w:rsid w:val="008D24A5"/>
    <w:rsid w:val="008D398A"/>
    <w:rsid w:val="008D6B82"/>
    <w:rsid w:val="008E0132"/>
    <w:rsid w:val="008E23C9"/>
    <w:rsid w:val="008E44F9"/>
    <w:rsid w:val="008E6DCB"/>
    <w:rsid w:val="008F0765"/>
    <w:rsid w:val="008F0AE3"/>
    <w:rsid w:val="008F1F09"/>
    <w:rsid w:val="008F743D"/>
    <w:rsid w:val="009015BE"/>
    <w:rsid w:val="009024DB"/>
    <w:rsid w:val="00902717"/>
    <w:rsid w:val="00905058"/>
    <w:rsid w:val="00906384"/>
    <w:rsid w:val="00912FA6"/>
    <w:rsid w:val="00915FF0"/>
    <w:rsid w:val="0091627B"/>
    <w:rsid w:val="00916B83"/>
    <w:rsid w:val="00916F99"/>
    <w:rsid w:val="00917357"/>
    <w:rsid w:val="00920D39"/>
    <w:rsid w:val="00921941"/>
    <w:rsid w:val="00924264"/>
    <w:rsid w:val="009258B3"/>
    <w:rsid w:val="00931149"/>
    <w:rsid w:val="00932C73"/>
    <w:rsid w:val="00934A0F"/>
    <w:rsid w:val="00935087"/>
    <w:rsid w:val="00937378"/>
    <w:rsid w:val="00940C41"/>
    <w:rsid w:val="00943292"/>
    <w:rsid w:val="00943B41"/>
    <w:rsid w:val="0094408A"/>
    <w:rsid w:val="00945E16"/>
    <w:rsid w:val="009501EC"/>
    <w:rsid w:val="00950B51"/>
    <w:rsid w:val="00950C46"/>
    <w:rsid w:val="00951F2E"/>
    <w:rsid w:val="00951F9F"/>
    <w:rsid w:val="009527AF"/>
    <w:rsid w:val="00952D6B"/>
    <w:rsid w:val="00954529"/>
    <w:rsid w:val="00955866"/>
    <w:rsid w:val="00955F08"/>
    <w:rsid w:val="009576E0"/>
    <w:rsid w:val="00961068"/>
    <w:rsid w:val="009634B6"/>
    <w:rsid w:val="00965C76"/>
    <w:rsid w:val="00966560"/>
    <w:rsid w:val="00974C1E"/>
    <w:rsid w:val="0097512D"/>
    <w:rsid w:val="009756BA"/>
    <w:rsid w:val="009761E6"/>
    <w:rsid w:val="0097694B"/>
    <w:rsid w:val="00981513"/>
    <w:rsid w:val="00982EF5"/>
    <w:rsid w:val="00985958"/>
    <w:rsid w:val="00985C74"/>
    <w:rsid w:val="0099151F"/>
    <w:rsid w:val="00991A4C"/>
    <w:rsid w:val="009969A9"/>
    <w:rsid w:val="009A3030"/>
    <w:rsid w:val="009A53D9"/>
    <w:rsid w:val="009A6957"/>
    <w:rsid w:val="009A70AD"/>
    <w:rsid w:val="009A759C"/>
    <w:rsid w:val="009B06F5"/>
    <w:rsid w:val="009B26B9"/>
    <w:rsid w:val="009C1AC6"/>
    <w:rsid w:val="009C29F0"/>
    <w:rsid w:val="009C4DB8"/>
    <w:rsid w:val="009C6C0A"/>
    <w:rsid w:val="009C7F86"/>
    <w:rsid w:val="009E0703"/>
    <w:rsid w:val="009E3FE9"/>
    <w:rsid w:val="009E446A"/>
    <w:rsid w:val="009F0D4C"/>
    <w:rsid w:val="009F0F7D"/>
    <w:rsid w:val="009F1B11"/>
    <w:rsid w:val="009F3EB4"/>
    <w:rsid w:val="00A02A57"/>
    <w:rsid w:val="00A067A2"/>
    <w:rsid w:val="00A10372"/>
    <w:rsid w:val="00A118D2"/>
    <w:rsid w:val="00A12693"/>
    <w:rsid w:val="00A16FCA"/>
    <w:rsid w:val="00A174AF"/>
    <w:rsid w:val="00A20758"/>
    <w:rsid w:val="00A209F5"/>
    <w:rsid w:val="00A2489A"/>
    <w:rsid w:val="00A25DDF"/>
    <w:rsid w:val="00A26687"/>
    <w:rsid w:val="00A331A0"/>
    <w:rsid w:val="00A42E2B"/>
    <w:rsid w:val="00A43076"/>
    <w:rsid w:val="00A431A6"/>
    <w:rsid w:val="00A43992"/>
    <w:rsid w:val="00A450C3"/>
    <w:rsid w:val="00A465FD"/>
    <w:rsid w:val="00A46FE5"/>
    <w:rsid w:val="00A51DE4"/>
    <w:rsid w:val="00A55117"/>
    <w:rsid w:val="00A60AC0"/>
    <w:rsid w:val="00A610DC"/>
    <w:rsid w:val="00A626D6"/>
    <w:rsid w:val="00A62AD3"/>
    <w:rsid w:val="00A62E56"/>
    <w:rsid w:val="00A6301F"/>
    <w:rsid w:val="00A6602B"/>
    <w:rsid w:val="00A7028B"/>
    <w:rsid w:val="00A71B8B"/>
    <w:rsid w:val="00A737B9"/>
    <w:rsid w:val="00A75388"/>
    <w:rsid w:val="00A76FF9"/>
    <w:rsid w:val="00A820DA"/>
    <w:rsid w:val="00A83E6C"/>
    <w:rsid w:val="00A841E3"/>
    <w:rsid w:val="00A8474B"/>
    <w:rsid w:val="00A85E16"/>
    <w:rsid w:val="00A87B16"/>
    <w:rsid w:val="00A90357"/>
    <w:rsid w:val="00A90C46"/>
    <w:rsid w:val="00A910B8"/>
    <w:rsid w:val="00A92DDE"/>
    <w:rsid w:val="00A93563"/>
    <w:rsid w:val="00A9385B"/>
    <w:rsid w:val="00A93B16"/>
    <w:rsid w:val="00A94F87"/>
    <w:rsid w:val="00AA079E"/>
    <w:rsid w:val="00AA0C3B"/>
    <w:rsid w:val="00AA1D0A"/>
    <w:rsid w:val="00AA3549"/>
    <w:rsid w:val="00AB0238"/>
    <w:rsid w:val="00AB0921"/>
    <w:rsid w:val="00AB3619"/>
    <w:rsid w:val="00AB3F57"/>
    <w:rsid w:val="00AB5F7B"/>
    <w:rsid w:val="00AB6202"/>
    <w:rsid w:val="00AB694E"/>
    <w:rsid w:val="00AB7FCF"/>
    <w:rsid w:val="00AD09BF"/>
    <w:rsid w:val="00AD6421"/>
    <w:rsid w:val="00AD68B3"/>
    <w:rsid w:val="00AD6D5B"/>
    <w:rsid w:val="00AE09FA"/>
    <w:rsid w:val="00AE14D0"/>
    <w:rsid w:val="00AE1FA0"/>
    <w:rsid w:val="00AE44D2"/>
    <w:rsid w:val="00AF3A8B"/>
    <w:rsid w:val="00AF70D7"/>
    <w:rsid w:val="00B021D9"/>
    <w:rsid w:val="00B041C2"/>
    <w:rsid w:val="00B060C8"/>
    <w:rsid w:val="00B06375"/>
    <w:rsid w:val="00B068B9"/>
    <w:rsid w:val="00B07FEC"/>
    <w:rsid w:val="00B11230"/>
    <w:rsid w:val="00B140B2"/>
    <w:rsid w:val="00B16641"/>
    <w:rsid w:val="00B208CD"/>
    <w:rsid w:val="00B233E6"/>
    <w:rsid w:val="00B23BF0"/>
    <w:rsid w:val="00B24D27"/>
    <w:rsid w:val="00B26751"/>
    <w:rsid w:val="00B36E9D"/>
    <w:rsid w:val="00B371FB"/>
    <w:rsid w:val="00B37CFF"/>
    <w:rsid w:val="00B410BB"/>
    <w:rsid w:val="00B46708"/>
    <w:rsid w:val="00B47045"/>
    <w:rsid w:val="00B5081E"/>
    <w:rsid w:val="00B50A6F"/>
    <w:rsid w:val="00B5113E"/>
    <w:rsid w:val="00B51B22"/>
    <w:rsid w:val="00B52837"/>
    <w:rsid w:val="00B52870"/>
    <w:rsid w:val="00B538CA"/>
    <w:rsid w:val="00B53E80"/>
    <w:rsid w:val="00B57BA9"/>
    <w:rsid w:val="00B61AE0"/>
    <w:rsid w:val="00B61F4E"/>
    <w:rsid w:val="00B63D63"/>
    <w:rsid w:val="00B63EFA"/>
    <w:rsid w:val="00B706F0"/>
    <w:rsid w:val="00B756C8"/>
    <w:rsid w:val="00B762BF"/>
    <w:rsid w:val="00B82C3E"/>
    <w:rsid w:val="00B83560"/>
    <w:rsid w:val="00B8358C"/>
    <w:rsid w:val="00B8573D"/>
    <w:rsid w:val="00B85D1A"/>
    <w:rsid w:val="00B862DF"/>
    <w:rsid w:val="00B8654F"/>
    <w:rsid w:val="00B87D3A"/>
    <w:rsid w:val="00B916E1"/>
    <w:rsid w:val="00B946E9"/>
    <w:rsid w:val="00B9674B"/>
    <w:rsid w:val="00B974F4"/>
    <w:rsid w:val="00BA10D1"/>
    <w:rsid w:val="00BA4171"/>
    <w:rsid w:val="00BA4351"/>
    <w:rsid w:val="00BA6C70"/>
    <w:rsid w:val="00BB3459"/>
    <w:rsid w:val="00BB4CB6"/>
    <w:rsid w:val="00BB5100"/>
    <w:rsid w:val="00BB55EE"/>
    <w:rsid w:val="00BC23C8"/>
    <w:rsid w:val="00BC36FC"/>
    <w:rsid w:val="00BC4018"/>
    <w:rsid w:val="00BC52A9"/>
    <w:rsid w:val="00BD5C4D"/>
    <w:rsid w:val="00BD7427"/>
    <w:rsid w:val="00BE0177"/>
    <w:rsid w:val="00BE107B"/>
    <w:rsid w:val="00BE1208"/>
    <w:rsid w:val="00BE3C30"/>
    <w:rsid w:val="00BE5AF2"/>
    <w:rsid w:val="00BE6ABE"/>
    <w:rsid w:val="00BF1A22"/>
    <w:rsid w:val="00BF1A90"/>
    <w:rsid w:val="00BF474A"/>
    <w:rsid w:val="00BF4C4B"/>
    <w:rsid w:val="00BF4D2A"/>
    <w:rsid w:val="00BF5B42"/>
    <w:rsid w:val="00BF6844"/>
    <w:rsid w:val="00BF749B"/>
    <w:rsid w:val="00C00036"/>
    <w:rsid w:val="00C06087"/>
    <w:rsid w:val="00C0656A"/>
    <w:rsid w:val="00C13051"/>
    <w:rsid w:val="00C1467D"/>
    <w:rsid w:val="00C14EBF"/>
    <w:rsid w:val="00C15135"/>
    <w:rsid w:val="00C173AE"/>
    <w:rsid w:val="00C25CE6"/>
    <w:rsid w:val="00C2641A"/>
    <w:rsid w:val="00C31A8F"/>
    <w:rsid w:val="00C3476F"/>
    <w:rsid w:val="00C37126"/>
    <w:rsid w:val="00C4263E"/>
    <w:rsid w:val="00C429C5"/>
    <w:rsid w:val="00C439FC"/>
    <w:rsid w:val="00C465AB"/>
    <w:rsid w:val="00C46B59"/>
    <w:rsid w:val="00C4723E"/>
    <w:rsid w:val="00C475BD"/>
    <w:rsid w:val="00C4798F"/>
    <w:rsid w:val="00C50F22"/>
    <w:rsid w:val="00C526BE"/>
    <w:rsid w:val="00C53DB2"/>
    <w:rsid w:val="00C567C2"/>
    <w:rsid w:val="00C6010B"/>
    <w:rsid w:val="00C62A9F"/>
    <w:rsid w:val="00C62C51"/>
    <w:rsid w:val="00C64CAA"/>
    <w:rsid w:val="00C72408"/>
    <w:rsid w:val="00C72447"/>
    <w:rsid w:val="00C811B3"/>
    <w:rsid w:val="00C82247"/>
    <w:rsid w:val="00C826DF"/>
    <w:rsid w:val="00C82E56"/>
    <w:rsid w:val="00C83113"/>
    <w:rsid w:val="00C84359"/>
    <w:rsid w:val="00C85686"/>
    <w:rsid w:val="00C86F7A"/>
    <w:rsid w:val="00C875F6"/>
    <w:rsid w:val="00C92945"/>
    <w:rsid w:val="00C92BE0"/>
    <w:rsid w:val="00C935C2"/>
    <w:rsid w:val="00C936F1"/>
    <w:rsid w:val="00C96A0F"/>
    <w:rsid w:val="00C96EF8"/>
    <w:rsid w:val="00CA2DC0"/>
    <w:rsid w:val="00CA4795"/>
    <w:rsid w:val="00CA57AA"/>
    <w:rsid w:val="00CA6EB4"/>
    <w:rsid w:val="00CB1FFD"/>
    <w:rsid w:val="00CB3670"/>
    <w:rsid w:val="00CB3C8D"/>
    <w:rsid w:val="00CB47ED"/>
    <w:rsid w:val="00CC1946"/>
    <w:rsid w:val="00CC1ED3"/>
    <w:rsid w:val="00CC2419"/>
    <w:rsid w:val="00CC2BD9"/>
    <w:rsid w:val="00CC3D44"/>
    <w:rsid w:val="00CC6702"/>
    <w:rsid w:val="00CC7624"/>
    <w:rsid w:val="00CC7FAC"/>
    <w:rsid w:val="00CD1BD1"/>
    <w:rsid w:val="00CD543F"/>
    <w:rsid w:val="00CE1FCC"/>
    <w:rsid w:val="00CE4398"/>
    <w:rsid w:val="00CE4ED0"/>
    <w:rsid w:val="00CE75C1"/>
    <w:rsid w:val="00CF0F37"/>
    <w:rsid w:val="00CF1621"/>
    <w:rsid w:val="00CF275C"/>
    <w:rsid w:val="00CF293F"/>
    <w:rsid w:val="00CF2F2C"/>
    <w:rsid w:val="00CF609B"/>
    <w:rsid w:val="00CF7026"/>
    <w:rsid w:val="00D0299C"/>
    <w:rsid w:val="00D050A4"/>
    <w:rsid w:val="00D1552A"/>
    <w:rsid w:val="00D15EBC"/>
    <w:rsid w:val="00D16224"/>
    <w:rsid w:val="00D16B00"/>
    <w:rsid w:val="00D20E7B"/>
    <w:rsid w:val="00D21753"/>
    <w:rsid w:val="00D2282D"/>
    <w:rsid w:val="00D23368"/>
    <w:rsid w:val="00D235EA"/>
    <w:rsid w:val="00D27414"/>
    <w:rsid w:val="00D31DFD"/>
    <w:rsid w:val="00D31FE7"/>
    <w:rsid w:val="00D32495"/>
    <w:rsid w:val="00D340BA"/>
    <w:rsid w:val="00D35C5D"/>
    <w:rsid w:val="00D36015"/>
    <w:rsid w:val="00D36870"/>
    <w:rsid w:val="00D37531"/>
    <w:rsid w:val="00D37689"/>
    <w:rsid w:val="00D40BA1"/>
    <w:rsid w:val="00D40BDD"/>
    <w:rsid w:val="00D425A5"/>
    <w:rsid w:val="00D448AC"/>
    <w:rsid w:val="00D44DA4"/>
    <w:rsid w:val="00D45372"/>
    <w:rsid w:val="00D46577"/>
    <w:rsid w:val="00D467DB"/>
    <w:rsid w:val="00D5002E"/>
    <w:rsid w:val="00D505B7"/>
    <w:rsid w:val="00D53807"/>
    <w:rsid w:val="00D549C5"/>
    <w:rsid w:val="00D551B4"/>
    <w:rsid w:val="00D6068E"/>
    <w:rsid w:val="00D6222D"/>
    <w:rsid w:val="00D636CB"/>
    <w:rsid w:val="00D6406D"/>
    <w:rsid w:val="00D66102"/>
    <w:rsid w:val="00D67A72"/>
    <w:rsid w:val="00D71572"/>
    <w:rsid w:val="00D73183"/>
    <w:rsid w:val="00D74BF2"/>
    <w:rsid w:val="00D75994"/>
    <w:rsid w:val="00D761B1"/>
    <w:rsid w:val="00D77F49"/>
    <w:rsid w:val="00D81954"/>
    <w:rsid w:val="00D81DD0"/>
    <w:rsid w:val="00D826AD"/>
    <w:rsid w:val="00D82E95"/>
    <w:rsid w:val="00D84C4E"/>
    <w:rsid w:val="00D84EC9"/>
    <w:rsid w:val="00D91FD4"/>
    <w:rsid w:val="00D9278B"/>
    <w:rsid w:val="00D97A9D"/>
    <w:rsid w:val="00DA006B"/>
    <w:rsid w:val="00DA11AE"/>
    <w:rsid w:val="00DA15AF"/>
    <w:rsid w:val="00DA3895"/>
    <w:rsid w:val="00DA3CC3"/>
    <w:rsid w:val="00DB279A"/>
    <w:rsid w:val="00DB2F99"/>
    <w:rsid w:val="00DB4206"/>
    <w:rsid w:val="00DC11C6"/>
    <w:rsid w:val="00DC37E0"/>
    <w:rsid w:val="00DC5A9D"/>
    <w:rsid w:val="00DC5E43"/>
    <w:rsid w:val="00DC6404"/>
    <w:rsid w:val="00DD0269"/>
    <w:rsid w:val="00DD20A0"/>
    <w:rsid w:val="00DD378A"/>
    <w:rsid w:val="00DD4075"/>
    <w:rsid w:val="00DD6773"/>
    <w:rsid w:val="00DE1FFF"/>
    <w:rsid w:val="00DE2432"/>
    <w:rsid w:val="00DE4BF2"/>
    <w:rsid w:val="00DE54EE"/>
    <w:rsid w:val="00DE58AA"/>
    <w:rsid w:val="00DE5E09"/>
    <w:rsid w:val="00DE7C0B"/>
    <w:rsid w:val="00DF194E"/>
    <w:rsid w:val="00DF1F0A"/>
    <w:rsid w:val="00DF27F6"/>
    <w:rsid w:val="00DF2C5C"/>
    <w:rsid w:val="00DF5004"/>
    <w:rsid w:val="00E023D4"/>
    <w:rsid w:val="00E034D6"/>
    <w:rsid w:val="00E03A76"/>
    <w:rsid w:val="00E03BE1"/>
    <w:rsid w:val="00E07D7E"/>
    <w:rsid w:val="00E12390"/>
    <w:rsid w:val="00E149FF"/>
    <w:rsid w:val="00E16CE5"/>
    <w:rsid w:val="00E1788B"/>
    <w:rsid w:val="00E20DB4"/>
    <w:rsid w:val="00E219FA"/>
    <w:rsid w:val="00E26BB2"/>
    <w:rsid w:val="00E278E5"/>
    <w:rsid w:val="00E30F61"/>
    <w:rsid w:val="00E327BB"/>
    <w:rsid w:val="00E34E2E"/>
    <w:rsid w:val="00E370AF"/>
    <w:rsid w:val="00E3763F"/>
    <w:rsid w:val="00E41687"/>
    <w:rsid w:val="00E43F92"/>
    <w:rsid w:val="00E4510B"/>
    <w:rsid w:val="00E46FF3"/>
    <w:rsid w:val="00E5187F"/>
    <w:rsid w:val="00E51B70"/>
    <w:rsid w:val="00E51CDB"/>
    <w:rsid w:val="00E52B51"/>
    <w:rsid w:val="00E52DD3"/>
    <w:rsid w:val="00E52FF9"/>
    <w:rsid w:val="00E53690"/>
    <w:rsid w:val="00E54597"/>
    <w:rsid w:val="00E55AD2"/>
    <w:rsid w:val="00E620E6"/>
    <w:rsid w:val="00E62415"/>
    <w:rsid w:val="00E644E0"/>
    <w:rsid w:val="00E65435"/>
    <w:rsid w:val="00E66AFA"/>
    <w:rsid w:val="00E66E85"/>
    <w:rsid w:val="00E71840"/>
    <w:rsid w:val="00E75D23"/>
    <w:rsid w:val="00E804BF"/>
    <w:rsid w:val="00E84E85"/>
    <w:rsid w:val="00E904F6"/>
    <w:rsid w:val="00E9073B"/>
    <w:rsid w:val="00E90CD2"/>
    <w:rsid w:val="00E9359A"/>
    <w:rsid w:val="00EA0256"/>
    <w:rsid w:val="00EA0F11"/>
    <w:rsid w:val="00EA205B"/>
    <w:rsid w:val="00EA36C0"/>
    <w:rsid w:val="00EA3BBA"/>
    <w:rsid w:val="00EA5AB8"/>
    <w:rsid w:val="00EA7BB9"/>
    <w:rsid w:val="00EB03CB"/>
    <w:rsid w:val="00EB1EB7"/>
    <w:rsid w:val="00EB25F8"/>
    <w:rsid w:val="00EB2EEB"/>
    <w:rsid w:val="00EB4EFF"/>
    <w:rsid w:val="00EB6550"/>
    <w:rsid w:val="00EB655B"/>
    <w:rsid w:val="00EB7EB4"/>
    <w:rsid w:val="00EC263E"/>
    <w:rsid w:val="00EC4EB9"/>
    <w:rsid w:val="00EC5421"/>
    <w:rsid w:val="00EC5D5F"/>
    <w:rsid w:val="00EC6243"/>
    <w:rsid w:val="00EC7E1B"/>
    <w:rsid w:val="00EC7F93"/>
    <w:rsid w:val="00ED00E6"/>
    <w:rsid w:val="00ED4EE8"/>
    <w:rsid w:val="00ED640A"/>
    <w:rsid w:val="00ED6433"/>
    <w:rsid w:val="00EE1B5E"/>
    <w:rsid w:val="00EE39EE"/>
    <w:rsid w:val="00EE489D"/>
    <w:rsid w:val="00EF15EC"/>
    <w:rsid w:val="00EF1981"/>
    <w:rsid w:val="00EF2407"/>
    <w:rsid w:val="00EF3B91"/>
    <w:rsid w:val="00EF65D8"/>
    <w:rsid w:val="00EF67D9"/>
    <w:rsid w:val="00F0372B"/>
    <w:rsid w:val="00F03F2E"/>
    <w:rsid w:val="00F054B1"/>
    <w:rsid w:val="00F107D6"/>
    <w:rsid w:val="00F10EEC"/>
    <w:rsid w:val="00F1397C"/>
    <w:rsid w:val="00F21631"/>
    <w:rsid w:val="00F226C5"/>
    <w:rsid w:val="00F27ACD"/>
    <w:rsid w:val="00F31E9D"/>
    <w:rsid w:val="00F32467"/>
    <w:rsid w:val="00F32D9E"/>
    <w:rsid w:val="00F335C1"/>
    <w:rsid w:val="00F335D8"/>
    <w:rsid w:val="00F339D6"/>
    <w:rsid w:val="00F34407"/>
    <w:rsid w:val="00F34A1D"/>
    <w:rsid w:val="00F34AF8"/>
    <w:rsid w:val="00F35EE1"/>
    <w:rsid w:val="00F4051B"/>
    <w:rsid w:val="00F40553"/>
    <w:rsid w:val="00F412E1"/>
    <w:rsid w:val="00F41AF4"/>
    <w:rsid w:val="00F42774"/>
    <w:rsid w:val="00F430F3"/>
    <w:rsid w:val="00F46609"/>
    <w:rsid w:val="00F52131"/>
    <w:rsid w:val="00F52FF6"/>
    <w:rsid w:val="00F5390E"/>
    <w:rsid w:val="00F54549"/>
    <w:rsid w:val="00F551B1"/>
    <w:rsid w:val="00F56D51"/>
    <w:rsid w:val="00F607F2"/>
    <w:rsid w:val="00F62D5D"/>
    <w:rsid w:val="00F6356C"/>
    <w:rsid w:val="00F638F5"/>
    <w:rsid w:val="00F64385"/>
    <w:rsid w:val="00F6666D"/>
    <w:rsid w:val="00F700D5"/>
    <w:rsid w:val="00F7037A"/>
    <w:rsid w:val="00F715E3"/>
    <w:rsid w:val="00F7351A"/>
    <w:rsid w:val="00F75E25"/>
    <w:rsid w:val="00F76055"/>
    <w:rsid w:val="00F77BC2"/>
    <w:rsid w:val="00F8268D"/>
    <w:rsid w:val="00F842E7"/>
    <w:rsid w:val="00F86FD7"/>
    <w:rsid w:val="00F871A4"/>
    <w:rsid w:val="00F93F72"/>
    <w:rsid w:val="00F94C8B"/>
    <w:rsid w:val="00F96E8D"/>
    <w:rsid w:val="00FA40C1"/>
    <w:rsid w:val="00FA47A0"/>
    <w:rsid w:val="00FA528D"/>
    <w:rsid w:val="00FA557A"/>
    <w:rsid w:val="00FA568B"/>
    <w:rsid w:val="00FA7A26"/>
    <w:rsid w:val="00FB0485"/>
    <w:rsid w:val="00FB0B8C"/>
    <w:rsid w:val="00FB135B"/>
    <w:rsid w:val="00FB2ECE"/>
    <w:rsid w:val="00FB3143"/>
    <w:rsid w:val="00FB3FAA"/>
    <w:rsid w:val="00FB5E1C"/>
    <w:rsid w:val="00FB6BB1"/>
    <w:rsid w:val="00FC0DB0"/>
    <w:rsid w:val="00FC10BC"/>
    <w:rsid w:val="00FC10EB"/>
    <w:rsid w:val="00FC17B2"/>
    <w:rsid w:val="00FC424A"/>
    <w:rsid w:val="00FC5786"/>
    <w:rsid w:val="00FC61C7"/>
    <w:rsid w:val="00FD0FF3"/>
    <w:rsid w:val="00FD13A2"/>
    <w:rsid w:val="00FD1EE7"/>
    <w:rsid w:val="00FD3194"/>
    <w:rsid w:val="00FD3F83"/>
    <w:rsid w:val="00FD455E"/>
    <w:rsid w:val="00FD4B0F"/>
    <w:rsid w:val="00FD5D31"/>
    <w:rsid w:val="00FD6BD6"/>
    <w:rsid w:val="00FD75F2"/>
    <w:rsid w:val="00FE0178"/>
    <w:rsid w:val="00FE2890"/>
    <w:rsid w:val="00FE2AFA"/>
    <w:rsid w:val="00FE3171"/>
    <w:rsid w:val="00FE4B57"/>
    <w:rsid w:val="00FE4C05"/>
    <w:rsid w:val="00FE5349"/>
    <w:rsid w:val="00FF0F4D"/>
    <w:rsid w:val="00FF2F01"/>
    <w:rsid w:val="00FF35D0"/>
    <w:rsid w:val="00FF423A"/>
    <w:rsid w:val="00FF6AF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F3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B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B1EB7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1EB7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EB1EB7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1EB7"/>
    <w:rPr>
      <w:rFonts w:ascii="Malgun Gothic" w:eastAsia="Malgun Gothic" w:hAnsi="Malgun Gothic"/>
      <w:noProof/>
    </w:rPr>
  </w:style>
  <w:style w:type="character" w:styleId="Emphasis">
    <w:name w:val="Emphasis"/>
    <w:basedOn w:val="DefaultParagraphFont"/>
    <w:uiPriority w:val="20"/>
    <w:qFormat/>
    <w:rsid w:val="00EB1EB7"/>
    <w:rPr>
      <w:b/>
      <w:bCs/>
      <w:i w:val="0"/>
      <w:iCs w:val="0"/>
    </w:rPr>
  </w:style>
  <w:style w:type="character" w:customStyle="1" w:styleId="st1">
    <w:name w:val="st1"/>
    <w:basedOn w:val="DefaultParagraphFont"/>
    <w:rsid w:val="00EB1EB7"/>
  </w:style>
  <w:style w:type="character" w:styleId="PlaceholderText">
    <w:name w:val="Placeholder Text"/>
    <w:basedOn w:val="DefaultParagraphFont"/>
    <w:uiPriority w:val="99"/>
    <w:semiHidden/>
    <w:rsid w:val="00EB1EB7"/>
    <w:rPr>
      <w:color w:val="808080"/>
    </w:rPr>
  </w:style>
  <w:style w:type="character" w:customStyle="1" w:styleId="mw-headline">
    <w:name w:val="mw-headline"/>
    <w:basedOn w:val="DefaultParagraphFont"/>
    <w:rsid w:val="00EB1EB7"/>
  </w:style>
  <w:style w:type="paragraph" w:styleId="Header">
    <w:name w:val="header"/>
    <w:basedOn w:val="Normal"/>
    <w:link w:val="HeaderChar"/>
    <w:uiPriority w:val="99"/>
    <w:unhideWhenUsed/>
    <w:rsid w:val="00EB1EB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1EB7"/>
  </w:style>
  <w:style w:type="paragraph" w:styleId="Footer">
    <w:name w:val="footer"/>
    <w:basedOn w:val="Normal"/>
    <w:link w:val="FooterChar"/>
    <w:uiPriority w:val="99"/>
    <w:unhideWhenUsed/>
    <w:rsid w:val="00EB1EB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1EB7"/>
  </w:style>
  <w:style w:type="paragraph" w:styleId="BalloonText">
    <w:name w:val="Balloon Text"/>
    <w:basedOn w:val="Normal"/>
    <w:link w:val="BalloonTextChar"/>
    <w:uiPriority w:val="99"/>
    <w:semiHidden/>
    <w:unhideWhenUsed/>
    <w:rsid w:val="00EB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1EB7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EB1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1EB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B1E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EB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E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EB7"/>
    <w:rPr>
      <w:rFonts w:ascii="GulimChe" w:eastAsia="GulimChe" w:hAnsi="GulimChe" w:cs="GulimChe"/>
      <w:kern w:val="0"/>
      <w:sz w:val="24"/>
      <w:szCs w:val="24"/>
    </w:rPr>
  </w:style>
  <w:style w:type="character" w:customStyle="1" w:styleId="tgc">
    <w:name w:val="_tgc"/>
    <w:basedOn w:val="DefaultParagraphFont"/>
    <w:rsid w:val="00EB1EB7"/>
  </w:style>
  <w:style w:type="paragraph" w:styleId="ListParagraph">
    <w:name w:val="List Paragraph"/>
    <w:basedOn w:val="Normal"/>
    <w:uiPriority w:val="34"/>
    <w:qFormat/>
    <w:rsid w:val="00EB1EB7"/>
    <w:pPr>
      <w:ind w:leftChars="400" w:left="800"/>
    </w:pPr>
  </w:style>
  <w:style w:type="character" w:styleId="LineNumber">
    <w:name w:val="line number"/>
    <w:basedOn w:val="DefaultParagraphFont"/>
    <w:uiPriority w:val="99"/>
    <w:semiHidden/>
    <w:unhideWhenUsed/>
    <w:rsid w:val="00EB1EB7"/>
  </w:style>
  <w:style w:type="character" w:styleId="Hyperlink">
    <w:name w:val="Hyperlink"/>
    <w:basedOn w:val="DefaultParagraphFont"/>
    <w:uiPriority w:val="99"/>
    <w:unhideWhenUsed/>
    <w:rsid w:val="00EB1E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B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B1EB7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1EB7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EB1EB7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1EB7"/>
    <w:rPr>
      <w:rFonts w:ascii="Malgun Gothic" w:eastAsia="Malgun Gothic" w:hAnsi="Malgun Gothic"/>
      <w:noProof/>
    </w:rPr>
  </w:style>
  <w:style w:type="character" w:styleId="Emphasis">
    <w:name w:val="Emphasis"/>
    <w:basedOn w:val="DefaultParagraphFont"/>
    <w:uiPriority w:val="20"/>
    <w:qFormat/>
    <w:rsid w:val="00EB1EB7"/>
    <w:rPr>
      <w:b/>
      <w:bCs/>
      <w:i w:val="0"/>
      <w:iCs w:val="0"/>
    </w:rPr>
  </w:style>
  <w:style w:type="character" w:customStyle="1" w:styleId="st1">
    <w:name w:val="st1"/>
    <w:basedOn w:val="DefaultParagraphFont"/>
    <w:rsid w:val="00EB1EB7"/>
  </w:style>
  <w:style w:type="character" w:styleId="PlaceholderText">
    <w:name w:val="Placeholder Text"/>
    <w:basedOn w:val="DefaultParagraphFont"/>
    <w:uiPriority w:val="99"/>
    <w:semiHidden/>
    <w:rsid w:val="00EB1EB7"/>
    <w:rPr>
      <w:color w:val="808080"/>
    </w:rPr>
  </w:style>
  <w:style w:type="character" w:customStyle="1" w:styleId="mw-headline">
    <w:name w:val="mw-headline"/>
    <w:basedOn w:val="DefaultParagraphFont"/>
    <w:rsid w:val="00EB1EB7"/>
  </w:style>
  <w:style w:type="paragraph" w:styleId="Header">
    <w:name w:val="header"/>
    <w:basedOn w:val="Normal"/>
    <w:link w:val="HeaderChar"/>
    <w:uiPriority w:val="99"/>
    <w:unhideWhenUsed/>
    <w:rsid w:val="00EB1EB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1EB7"/>
  </w:style>
  <w:style w:type="paragraph" w:styleId="Footer">
    <w:name w:val="footer"/>
    <w:basedOn w:val="Normal"/>
    <w:link w:val="FooterChar"/>
    <w:uiPriority w:val="99"/>
    <w:unhideWhenUsed/>
    <w:rsid w:val="00EB1EB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1EB7"/>
  </w:style>
  <w:style w:type="paragraph" w:styleId="BalloonText">
    <w:name w:val="Balloon Text"/>
    <w:basedOn w:val="Normal"/>
    <w:link w:val="BalloonTextChar"/>
    <w:uiPriority w:val="99"/>
    <w:semiHidden/>
    <w:unhideWhenUsed/>
    <w:rsid w:val="00EB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1EB7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EB1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1EB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B1E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EB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E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EB7"/>
    <w:rPr>
      <w:rFonts w:ascii="GulimChe" w:eastAsia="GulimChe" w:hAnsi="GulimChe" w:cs="GulimChe"/>
      <w:kern w:val="0"/>
      <w:sz w:val="24"/>
      <w:szCs w:val="24"/>
    </w:rPr>
  </w:style>
  <w:style w:type="character" w:customStyle="1" w:styleId="tgc">
    <w:name w:val="_tgc"/>
    <w:basedOn w:val="DefaultParagraphFont"/>
    <w:rsid w:val="00EB1EB7"/>
  </w:style>
  <w:style w:type="paragraph" w:styleId="ListParagraph">
    <w:name w:val="List Paragraph"/>
    <w:basedOn w:val="Normal"/>
    <w:uiPriority w:val="34"/>
    <w:qFormat/>
    <w:rsid w:val="00EB1EB7"/>
    <w:pPr>
      <w:ind w:leftChars="400" w:left="800"/>
    </w:pPr>
  </w:style>
  <w:style w:type="character" w:styleId="LineNumber">
    <w:name w:val="line number"/>
    <w:basedOn w:val="DefaultParagraphFont"/>
    <w:uiPriority w:val="99"/>
    <w:semiHidden/>
    <w:unhideWhenUsed/>
    <w:rsid w:val="00EB1EB7"/>
  </w:style>
  <w:style w:type="character" w:styleId="Hyperlink">
    <w:name w:val="Hyperlink"/>
    <w:basedOn w:val="DefaultParagraphFont"/>
    <w:uiPriority w:val="99"/>
    <w:unhideWhenUsed/>
    <w:rsid w:val="00EB1E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4E86-257D-4E9D-8A89-945261AC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476</Words>
  <Characters>2628</Characters>
  <Application>Microsoft Office Word</Application>
  <DocSecurity>0</DocSecurity>
  <Lines>202</Lines>
  <Paragraphs>163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탁규</dc:creator>
  <cp:keywords/>
  <dc:description/>
  <cp:lastModifiedBy>AJTUALA</cp:lastModifiedBy>
  <cp:revision>342</cp:revision>
  <dcterms:created xsi:type="dcterms:W3CDTF">2018-08-23T06:23:00Z</dcterms:created>
  <dcterms:modified xsi:type="dcterms:W3CDTF">2018-10-06T07:53:00Z</dcterms:modified>
</cp:coreProperties>
</file>