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BF" w:rsidRDefault="00B935A9">
      <w:pPr>
        <w:spacing w:before="280" w:beforeAutospacing="1" w:after="280" w:afterAutospacing="1"/>
        <w:jc w:val="both"/>
        <w:rPr>
          <w:rFonts w:eastAsiaTheme="minorEastAsia" w:hAnsi="Times New Roman" w:cs="Times New Roman"/>
          <w:b/>
          <w:sz w:val="28"/>
          <w:szCs w:val="28"/>
        </w:rPr>
      </w:pPr>
      <w:r>
        <w:rPr>
          <w:rFonts w:eastAsiaTheme="minorEastAsia" w:hAnsi="Times New Roman" w:cs="Times New Roman"/>
          <w:b/>
          <w:sz w:val="28"/>
          <w:szCs w:val="28"/>
        </w:rPr>
        <w:t>Additional file 1:</w:t>
      </w:r>
    </w:p>
    <w:p w:rsidR="00537ABF" w:rsidRDefault="00B935A9">
      <w:pPr>
        <w:spacing w:before="280" w:beforeAutospacing="1" w:after="280" w:afterAutospacing="1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  <w:r>
        <w:rPr>
          <w:rFonts w:eastAsiaTheme="minorEastAsia" w:hAnsi="Times New Roman" w:cs="Times New Roman"/>
          <w:noProof/>
          <w:sz w:val="28"/>
          <w:szCs w:val="28"/>
          <w:shd w:val="clear" w:color="000000" w:fill="FFFFFF"/>
        </w:rPr>
        <w:drawing>
          <wp:inline distT="0" distB="0" distL="0" distR="0">
            <wp:extent cx="3582035" cy="266001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173" cy="266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BF" w:rsidRDefault="00B935A9">
      <w:pPr>
        <w:spacing w:before="280" w:beforeAutospacing="1" w:after="280" w:afterAutospacing="1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Fig. S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1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Schematic illustration of the plasmid pXBthg-121121. </w:t>
      </w:r>
      <w:proofErr w:type="spellStart"/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hyg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: </w:t>
      </w:r>
      <w:hyperlink r:id="rId8" w:history="1">
        <w:r>
          <w:rPr>
            <w:rFonts w:eastAsiaTheme="minorEastAsia" w:hAnsi="Times New Roman" w:cs="Times New Roman"/>
            <w:sz w:val="28"/>
            <w:szCs w:val="28"/>
            <w:shd w:val="clear" w:color="000000" w:fill="FFFFFF"/>
          </w:rPr>
          <w:t>homomycin</w:t>
        </w:r>
      </w:hyperlink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resistance; LB, left border of binary vector; RB, right border of binary vector; Kan: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kanamycin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resistance; 121121-up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 xml:space="preserve">: 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the 1500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bp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upstream of gene 121121; 121121-down: the 1500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bp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downstream of gene 121121.</w:t>
      </w:r>
    </w:p>
    <w:p w:rsidR="00537ABF" w:rsidRDefault="00537ABF">
      <w:pPr>
        <w:spacing w:before="280" w:beforeAutospacing="1" w:after="280" w:afterAutospacing="1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</w:p>
    <w:p w:rsidR="00537ABF" w:rsidRDefault="00B935A9">
      <w:pPr>
        <w:jc w:val="both"/>
        <w:rPr>
          <w:rStyle w:val="a6"/>
        </w:rPr>
      </w:pPr>
      <w:r>
        <w:rPr>
          <w:rStyle w:val="a6"/>
          <w:rFonts w:hint="eastAsia"/>
          <w:noProof/>
        </w:rPr>
        <w:lastRenderedPageBreak/>
        <w:drawing>
          <wp:inline distT="0" distB="0" distL="114300" distR="114300">
            <wp:extent cx="4265295" cy="8842375"/>
            <wp:effectExtent l="0" t="0" r="1905" b="15875"/>
            <wp:docPr id="9" name="图片 9" descr="up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up and dow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BF" w:rsidRDefault="00B935A9">
      <w:pPr>
        <w:spacing w:before="280" w:beforeAutospacing="1" w:after="280" w:afterAutospacing="1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lastRenderedPageBreak/>
        <w:t>Fig. S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2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The 1500-bp upstream and downstream 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regions 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of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gene 121121</w:t>
      </w:r>
    </w:p>
    <w:p w:rsidR="00537ABF" w:rsidRDefault="00B935A9">
      <w:r>
        <w:rPr>
          <w:rFonts w:hint="eastAsia"/>
          <w:noProof/>
        </w:rPr>
        <w:drawing>
          <wp:inline distT="0" distB="0" distL="114300" distR="114300">
            <wp:extent cx="4743450" cy="2494280"/>
            <wp:effectExtent l="0" t="0" r="6350" b="7620"/>
            <wp:docPr id="3" name="图片 3" descr="sorbicillin -standard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orbicillin -standard curv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BF" w:rsidRDefault="00B935A9">
      <w:pPr>
        <w:autoSpaceDE w:val="0"/>
        <w:autoSpaceDN w:val="0"/>
        <w:spacing w:line="276" w:lineRule="auto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Fig. S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3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The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standard</w:t>
      </w:r>
      <w:proofErr w:type="spellEnd"/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 xml:space="preserve"> curve of </w:t>
      </w:r>
      <w:proofErr w:type="spellStart"/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sorbicillinoids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.</w:t>
      </w:r>
    </w:p>
    <w:p w:rsidR="00537ABF" w:rsidRDefault="00B935A9">
      <w:pPr>
        <w:spacing w:line="240" w:lineRule="auto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5274310" cy="277876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BF" w:rsidRDefault="00B935A9">
      <w:pPr>
        <w:spacing w:before="280" w:beforeAutospacing="1" w:after="280" w:afterAutospacing="1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Fig. S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4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The whole genome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resequencing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of strain ZC121 shows the unsuccessful deletion of gene 121121.</w:t>
      </w:r>
    </w:p>
    <w:p w:rsidR="00537ABF" w:rsidRDefault="00B935A9">
      <w:pPr>
        <w:jc w:val="both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114300" distR="114300">
            <wp:extent cx="5269865" cy="1201420"/>
            <wp:effectExtent l="0" t="0" r="6985" b="17780"/>
            <wp:docPr id="10" name="图片 10" descr="液体中色素产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液体中色素产生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BF" w:rsidRDefault="00B935A9">
      <w:pPr>
        <w:autoSpaceDE w:val="0"/>
        <w:autoSpaceDN w:val="0"/>
        <w:spacing w:line="276" w:lineRule="auto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Fig. S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5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The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 xml:space="preserve"> color of 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the culture supernatant of </w:t>
      </w:r>
      <w:r>
        <w:rPr>
          <w:rFonts w:eastAsiaTheme="minorEastAsia" w:hAnsi="Times New Roman" w:cs="Times New Roman"/>
          <w:i/>
          <w:sz w:val="28"/>
          <w:szCs w:val="28"/>
          <w:shd w:val="clear" w:color="000000" w:fill="FFFFFF"/>
        </w:rPr>
        <w:t xml:space="preserve">T. </w:t>
      </w:r>
      <w:proofErr w:type="spellStart"/>
      <w:r>
        <w:rPr>
          <w:rFonts w:eastAsiaTheme="minorEastAsia" w:hAnsi="Times New Roman" w:cs="Times New Roman"/>
          <w:i/>
          <w:sz w:val="28"/>
          <w:szCs w:val="28"/>
          <w:shd w:val="clear" w:color="000000" w:fill="FFFFFF"/>
        </w:rPr>
        <w:t>reesei</w:t>
      </w:r>
      <w:proofErr w:type="spellEnd"/>
      <w:r>
        <w:rPr>
          <w:rFonts w:eastAsiaTheme="minorEastAsia" w:hAnsi="Times New Roman" w:cs="Times New Roman"/>
          <w:i/>
          <w:sz w:val="28"/>
          <w:szCs w:val="28"/>
          <w:shd w:val="clear" w:color="000000" w:fill="FFFFFF"/>
        </w:rPr>
        <w:t xml:space="preserve"> 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RUT-C30 (a) and ZC121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(b) grown on glucose.</w:t>
      </w:r>
    </w:p>
    <w:p w:rsidR="00537ABF" w:rsidRDefault="00537ABF">
      <w:pPr>
        <w:autoSpaceDE w:val="0"/>
        <w:autoSpaceDN w:val="0"/>
        <w:jc w:val="both"/>
        <w:rPr>
          <w:rFonts w:eastAsiaTheme="minorEastAsia" w:hAnsi="Times New Roman" w:cs="Times New Roman"/>
          <w:sz w:val="28"/>
          <w:szCs w:val="28"/>
        </w:rPr>
      </w:pPr>
    </w:p>
    <w:p w:rsidR="00537ABF" w:rsidRDefault="00B935A9">
      <w:pPr>
        <w:autoSpaceDE w:val="0"/>
        <w:autoSpaceDN w:val="0"/>
        <w:spacing w:line="276" w:lineRule="auto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  <w:bookmarkStart w:id="0" w:name="_GoBack"/>
      <w:bookmarkEnd w:id="0"/>
      <w:r>
        <w:rPr>
          <w:rFonts w:eastAsiaTheme="minorEastAsia" w:hAnsi="Times New Roman" w:cs="Times New Roman"/>
          <w:noProof/>
          <w:sz w:val="28"/>
          <w:szCs w:val="28"/>
          <w:shd w:val="clear" w:color="000000" w:fill="FFFFFF"/>
        </w:rPr>
        <w:lastRenderedPageBreak/>
        <w:drawing>
          <wp:inline distT="0" distB="0" distL="114300" distR="114300">
            <wp:extent cx="5269865" cy="6210935"/>
            <wp:effectExtent l="0" t="0" r="6985" b="18415"/>
            <wp:docPr id="23" name="图片 23" descr="不同碳源下酶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不同碳源下酶活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BF" w:rsidRDefault="00B935A9">
      <w:pPr>
        <w:autoSpaceDE w:val="0"/>
        <w:autoSpaceDN w:val="0"/>
        <w:spacing w:line="276" w:lineRule="auto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Fig.S</w:t>
      </w:r>
      <w:r>
        <w:rPr>
          <w:rFonts w:eastAsiaTheme="minorEastAsia" w:hAnsi="Times New Roman" w:cs="Times New Roman" w:hint="eastAsia"/>
          <w:sz w:val="28"/>
          <w:szCs w:val="28"/>
          <w:shd w:val="clear" w:color="000000" w:fill="FFFFFF"/>
        </w:rPr>
        <w:t>6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Cellulolytic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enzyme activities in the culture supernatant of </w:t>
      </w:r>
      <w:bookmarkStart w:id="1" w:name="OLE_LINK28"/>
      <w:r>
        <w:rPr>
          <w:rFonts w:eastAsiaTheme="minorEastAsia" w:hAnsi="Times New Roman" w:cs="Times New Roman"/>
          <w:i/>
          <w:sz w:val="28"/>
          <w:szCs w:val="28"/>
          <w:shd w:val="clear" w:color="000000" w:fill="FFFFFF"/>
        </w:rPr>
        <w:t xml:space="preserve">T. </w:t>
      </w:r>
      <w:proofErr w:type="spellStart"/>
      <w:r>
        <w:rPr>
          <w:rFonts w:eastAsiaTheme="minorEastAsia" w:hAnsi="Times New Roman" w:cs="Times New Roman"/>
          <w:i/>
          <w:sz w:val="28"/>
          <w:szCs w:val="28"/>
          <w:shd w:val="clear" w:color="000000" w:fill="FFFFFF"/>
        </w:rPr>
        <w:t>reesei</w:t>
      </w:r>
      <w:proofErr w:type="spellEnd"/>
      <w:r>
        <w:rPr>
          <w:rFonts w:eastAsiaTheme="minorEastAsia" w:hAnsi="Times New Roman" w:cs="Times New Roman"/>
          <w:i/>
          <w:sz w:val="28"/>
          <w:szCs w:val="28"/>
          <w:shd w:val="clear" w:color="000000" w:fill="FFFFFF"/>
        </w:rPr>
        <w:t xml:space="preserve"> </w:t>
      </w:r>
      <w:bookmarkEnd w:id="1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ZC121 and RUT-C30 grown on 2% cellulose, lactose, glucose,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galactose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and glycerol were assayed on day 5, including the activities of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FPase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(the filter p</w:t>
      </w:r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aper activity) (a),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pNPGase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(the BGL activity) (b),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pNPCase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(the CBH activity) (c),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CMCase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(the CMC activity) (d)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ahd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lastRenderedPageBreak/>
        <w:t>pNPXase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(the β-</w:t>
      </w:r>
      <w:proofErr w:type="spellStart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>xylosidase</w:t>
      </w:r>
      <w:proofErr w:type="spellEnd"/>
      <w:r>
        <w:rPr>
          <w:rFonts w:eastAsiaTheme="minorEastAsia" w:hAnsi="Times New Roman" w:cs="Times New Roman"/>
          <w:sz w:val="28"/>
          <w:szCs w:val="28"/>
          <w:shd w:val="clear" w:color="000000" w:fill="FFFFFF"/>
        </w:rPr>
        <w:t xml:space="preserve"> activity) (e). The error bars indicate the standard deviations of three biological replicates.</w:t>
      </w:r>
    </w:p>
    <w:p w:rsidR="00537ABF" w:rsidRDefault="00537ABF">
      <w:pPr>
        <w:autoSpaceDE w:val="0"/>
        <w:autoSpaceDN w:val="0"/>
        <w:spacing w:line="276" w:lineRule="auto"/>
        <w:jc w:val="both"/>
        <w:rPr>
          <w:rFonts w:eastAsiaTheme="minorEastAsia" w:hAnsi="Times New Roman" w:cs="Times New Roman"/>
          <w:sz w:val="28"/>
          <w:szCs w:val="28"/>
          <w:shd w:val="clear" w:color="000000" w:fill="FFFFFF"/>
        </w:rPr>
      </w:pPr>
    </w:p>
    <w:p w:rsidR="00537ABF" w:rsidRDefault="00B935A9">
      <w:pPr>
        <w:spacing w:after="120" w:line="276" w:lineRule="auto"/>
        <w:jc w:val="both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/>
          <w:sz w:val="28"/>
          <w:szCs w:val="28"/>
        </w:rPr>
        <w:t>Table S1 Primers</w:t>
      </w:r>
      <w:r>
        <w:rPr>
          <w:rFonts w:eastAsiaTheme="minorEastAsia" w:hAnsi="Times New Roman" w:cs="Times New Roman"/>
          <w:sz w:val="28"/>
          <w:szCs w:val="28"/>
        </w:rPr>
        <w:t xml:space="preserve"> used in this study.</w:t>
      </w:r>
    </w:p>
    <w:tbl>
      <w:tblPr>
        <w:tblW w:w="853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2"/>
        <w:gridCol w:w="3645"/>
        <w:gridCol w:w="2816"/>
      </w:tblGrid>
      <w:tr w:rsidR="00537ABF">
        <w:trPr>
          <w:jc w:val="center"/>
        </w:trPr>
        <w:tc>
          <w:tcPr>
            <w:tcW w:w="20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6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Sequence</w:t>
            </w:r>
          </w:p>
        </w:tc>
        <w:tc>
          <w:tcPr>
            <w:tcW w:w="28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>Description</w:t>
            </w:r>
          </w:p>
        </w:tc>
      </w:tr>
      <w:tr w:rsidR="00537ABF">
        <w:trPr>
          <w:jc w:val="center"/>
        </w:trPr>
        <w:tc>
          <w:tcPr>
            <w:tcW w:w="207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121121(deletion)up-F</w:t>
            </w:r>
          </w:p>
        </w:tc>
        <w:tc>
          <w:tcPr>
            <w:tcW w:w="36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ATTATTATGGAGAAACTCGAGCGGAAGCGACGGTGGAGAAGAAAT</w:t>
            </w:r>
          </w:p>
        </w:tc>
        <w:tc>
          <w:tcPr>
            <w:tcW w:w="28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Amplification of the 1500 </w:t>
            </w:r>
            <w:proofErr w:type="spellStart"/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>bp</w:t>
            </w:r>
            <w:proofErr w:type="spellEnd"/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 upstream of gene 121121</w:t>
            </w:r>
          </w:p>
          <w:p w:rsidR="00537ABF" w:rsidRDefault="00537ABF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</w:p>
        </w:tc>
      </w:tr>
      <w:tr w:rsidR="00537ABF">
        <w:trPr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121121(deletion)up-R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CCGTCACCAGCCCTGCTCGAGTTGTGCTCTAGTGCTGTTGCTGTTCC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Amplification of </w:t>
            </w: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the 1500 </w:t>
            </w:r>
            <w:proofErr w:type="spellStart"/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>bp</w:t>
            </w:r>
            <w:proofErr w:type="spellEnd"/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 upstream of gene 121121</w:t>
            </w:r>
          </w:p>
          <w:p w:rsidR="00537ABF" w:rsidRDefault="00537ABF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</w:p>
        </w:tc>
      </w:tr>
      <w:tr w:rsidR="00537ABF">
        <w:trPr>
          <w:trHeight w:val="639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121121(deletion)down-F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ACGTTATCTCGTGCGGATCCATTAAGTGTATACAGAAGTAGCAGCAC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Amplification of the 1500 </w:t>
            </w:r>
            <w:proofErr w:type="spellStart"/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>bp</w:t>
            </w:r>
            <w:proofErr w:type="spellEnd"/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 downstream of gene 121121</w:t>
            </w:r>
          </w:p>
          <w:p w:rsidR="00537ABF" w:rsidRDefault="00537ABF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</w:p>
        </w:tc>
      </w:tr>
      <w:tr w:rsidR="00537ABF">
        <w:trPr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121121(deletion)down-R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CAGGTCGACTCTAGAGAGGATCCGTTCCAGCTCATGGATTACAA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Amplification of the </w:t>
            </w: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1500 </w:t>
            </w:r>
            <w:proofErr w:type="spellStart"/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>bp</w:t>
            </w:r>
            <w:proofErr w:type="spellEnd"/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 xml:space="preserve"> downstream of gene 121121</w:t>
            </w:r>
          </w:p>
          <w:p w:rsidR="00537ABF" w:rsidRDefault="00537ABF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</w:p>
        </w:tc>
      </w:tr>
      <w:tr w:rsidR="00537ABF">
        <w:trPr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121121-(3</w:t>
            </w: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>783</w:t>
            </w:r>
            <w:r>
              <w:rPr>
                <w:rFonts w:eastAsiaTheme="minorEastAsia" w:hAnsi="Times New Roman" w:cs="Times New Roman"/>
                <w:sz w:val="18"/>
                <w:szCs w:val="18"/>
              </w:rPr>
              <w:t>bp)-F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ATGGAGACAAACAACAGCGACAGCA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 xml:space="preserve">PCR cloning of the 3783 </w:t>
            </w:r>
            <w:proofErr w:type="spellStart"/>
            <w:r>
              <w:rPr>
                <w:rFonts w:eastAsiaTheme="minorEastAsia" w:hAnsi="Times New Roman" w:cs="Times New Roman"/>
                <w:sz w:val="18"/>
                <w:szCs w:val="18"/>
              </w:rPr>
              <w:t>bp</w:t>
            </w:r>
            <w:proofErr w:type="spellEnd"/>
            <w:r>
              <w:rPr>
                <w:rFonts w:eastAsiaTheme="minorEastAsia" w:hAnsi="Times New Roman" w:cs="Times New Roman"/>
                <w:sz w:val="18"/>
                <w:szCs w:val="18"/>
              </w:rPr>
              <w:t xml:space="preserve"> fragment as indicated in Figure 1 </w:t>
            </w:r>
          </w:p>
          <w:p w:rsidR="00537ABF" w:rsidRDefault="00537ABF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</w:p>
        </w:tc>
      </w:tr>
      <w:tr w:rsidR="00537ABF">
        <w:trPr>
          <w:trHeight w:val="691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121121-(3</w:t>
            </w: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>783</w:t>
            </w:r>
            <w:r>
              <w:rPr>
                <w:rFonts w:eastAsiaTheme="minorEastAsia" w:hAnsi="Times New Roman" w:cs="Times New Roman"/>
                <w:sz w:val="18"/>
                <w:szCs w:val="18"/>
              </w:rPr>
              <w:t>bp)-R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GTTCCAGCTCATGGATTACAACAACATCCC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 xml:space="preserve">PCR cloning of the 3783 </w:t>
            </w:r>
            <w:proofErr w:type="spellStart"/>
            <w:r>
              <w:rPr>
                <w:rFonts w:eastAsiaTheme="minorEastAsia" w:hAnsi="Times New Roman" w:cs="Times New Roman"/>
                <w:sz w:val="18"/>
                <w:szCs w:val="18"/>
              </w:rPr>
              <w:t>bp</w:t>
            </w:r>
            <w:proofErr w:type="spellEnd"/>
            <w:r>
              <w:rPr>
                <w:rFonts w:eastAsiaTheme="minorEastAsia" w:hAnsi="Times New Roman" w:cs="Times New Roman"/>
                <w:sz w:val="18"/>
                <w:szCs w:val="18"/>
              </w:rPr>
              <w:t xml:space="preserve"> fragment as indicated in Figure 1</w:t>
            </w:r>
          </w:p>
          <w:p w:rsidR="00537ABF" w:rsidRDefault="00537ABF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</w:p>
        </w:tc>
      </w:tr>
      <w:tr w:rsidR="00537ABF">
        <w:trPr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121121- (</w:t>
            </w: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>2075</w:t>
            </w:r>
            <w:r>
              <w:rPr>
                <w:rFonts w:eastAsiaTheme="minorEastAsia" w:hAnsi="Times New Roman" w:cs="Times New Roman"/>
                <w:sz w:val="18"/>
                <w:szCs w:val="18"/>
              </w:rPr>
              <w:t>bp)-F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CCGCAGGACATATCCACGCCCTC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 xml:space="preserve">PCR cloning of the 2075 </w:t>
            </w:r>
            <w:proofErr w:type="spellStart"/>
            <w:r>
              <w:rPr>
                <w:rFonts w:eastAsiaTheme="minorEastAsia" w:hAnsi="Times New Roman" w:cs="Times New Roman"/>
                <w:sz w:val="18"/>
                <w:szCs w:val="18"/>
              </w:rPr>
              <w:t>bp</w:t>
            </w:r>
            <w:proofErr w:type="spellEnd"/>
            <w:r>
              <w:rPr>
                <w:rFonts w:eastAsiaTheme="minorEastAsia" w:hAnsi="Times New Roman" w:cs="Times New Roman"/>
                <w:sz w:val="18"/>
                <w:szCs w:val="18"/>
              </w:rPr>
              <w:t xml:space="preserve"> fragment as indicated in Figure 1</w:t>
            </w:r>
          </w:p>
          <w:p w:rsidR="00537ABF" w:rsidRDefault="00537ABF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</w:p>
        </w:tc>
      </w:tr>
      <w:tr w:rsidR="00537ABF">
        <w:trPr>
          <w:jc w:val="center"/>
        </w:trPr>
        <w:tc>
          <w:tcPr>
            <w:tcW w:w="20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121121- (</w:t>
            </w:r>
            <w:r>
              <w:rPr>
                <w:rFonts w:eastAsiaTheme="minorEastAsia" w:hAnsi="Times New Roman" w:cs="Times New Roman" w:hint="eastAsia"/>
                <w:sz w:val="18"/>
                <w:szCs w:val="18"/>
              </w:rPr>
              <w:t>2075</w:t>
            </w:r>
            <w:r>
              <w:rPr>
                <w:rFonts w:eastAsiaTheme="minorEastAsia" w:hAnsi="Times New Roman" w:cs="Times New Roman"/>
                <w:sz w:val="18"/>
                <w:szCs w:val="18"/>
              </w:rPr>
              <w:t>bp)-R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>GTTCCAGCTCATGGATTACAACAACATCCC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eastAsiaTheme="minorEastAsia" w:hAnsi="Times New Roman" w:cs="Times New Roman"/>
                <w:sz w:val="18"/>
                <w:szCs w:val="18"/>
              </w:rPr>
            </w:pPr>
            <w:r>
              <w:rPr>
                <w:rFonts w:eastAsiaTheme="minorEastAsia" w:hAnsi="Times New Roman" w:cs="Times New Roman"/>
                <w:sz w:val="18"/>
                <w:szCs w:val="18"/>
              </w:rPr>
              <w:t xml:space="preserve">PCR cloning of the 2075 </w:t>
            </w:r>
            <w:proofErr w:type="spellStart"/>
            <w:r>
              <w:rPr>
                <w:rFonts w:eastAsiaTheme="minorEastAsia" w:hAnsi="Times New Roman" w:cs="Times New Roman"/>
                <w:sz w:val="18"/>
                <w:szCs w:val="18"/>
              </w:rPr>
              <w:t>bp</w:t>
            </w:r>
            <w:proofErr w:type="spellEnd"/>
            <w:r>
              <w:rPr>
                <w:rFonts w:eastAsiaTheme="minorEastAsia" w:hAnsi="Times New Roman" w:cs="Times New Roman"/>
                <w:sz w:val="18"/>
                <w:szCs w:val="18"/>
              </w:rPr>
              <w:t xml:space="preserve"> fragment as indicated in Figure 1</w:t>
            </w:r>
          </w:p>
        </w:tc>
      </w:tr>
    </w:tbl>
    <w:p w:rsidR="00537ABF" w:rsidRDefault="00537ABF">
      <w:pPr>
        <w:spacing w:after="120" w:line="276" w:lineRule="auto"/>
        <w:jc w:val="both"/>
        <w:rPr>
          <w:rFonts w:eastAsiaTheme="minorEastAsia" w:hAnsi="Times New Roman" w:cs="Times New Roman"/>
          <w:sz w:val="28"/>
          <w:szCs w:val="28"/>
        </w:rPr>
      </w:pPr>
    </w:p>
    <w:p w:rsidR="00537ABF" w:rsidRDefault="00537ABF">
      <w:pPr>
        <w:spacing w:after="120" w:line="276" w:lineRule="auto"/>
        <w:jc w:val="both"/>
        <w:rPr>
          <w:rFonts w:eastAsiaTheme="minorEastAsia" w:hAnsi="Times New Roman" w:cs="Times New Roman"/>
          <w:sz w:val="28"/>
          <w:szCs w:val="28"/>
        </w:rPr>
      </w:pPr>
    </w:p>
    <w:p w:rsidR="00537ABF" w:rsidRDefault="00537ABF">
      <w:pPr>
        <w:spacing w:after="120" w:line="276" w:lineRule="auto"/>
        <w:jc w:val="both"/>
        <w:rPr>
          <w:rFonts w:eastAsiaTheme="minorEastAsia" w:hAnsi="Times New Roman" w:cs="Times New Roman"/>
          <w:sz w:val="28"/>
          <w:szCs w:val="28"/>
        </w:rPr>
      </w:pPr>
    </w:p>
    <w:p w:rsidR="00537ABF" w:rsidRDefault="00537ABF">
      <w:pPr>
        <w:spacing w:after="120" w:line="276" w:lineRule="auto"/>
        <w:jc w:val="both"/>
        <w:rPr>
          <w:rFonts w:eastAsiaTheme="minorEastAsia" w:hAnsi="Times New Roman" w:cs="Times New Roman"/>
          <w:sz w:val="28"/>
          <w:szCs w:val="28"/>
        </w:rPr>
      </w:pPr>
    </w:p>
    <w:p w:rsidR="00537ABF" w:rsidRDefault="00537ABF">
      <w:pPr>
        <w:spacing w:after="120" w:line="276" w:lineRule="auto"/>
        <w:jc w:val="both"/>
        <w:rPr>
          <w:rFonts w:eastAsiaTheme="minorEastAsia" w:hAnsi="Times New Roman" w:cs="Times New Roman"/>
          <w:sz w:val="28"/>
          <w:szCs w:val="28"/>
        </w:rPr>
      </w:pPr>
    </w:p>
    <w:p w:rsidR="00537ABF" w:rsidRDefault="00B935A9">
      <w:pPr>
        <w:spacing w:after="120" w:line="276" w:lineRule="auto"/>
        <w:jc w:val="both"/>
        <w:rPr>
          <w:rFonts w:eastAsiaTheme="minorEastAsia" w:hAnsi="Times New Roman" w:cs="Times New Roman"/>
          <w:i/>
          <w:iCs/>
          <w:sz w:val="28"/>
          <w:szCs w:val="28"/>
        </w:rPr>
      </w:pPr>
      <w:r>
        <w:rPr>
          <w:rFonts w:eastAsiaTheme="minorEastAsia" w:hAnsi="Times New Roman" w:cs="Times New Roman"/>
          <w:sz w:val="28"/>
          <w:szCs w:val="28"/>
        </w:rPr>
        <w:lastRenderedPageBreak/>
        <w:t xml:space="preserve">Table S2 Comparative transcription levels of the </w:t>
      </w:r>
      <w:proofErr w:type="spellStart"/>
      <w:r>
        <w:rPr>
          <w:rFonts w:eastAsiaTheme="minorEastAsia" w:hAnsi="Times New Roman" w:cs="Times New Roman"/>
          <w:sz w:val="28"/>
          <w:szCs w:val="28"/>
        </w:rPr>
        <w:t>sorbicillinoid</w:t>
      </w:r>
      <w:proofErr w:type="spellEnd"/>
      <w:r>
        <w:rPr>
          <w:rFonts w:eastAsiaTheme="minorEastAsia" w:hAnsi="Times New Roman" w:cs="Times New Roman"/>
          <w:sz w:val="28"/>
          <w:szCs w:val="28"/>
        </w:rPr>
        <w:t xml:space="preserve"> gene cluster and its neighboring </w:t>
      </w:r>
      <w:proofErr w:type="spellStart"/>
      <w:r>
        <w:rPr>
          <w:rFonts w:eastAsiaTheme="minorEastAsia" w:hAnsi="Times New Roman" w:cs="Times New Roman"/>
          <w:sz w:val="28"/>
          <w:szCs w:val="28"/>
        </w:rPr>
        <w:t>cellulase</w:t>
      </w:r>
      <w:proofErr w:type="spellEnd"/>
      <w:r>
        <w:rPr>
          <w:rFonts w:eastAsiaTheme="minorEastAsia" w:hAnsi="Times New Roman" w:cs="Times New Roman"/>
          <w:sz w:val="28"/>
          <w:szCs w:val="28"/>
        </w:rPr>
        <w:t xml:space="preserve">-related genes in </w:t>
      </w:r>
      <w:r>
        <w:rPr>
          <w:rFonts w:eastAsiaTheme="minorEastAsia" w:hAnsi="Times New Roman" w:cs="Times New Roman"/>
          <w:i/>
          <w:iCs/>
          <w:sz w:val="28"/>
          <w:szCs w:val="28"/>
        </w:rPr>
        <w:t xml:space="preserve">T. </w:t>
      </w:r>
      <w:proofErr w:type="spellStart"/>
      <w:r>
        <w:rPr>
          <w:rFonts w:eastAsiaTheme="minorEastAsia" w:hAnsi="Times New Roman" w:cs="Times New Roman"/>
          <w:i/>
          <w:iCs/>
          <w:sz w:val="28"/>
          <w:szCs w:val="28"/>
        </w:rPr>
        <w:t>reesei</w:t>
      </w:r>
      <w:proofErr w:type="spellEnd"/>
      <w:r>
        <w:rPr>
          <w:rFonts w:eastAsiaTheme="minorEastAsia" w:hAnsi="Times New Roman" w:cs="Times New Roman"/>
          <w:i/>
          <w:iCs/>
          <w:sz w:val="28"/>
          <w:szCs w:val="28"/>
        </w:rPr>
        <w:t xml:space="preserve"> </w:t>
      </w:r>
      <w:r>
        <w:rPr>
          <w:rFonts w:eastAsiaTheme="minorEastAsia" w:hAnsi="Times New Roman" w:cs="Times New Roman"/>
          <w:iCs/>
          <w:sz w:val="28"/>
          <w:szCs w:val="28"/>
        </w:rPr>
        <w:t>ZC121</w:t>
      </w:r>
      <w:r>
        <w:rPr>
          <w:rFonts w:eastAsiaTheme="minorEastAsia" w:hAnsi="Times New Roman" w:cs="Times New Roman" w:hint="eastAsia"/>
          <w:sz w:val="28"/>
          <w:szCs w:val="28"/>
        </w:rPr>
        <w:t>on cellulose and glucose.</w:t>
      </w:r>
    </w:p>
    <w:tbl>
      <w:tblPr>
        <w:tblW w:w="84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990"/>
        <w:gridCol w:w="1170"/>
        <w:gridCol w:w="1035"/>
        <w:gridCol w:w="1305"/>
        <w:gridCol w:w="735"/>
        <w:gridCol w:w="2415"/>
      </w:tblGrid>
      <w:tr w:rsidR="00537ABF">
        <w:tc>
          <w:tcPr>
            <w:tcW w:w="7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spacing w:line="240" w:lineRule="auto"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Gene </w:t>
            </w:r>
            <w:proofErr w:type="spellStart"/>
            <w:r>
              <w:rPr>
                <w:rFonts w:hAnsi="Times New Roman" w:cs="Times New Roman"/>
                <w:sz w:val="18"/>
                <w:szCs w:val="18"/>
              </w:rPr>
              <w:t>ID</w:t>
            </w:r>
            <w:r>
              <w:rPr>
                <w:rFonts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spacing w:line="24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log2(C121/CC30)</w:t>
            </w:r>
          </w:p>
          <w:p w:rsidR="00537ABF" w:rsidRDefault="00B935A9">
            <w:pPr>
              <w:spacing w:line="240" w:lineRule="auto"/>
              <w:jc w:val="both"/>
              <w:rPr>
                <w:rFonts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hAnsi="Times New Roman" w:cs="Times New Roman" w:hint="eastAsia"/>
                <w:sz w:val="18"/>
                <w:szCs w:val="18"/>
              </w:rPr>
              <w:t>Celluose</w:t>
            </w:r>
            <w:proofErr w:type="spellEnd"/>
            <w:r>
              <w:rPr>
                <w:rFonts w:hAnsi="Times New Roman" w:cs="Times New Roman" w:hint="eastAsia"/>
                <w:sz w:val="18"/>
                <w:szCs w:val="18"/>
              </w:rPr>
              <w:t xml:space="preserve">        Glucose</w:t>
            </w:r>
          </w:p>
        </w:tc>
        <w:tc>
          <w:tcPr>
            <w:tcW w:w="23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spacing w:line="24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>p</w:t>
            </w:r>
            <w:r>
              <w:rPr>
                <w:rFonts w:hAnsi="Times New Roman" w:cs="Times New Roman"/>
                <w:sz w:val="18"/>
                <w:szCs w:val="18"/>
              </w:rPr>
              <w:t xml:space="preserve"> value</w:t>
            </w:r>
          </w:p>
          <w:p w:rsidR="00537ABF" w:rsidRDefault="00B935A9">
            <w:pPr>
              <w:spacing w:line="240" w:lineRule="auto"/>
              <w:jc w:val="both"/>
              <w:rPr>
                <w:rFonts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hAnsi="Times New Roman" w:cs="Times New Roman" w:hint="eastAsia"/>
                <w:sz w:val="18"/>
                <w:szCs w:val="18"/>
              </w:rPr>
              <w:t>Celluose</w:t>
            </w:r>
            <w:proofErr w:type="spellEnd"/>
            <w:r>
              <w:rPr>
                <w:rFonts w:hAnsi="Times New Roman" w:cs="Times New Roman" w:hint="eastAsia"/>
                <w:sz w:val="18"/>
                <w:szCs w:val="18"/>
              </w:rPr>
              <w:t xml:space="preserve">          Glucose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spacing w:line="240" w:lineRule="auto"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Gene </w:t>
            </w:r>
            <w:r>
              <w:rPr>
                <w:rFonts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2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37ABF" w:rsidRDefault="00B935A9">
            <w:pPr>
              <w:spacing w:line="240" w:lineRule="auto"/>
              <w:ind w:firstLineChars="200" w:firstLine="360"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Description</w:t>
            </w:r>
          </w:p>
        </w:tc>
      </w:tr>
      <w:tr w:rsidR="00537ABF">
        <w:trPr>
          <w:trHeight w:val="297"/>
        </w:trPr>
        <w:tc>
          <w:tcPr>
            <w:tcW w:w="783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67737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proofErr w:type="spellStart"/>
            <w:r>
              <w:rPr>
                <w:rFonts w:eastAsia="宋体" w:hAnsi="Times New Roman" w:cs="Times New Roman" w:hint="eastAsia"/>
                <w:sz w:val="18"/>
                <w:szCs w:val="18"/>
                <w:lang/>
              </w:rPr>
              <w:t>inf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proofErr w:type="spellStart"/>
            <w:r>
              <w:rPr>
                <w:rFonts w:eastAsia="宋体" w:hAnsi="Times New Roman" w:cs="Times New Roman" w:hint="eastAsia"/>
                <w:sz w:val="18"/>
                <w:szCs w:val="18"/>
                <w:lang/>
              </w:rPr>
              <w:t>inf</w:t>
            </w:r>
            <w:proofErr w:type="spellEnd"/>
          </w:p>
        </w:tc>
        <w:tc>
          <w:tcPr>
            <w:tcW w:w="1035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proofErr w:type="spellStart"/>
            <w:r>
              <w:rPr>
                <w:rFonts w:eastAsia="宋体" w:hAnsi="Times New Roman" w:cs="Times New Roman" w:hint="eastAsia"/>
                <w:sz w:val="18"/>
                <w:szCs w:val="18"/>
                <w:lang/>
              </w:rPr>
              <w:t>inf</w:t>
            </w:r>
            <w:proofErr w:type="spellEnd"/>
          </w:p>
        </w:tc>
        <w:tc>
          <w:tcPr>
            <w:tcW w:w="1305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proofErr w:type="spellStart"/>
            <w:r>
              <w:rPr>
                <w:rFonts w:eastAsia="宋体" w:hAnsi="Times New Roman" w:cs="Times New Roman" w:hint="eastAsia"/>
                <w:sz w:val="18"/>
                <w:szCs w:val="18"/>
                <w:lang/>
              </w:rPr>
              <w:t>inf</w:t>
            </w:r>
            <w:proofErr w:type="spellEnd"/>
          </w:p>
        </w:tc>
        <w:tc>
          <w:tcPr>
            <w:tcW w:w="735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spacing w:line="240" w:lineRule="auto"/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/>
                <w:i/>
                <w:iCs/>
                <w:sz w:val="18"/>
                <w:szCs w:val="18"/>
              </w:rPr>
              <w:t>s</w:t>
            </w: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>or5</w:t>
            </w:r>
          </w:p>
        </w:tc>
        <w:tc>
          <w:tcPr>
            <w:tcW w:w="2415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hypothetical protein</w:t>
            </w:r>
          </w:p>
        </w:tc>
      </w:tr>
      <w:tr w:rsidR="00537ABF">
        <w:trPr>
          <w:trHeight w:val="297"/>
        </w:trPr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93844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 xml:space="preserve">5.13855          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7.57345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spacing w:line="240" w:lineRule="auto"/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>sor1</w:t>
            </w:r>
          </w:p>
        </w:tc>
        <w:tc>
          <w:tcPr>
            <w:tcW w:w="2415" w:type="dxa"/>
            <w:tcBorders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hypothetical protein</w:t>
            </w:r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93847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7.24352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9.79423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spacing w:line="240" w:lineRule="auto"/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>sor2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hypothetical protein</w:t>
            </w:r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139626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11.3587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11.6189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0.0041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spacing w:line="240" w:lineRule="auto"/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>sor3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FAD/NAD(P)-binding domain-containing protein</w:t>
            </w:r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121436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8.76461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8.58193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 xml:space="preserve">sor6 </w:t>
            </w:r>
            <w:r>
              <w:rPr>
                <w:rFonts w:hAnsi="Times New Roman" w:cs="Times New Roman" w:hint="eastAsia"/>
                <w:iCs/>
                <w:sz w:val="18"/>
                <w:szCs w:val="18"/>
              </w:rPr>
              <w:t>(MFS)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MFS general substrate transporter</w:t>
            </w:r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31634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4.84193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5.20684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>ypr2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hypothetical protein</w:t>
            </w:r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4579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6.43464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5.79129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>sor4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 xml:space="preserve">putative </w:t>
            </w:r>
            <w:proofErr w:type="spellStart"/>
            <w:r>
              <w:rPr>
                <w:rFonts w:eastAsia="宋体" w:hAnsi="Times New Roman" w:cs="Times New Roman"/>
                <w:sz w:val="18"/>
                <w:szCs w:val="18"/>
                <w:lang/>
              </w:rPr>
              <w:t>isoamyl</w:t>
            </w:r>
            <w:proofErr w:type="spellEnd"/>
            <w:r>
              <w:rPr>
                <w:rFonts w:eastAsia="宋体" w:hAnsi="Times New Roman" w:cs="Times New Roman"/>
                <w:sz w:val="18"/>
                <w:szCs w:val="18"/>
                <w:lang/>
              </w:rPr>
              <w:t xml:space="preserve"> alcohol </w:t>
            </w:r>
            <w:proofErr w:type="spellStart"/>
            <w:r>
              <w:rPr>
                <w:rFonts w:eastAsia="宋体" w:hAnsi="Times New Roman" w:cs="Times New Roman"/>
                <w:sz w:val="18"/>
                <w:szCs w:val="18"/>
                <w:lang/>
              </w:rPr>
              <w:t>oxidase</w:t>
            </w:r>
            <w:proofErr w:type="spellEnd"/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93861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4.70987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4.77854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/>
                <w:i/>
                <w:iCs/>
                <w:sz w:val="18"/>
                <w:szCs w:val="18"/>
              </w:rPr>
              <w:t>ypr1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hypothetical protein</w:t>
            </w:r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69551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4.70987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0.00140732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0.7632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69551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hypothetical protein</w:t>
            </w:r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139631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-5.74706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-0.736928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0.1496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>axe1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 xml:space="preserve">acetyl </w:t>
            </w:r>
            <w:proofErr w:type="spellStart"/>
            <w:r>
              <w:rPr>
                <w:rFonts w:eastAsia="宋体" w:hAnsi="Times New Roman" w:cs="Times New Roman"/>
                <w:sz w:val="18"/>
                <w:szCs w:val="18"/>
                <w:lang/>
              </w:rPr>
              <w:t>xylan</w:t>
            </w:r>
            <w:proofErr w:type="spellEnd"/>
            <w:r>
              <w:rPr>
                <w:rFonts w:eastAsia="宋体" w:hAnsi="Times New Roman" w:cs="Times New Roman"/>
                <w:sz w:val="18"/>
                <w:szCs w:val="18"/>
                <w:lang/>
              </w:rPr>
              <w:t xml:space="preserve"> esterase</w:t>
            </w:r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121449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-6.30054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-2.7972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0.00025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>cip1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hypothetical protein</w:t>
            </w:r>
          </w:p>
        </w:tc>
      </w:tr>
      <w:tr w:rsidR="00537ABF">
        <w:tc>
          <w:tcPr>
            <w:tcW w:w="78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139633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-5.70598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-1.33685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5.00E-05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F" w:rsidRDefault="00B935A9">
            <w:pPr>
              <w:jc w:val="both"/>
              <w:rPr>
                <w:rFonts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Ansi="Times New Roman" w:cs="Times New Roman" w:hint="eastAsia"/>
                <w:i/>
                <w:iCs/>
                <w:sz w:val="18"/>
                <w:szCs w:val="18"/>
              </w:rPr>
              <w:t>cel61a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537ABF" w:rsidRDefault="00B935A9">
            <w:pPr>
              <w:textAlignment w:val="center"/>
              <w:rPr>
                <w:rFonts w:eastAsia="宋体" w:hAnsi="Times New Roman" w:cs="Times New Roman"/>
                <w:sz w:val="18"/>
                <w:szCs w:val="18"/>
                <w:lang/>
              </w:rPr>
            </w:pPr>
            <w:r>
              <w:rPr>
                <w:rFonts w:eastAsia="宋体" w:hAnsi="Times New Roman" w:cs="Times New Roman"/>
                <w:sz w:val="18"/>
                <w:szCs w:val="18"/>
                <w:lang/>
              </w:rPr>
              <w:t>endoglucanase-4</w:t>
            </w:r>
          </w:p>
        </w:tc>
      </w:tr>
    </w:tbl>
    <w:p w:rsidR="00537ABF" w:rsidRDefault="00B935A9">
      <w:pPr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a: </w:t>
      </w:r>
      <w:r>
        <w:rPr>
          <w:rFonts w:hAnsi="Times New Roman" w:cs="Times New Roman"/>
          <w:sz w:val="24"/>
          <w:szCs w:val="24"/>
        </w:rPr>
        <w:t xml:space="preserve">Gene ID was assigned based on the </w:t>
      </w:r>
      <w:r>
        <w:rPr>
          <w:rFonts w:hAnsi="Times New Roman" w:cs="Times New Roman"/>
          <w:i/>
          <w:sz w:val="24"/>
          <w:szCs w:val="24"/>
        </w:rPr>
        <w:t xml:space="preserve">T. </w:t>
      </w:r>
      <w:proofErr w:type="spellStart"/>
      <w:r>
        <w:rPr>
          <w:rFonts w:hAnsi="Times New Roman" w:cs="Times New Roman"/>
          <w:i/>
          <w:sz w:val="24"/>
          <w:szCs w:val="24"/>
        </w:rPr>
        <w:t>reesei</w:t>
      </w:r>
      <w:proofErr w:type="spellEnd"/>
      <w:r>
        <w:rPr>
          <w:rFonts w:hAnsi="Times New Roman" w:cs="Times New Roman"/>
          <w:i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RUT-C30</w:t>
      </w:r>
      <w:r>
        <w:rPr>
          <w:rFonts w:hAnsi="Times New Roman" w:cs="Times New Roman"/>
          <w:sz w:val="24"/>
          <w:szCs w:val="24"/>
        </w:rPr>
        <w:t xml:space="preserve">genome database (https://www.ncbi.nlm.nih.gov/genome/323?genome_assembly_id=49799). </w:t>
      </w:r>
      <w:proofErr w:type="spellStart"/>
      <w:r>
        <w:rPr>
          <w:rFonts w:hAnsi="Times New Roman" w:cs="Times New Roman"/>
          <w:sz w:val="24"/>
          <w:szCs w:val="24"/>
        </w:rPr>
        <w:t>Inf</w:t>
      </w:r>
      <w:proofErr w:type="spellEnd"/>
      <w:r>
        <w:rPr>
          <w:rFonts w:hAnsi="Times New Roman" w:cs="Times New Roman"/>
          <w:sz w:val="24"/>
          <w:szCs w:val="24"/>
        </w:rPr>
        <w:t xml:space="preserve">: the transcript of </w:t>
      </w:r>
      <w:r>
        <w:rPr>
          <w:rFonts w:hAnsi="Times New Roman" w:cs="Times New Roman" w:hint="eastAsia"/>
          <w:sz w:val="24"/>
          <w:szCs w:val="24"/>
        </w:rPr>
        <w:t>s</w:t>
      </w:r>
      <w:r>
        <w:rPr>
          <w:rFonts w:hAnsi="Times New Roman" w:cs="Times New Roman"/>
          <w:sz w:val="24"/>
          <w:szCs w:val="24"/>
        </w:rPr>
        <w:t>or5 was not</w:t>
      </w:r>
      <w:r>
        <w:rPr>
          <w:rFonts w:hAnsi="Times New Roman" w:cs="Times New Roman" w:hint="eastAsia"/>
          <w:sz w:val="24"/>
          <w:szCs w:val="24"/>
        </w:rPr>
        <w:t xml:space="preserve"> detected in RUT-C30, but in ZC121</w:t>
      </w:r>
      <w:r>
        <w:rPr>
          <w:rFonts w:hAnsi="Times New Roman" w:cs="Times New Roman"/>
          <w:sz w:val="24"/>
          <w:szCs w:val="24"/>
        </w:rPr>
        <w:t xml:space="preserve">. </w:t>
      </w:r>
    </w:p>
    <w:p w:rsidR="00537ABF" w:rsidRDefault="00537ABF">
      <w:pPr>
        <w:jc w:val="both"/>
        <w:rPr>
          <w:rFonts w:eastAsiaTheme="minorEastAsia" w:hAnsi="Times New Roman" w:cs="Times New Roman"/>
          <w:sz w:val="28"/>
          <w:szCs w:val="28"/>
        </w:rPr>
      </w:pPr>
    </w:p>
    <w:p w:rsidR="00537ABF" w:rsidRDefault="00537ABF"/>
    <w:p w:rsidR="00537ABF" w:rsidRDefault="00537ABF"/>
    <w:p w:rsidR="00537ABF" w:rsidRDefault="00537ABF"/>
    <w:sectPr w:rsidR="00537ABF" w:rsidSect="00537ABF"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BF" w:rsidRDefault="00537ABF" w:rsidP="00537ABF">
      <w:pPr>
        <w:spacing w:line="240" w:lineRule="auto"/>
      </w:pPr>
      <w:r>
        <w:separator/>
      </w:r>
    </w:p>
  </w:endnote>
  <w:endnote w:type="continuationSeparator" w:id="1">
    <w:p w:rsidR="00537ABF" w:rsidRDefault="00537ABF" w:rsidP="00537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BF" w:rsidRDefault="00537ABF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  <w:r>
      <w:rPr>
        <w:rFonts w:hAnsi="Times New Roman"/>
        <w:sz w:val="18"/>
      </w:rPr>
      <w:fldChar w:fldCharType="begin"/>
    </w:r>
    <w:r w:rsidR="00B935A9">
      <w:rPr>
        <w:rFonts w:hAnsi="Times New Roman"/>
        <w:sz w:val="18"/>
      </w:rPr>
      <w:instrText>PAGE</w:instrText>
    </w:r>
    <w:r>
      <w:rPr>
        <w:rFonts w:hAnsi="Times New Roman"/>
        <w:sz w:val="18"/>
      </w:rPr>
      <w:fldChar w:fldCharType="separate"/>
    </w:r>
    <w:r w:rsidR="00B935A9">
      <w:rPr>
        <w:rFonts w:hAnsi="Times New Roman"/>
        <w:noProof/>
        <w:sz w:val="18"/>
      </w:rPr>
      <w:t>4</w:t>
    </w:r>
    <w:r>
      <w:rPr>
        <w:rFonts w:hAnsi="Times New Roman"/>
        <w:sz w:val="18"/>
      </w:rPr>
      <w:fldChar w:fldCharType="end"/>
    </w:r>
  </w:p>
  <w:p w:rsidR="00537ABF" w:rsidRDefault="00537ABF">
    <w:pPr>
      <w:tabs>
        <w:tab w:val="center" w:pos="4153"/>
        <w:tab w:val="right" w:pos="8306"/>
      </w:tabs>
      <w:snapToGrid w:val="0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BF" w:rsidRDefault="00537ABF" w:rsidP="00537ABF">
      <w:pPr>
        <w:spacing w:line="240" w:lineRule="auto"/>
      </w:pPr>
      <w:r>
        <w:separator/>
      </w:r>
    </w:p>
  </w:footnote>
  <w:footnote w:type="continuationSeparator" w:id="1">
    <w:p w:rsidR="00537ABF" w:rsidRDefault="00537ABF" w:rsidP="00537A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55B"/>
    <w:rsid w:val="0021355B"/>
    <w:rsid w:val="00537ABF"/>
    <w:rsid w:val="005E24D9"/>
    <w:rsid w:val="00AA71D4"/>
    <w:rsid w:val="00B935A9"/>
    <w:rsid w:val="00E46330"/>
    <w:rsid w:val="00FB113D"/>
    <w:rsid w:val="062B6AC3"/>
    <w:rsid w:val="2C456B8C"/>
    <w:rsid w:val="4173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BF"/>
    <w:pPr>
      <w:spacing w:line="240" w:lineRule="atLeast"/>
    </w:pPr>
    <w:rPr>
      <w:rFonts w:ascii="Times New Roman" w:eastAsia="等线" w:hAnsi="宋体" w:cs="宋体"/>
    </w:rPr>
  </w:style>
  <w:style w:type="paragraph" w:styleId="1">
    <w:name w:val="heading 1"/>
    <w:basedOn w:val="a"/>
    <w:next w:val="a"/>
    <w:link w:val="1Char"/>
    <w:uiPriority w:val="9"/>
    <w:qFormat/>
    <w:rsid w:val="00537ABF"/>
    <w:pPr>
      <w:spacing w:before="100" w:beforeAutospacing="1" w:after="100" w:afterAutospacing="1"/>
      <w:outlineLvl w:val="0"/>
    </w:pPr>
    <w:rPr>
      <w:rFonts w:ascii="宋体" w:eastAsia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7A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37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537ABF"/>
    <w:rPr>
      <w:i/>
      <w:iCs/>
    </w:rPr>
  </w:style>
  <w:style w:type="character" w:styleId="a6">
    <w:name w:val="annotation reference"/>
    <w:basedOn w:val="a0"/>
    <w:uiPriority w:val="99"/>
    <w:semiHidden/>
    <w:unhideWhenUsed/>
    <w:qFormat/>
    <w:rsid w:val="00537ABF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537ABF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537AB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537ABF"/>
    <w:rPr>
      <w:rFonts w:ascii="Calibri" w:hAnsi="Calibri" w:cs="Arial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7ABF"/>
    <w:rPr>
      <w:rFonts w:ascii="Calibri" w:hAnsi="Calibri" w:cs="Arial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935A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35A9"/>
    <w:rPr>
      <w:rFonts w:ascii="Times New Roman" w:eastAsia="等线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gram%20Files%20(x86)\Youdao\Dict\7.5.0.0\resultui\dict\?keyword=homomycin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Windows 用户</cp:lastModifiedBy>
  <cp:revision>3</cp:revision>
  <dcterms:created xsi:type="dcterms:W3CDTF">2018-06-06T16:31:00Z</dcterms:created>
  <dcterms:modified xsi:type="dcterms:W3CDTF">2018-09-12T01:52:00Z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