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70" w:rsidRDefault="009E4B19" w:rsidP="009076F9">
      <w:pPr>
        <w:jc w:val="center"/>
        <w:rPr>
          <w:rFonts w:ascii="Times New Roman" w:hAnsi="Times New Roman" w:cs="Times New Roman"/>
          <w:b/>
          <w:sz w:val="24"/>
          <w:lang w:val="en-US"/>
        </w:rPr>
      </w:pPr>
      <w:r w:rsidRPr="009076F9">
        <w:rPr>
          <w:rFonts w:ascii="Times New Roman" w:hAnsi="Times New Roman" w:cs="Times New Roman"/>
          <w:b/>
          <w:sz w:val="24"/>
          <w:lang w:val="en-US"/>
        </w:rPr>
        <w:t xml:space="preserve">Appendix </w:t>
      </w:r>
      <w:r w:rsidR="0084540F">
        <w:rPr>
          <w:rFonts w:ascii="Times New Roman" w:hAnsi="Times New Roman" w:cs="Times New Roman"/>
          <w:b/>
          <w:sz w:val="24"/>
          <w:lang w:val="en-US"/>
        </w:rPr>
        <w:t>G</w:t>
      </w:r>
      <w:r w:rsidRPr="009076F9">
        <w:rPr>
          <w:rFonts w:ascii="Times New Roman" w:hAnsi="Times New Roman" w:cs="Times New Roman"/>
          <w:b/>
          <w:sz w:val="24"/>
          <w:lang w:val="en-US"/>
        </w:rPr>
        <w:t xml:space="preserve">. </w:t>
      </w:r>
      <w:r w:rsidR="009076F9">
        <w:rPr>
          <w:rFonts w:ascii="Times New Roman" w:hAnsi="Times New Roman" w:cs="Times New Roman"/>
          <w:b/>
          <w:sz w:val="24"/>
          <w:lang w:val="en-US"/>
        </w:rPr>
        <w:t>E</w:t>
      </w:r>
      <w:r w:rsidRPr="009076F9">
        <w:rPr>
          <w:rFonts w:ascii="Times New Roman" w:hAnsi="Times New Roman" w:cs="Times New Roman"/>
          <w:b/>
          <w:sz w:val="24"/>
          <w:lang w:val="en-US"/>
        </w:rPr>
        <w:t>xplanations to support the strategy applied in primary and sensitivity analysis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992"/>
        <w:gridCol w:w="7120"/>
      </w:tblGrid>
      <w:tr w:rsidR="001C0770" w:rsidTr="00044D7F">
        <w:trPr>
          <w:trHeight w:val="180"/>
        </w:trPr>
        <w:tc>
          <w:tcPr>
            <w:tcW w:w="1526" w:type="dxa"/>
            <w:tcBorders>
              <w:top w:val="single" w:sz="12" w:space="0" w:color="auto"/>
              <w:bottom w:val="single" w:sz="6" w:space="0" w:color="auto"/>
            </w:tcBorders>
            <w:vAlign w:val="center"/>
          </w:tcPr>
          <w:p w:rsidR="001C0770" w:rsidRPr="00D5603E" w:rsidRDefault="00B3359D" w:rsidP="00B3359D">
            <w:pPr>
              <w:jc w:val="center"/>
              <w:rPr>
                <w:rFonts w:ascii="Times New Roman" w:hAnsi="Times New Roman" w:cs="Times New Roman"/>
                <w:b/>
                <w:sz w:val="24"/>
                <w:lang w:val="en-US"/>
              </w:rPr>
            </w:pPr>
            <w:r w:rsidRPr="00D5603E">
              <w:rPr>
                <w:rFonts w:ascii="Times New Roman" w:hAnsi="Times New Roman" w:cs="Times New Roman"/>
                <w:b/>
                <w:sz w:val="24"/>
                <w:lang w:val="en-US"/>
              </w:rPr>
              <w:t>PMID</w:t>
            </w:r>
          </w:p>
        </w:tc>
        <w:tc>
          <w:tcPr>
            <w:tcW w:w="992" w:type="dxa"/>
            <w:tcBorders>
              <w:top w:val="single" w:sz="12" w:space="0" w:color="auto"/>
              <w:bottom w:val="single" w:sz="6" w:space="0" w:color="auto"/>
            </w:tcBorders>
            <w:vAlign w:val="center"/>
          </w:tcPr>
          <w:p w:rsidR="001C0770" w:rsidRPr="00D5603E" w:rsidRDefault="00F6061A" w:rsidP="00B3359D">
            <w:pPr>
              <w:jc w:val="center"/>
              <w:rPr>
                <w:rFonts w:ascii="Times New Roman" w:hAnsi="Times New Roman" w:cs="Times New Roman"/>
                <w:b/>
                <w:sz w:val="24"/>
                <w:lang w:val="en-US"/>
              </w:rPr>
            </w:pPr>
            <w:r w:rsidRPr="00D5603E">
              <w:rPr>
                <w:rFonts w:ascii="Times New Roman" w:hAnsi="Times New Roman" w:cs="Times New Roman"/>
                <w:b/>
                <w:sz w:val="24"/>
                <w:lang w:val="en-US"/>
              </w:rPr>
              <w:t>Year</w:t>
            </w:r>
          </w:p>
        </w:tc>
        <w:tc>
          <w:tcPr>
            <w:tcW w:w="7120" w:type="dxa"/>
            <w:tcBorders>
              <w:top w:val="single" w:sz="12" w:space="0" w:color="auto"/>
              <w:bottom w:val="single" w:sz="6" w:space="0" w:color="auto"/>
            </w:tcBorders>
            <w:vAlign w:val="center"/>
          </w:tcPr>
          <w:p w:rsidR="001C0770" w:rsidRPr="00D5603E" w:rsidRDefault="00C11D19" w:rsidP="00B3359D">
            <w:pPr>
              <w:jc w:val="center"/>
              <w:rPr>
                <w:rFonts w:ascii="Times New Roman" w:hAnsi="Times New Roman" w:cs="Times New Roman"/>
                <w:b/>
                <w:sz w:val="24"/>
                <w:lang w:val="en-US"/>
              </w:rPr>
            </w:pPr>
            <w:r w:rsidRPr="00D5603E">
              <w:rPr>
                <w:rFonts w:ascii="Times New Roman" w:hAnsi="Times New Roman" w:cs="Times New Roman"/>
                <w:b/>
                <w:sz w:val="24"/>
                <w:lang w:val="en-US"/>
              </w:rPr>
              <w:t>Quotations</w:t>
            </w:r>
          </w:p>
        </w:tc>
      </w:tr>
      <w:tr w:rsidR="00760ACA" w:rsidRPr="0084540F" w:rsidTr="00044D7F">
        <w:tc>
          <w:tcPr>
            <w:tcW w:w="1526" w:type="dxa"/>
            <w:tcBorders>
              <w:top w:val="single" w:sz="6" w:space="0" w:color="auto"/>
            </w:tcBorders>
            <w:vAlign w:val="center"/>
          </w:tcPr>
          <w:p w:rsidR="00760ACA" w:rsidRPr="007B6AD8" w:rsidRDefault="00760ACA" w:rsidP="001C5B9D">
            <w:pPr>
              <w:jc w:val="center"/>
              <w:rPr>
                <w:rFonts w:ascii="Times New Roman" w:hAnsi="Times New Roman" w:cs="Times New Roman"/>
              </w:rPr>
            </w:pPr>
            <w:r w:rsidRPr="007B6AD8">
              <w:rPr>
                <w:rFonts w:ascii="Times New Roman" w:hAnsi="Times New Roman" w:cs="Times New Roman"/>
              </w:rPr>
              <w:t>19185342</w:t>
            </w:r>
          </w:p>
        </w:tc>
        <w:tc>
          <w:tcPr>
            <w:tcW w:w="992" w:type="dxa"/>
            <w:tcBorders>
              <w:top w:val="single" w:sz="6" w:space="0" w:color="auto"/>
            </w:tcBorders>
            <w:vAlign w:val="center"/>
          </w:tcPr>
          <w:p w:rsidR="00760ACA" w:rsidRPr="00F526F3" w:rsidRDefault="00760ACA" w:rsidP="001C5B9D">
            <w:pPr>
              <w:jc w:val="center"/>
              <w:rPr>
                <w:rFonts w:ascii="Times New Roman" w:hAnsi="Times New Roman" w:cs="Times New Roman"/>
              </w:rPr>
            </w:pPr>
            <w:r w:rsidRPr="00F526F3">
              <w:rPr>
                <w:rFonts w:ascii="Times New Roman" w:hAnsi="Times New Roman" w:cs="Times New Roman"/>
              </w:rPr>
              <w:t>2009</w:t>
            </w:r>
          </w:p>
        </w:tc>
        <w:tc>
          <w:tcPr>
            <w:tcW w:w="7120" w:type="dxa"/>
            <w:tcBorders>
              <w:top w:val="single" w:sz="6" w:space="0" w:color="auto"/>
            </w:tcBorders>
            <w:vAlign w:val="bottom"/>
          </w:tcPr>
          <w:p w:rsidR="00760ACA" w:rsidRPr="00DB788F" w:rsidRDefault="00760ACA" w:rsidP="001C5B9D">
            <w:pPr>
              <w:jc w:val="both"/>
              <w:rPr>
                <w:rFonts w:ascii="Times New Roman" w:hAnsi="Times New Roman" w:cs="Times New Roman"/>
                <w:lang w:val="en-US"/>
              </w:rPr>
            </w:pPr>
            <w:r w:rsidRPr="00DB788F">
              <w:rPr>
                <w:rFonts w:ascii="Times New Roman" w:hAnsi="Times New Roman" w:cs="Times New Roman"/>
                <w:lang w:val="en-US"/>
              </w:rPr>
              <w:t>"To carry out a clinically sound analysis, we used a conservative approach and imputed outcomes for the missing participants assuming that they did not respond to treatment"</w:t>
            </w:r>
            <w:r w:rsidR="008673B5">
              <w:rPr>
                <w:rFonts w:ascii="Times New Roman" w:hAnsi="Times New Roman" w:cs="Times New Roman"/>
                <w:lang w:val="en-US"/>
              </w:rPr>
              <w:t>.</w:t>
            </w:r>
          </w:p>
        </w:tc>
      </w:tr>
      <w:tr w:rsidR="00760ACA" w:rsidRPr="0084540F" w:rsidTr="00AB0800">
        <w:tc>
          <w:tcPr>
            <w:tcW w:w="1526" w:type="dxa"/>
            <w:vAlign w:val="center"/>
          </w:tcPr>
          <w:p w:rsidR="00760ACA" w:rsidRPr="007B6AD8" w:rsidRDefault="00760ACA" w:rsidP="007B6AD8">
            <w:pPr>
              <w:jc w:val="center"/>
              <w:rPr>
                <w:rFonts w:ascii="Times New Roman" w:hAnsi="Times New Roman" w:cs="Times New Roman"/>
              </w:rPr>
            </w:pPr>
            <w:r w:rsidRPr="007B6AD8">
              <w:rPr>
                <w:rFonts w:ascii="Times New Roman" w:hAnsi="Times New Roman" w:cs="Times New Roman"/>
              </w:rPr>
              <w:t>19954682</w:t>
            </w:r>
          </w:p>
        </w:tc>
        <w:tc>
          <w:tcPr>
            <w:tcW w:w="992" w:type="dxa"/>
            <w:vAlign w:val="center"/>
          </w:tcPr>
          <w:p w:rsidR="00760ACA" w:rsidRPr="00F526F3" w:rsidRDefault="00760ACA">
            <w:pPr>
              <w:jc w:val="center"/>
              <w:rPr>
                <w:rFonts w:ascii="Times New Roman" w:hAnsi="Times New Roman" w:cs="Times New Roman"/>
              </w:rPr>
            </w:pPr>
            <w:r w:rsidRPr="00F526F3">
              <w:rPr>
                <w:rFonts w:ascii="Times New Roman" w:hAnsi="Times New Roman" w:cs="Times New Roman"/>
              </w:rPr>
              <w:t>2009</w:t>
            </w:r>
          </w:p>
        </w:tc>
        <w:tc>
          <w:tcPr>
            <w:tcW w:w="7120" w:type="dxa"/>
            <w:vAlign w:val="bottom"/>
          </w:tcPr>
          <w:p w:rsidR="00760ACA" w:rsidRPr="00DB788F" w:rsidRDefault="00760ACA" w:rsidP="00DB788F">
            <w:pPr>
              <w:jc w:val="both"/>
              <w:rPr>
                <w:rFonts w:ascii="Times New Roman" w:hAnsi="Times New Roman" w:cs="Times New Roman"/>
                <w:lang w:val="en-US"/>
              </w:rPr>
            </w:pPr>
            <w:r w:rsidRPr="00DB788F">
              <w:rPr>
                <w:rFonts w:ascii="Times New Roman" w:hAnsi="Times New Roman" w:cs="Times New Roman"/>
                <w:lang w:val="en-US"/>
              </w:rPr>
              <w:t>"Analyses were carried out for both the ITT (intention to treat; representative of the entire population recruited in the trials) and the ITTI (intention to treat, confirmed, influenza positive</w:t>
            </w:r>
            <w:r w:rsidR="008673B5">
              <w:rPr>
                <w:rFonts w:ascii="Times New Roman" w:hAnsi="Times New Roman" w:cs="Times New Roman"/>
                <w:lang w:val="en-US"/>
              </w:rPr>
              <w:t>) populations whenever possible</w:t>
            </w:r>
            <w:r w:rsidRPr="00DB788F">
              <w:rPr>
                <w:rFonts w:ascii="Times New Roman" w:hAnsi="Times New Roman" w:cs="Times New Roman"/>
                <w:lang w:val="en-US"/>
              </w:rPr>
              <w:t>"</w:t>
            </w:r>
            <w:r w:rsidR="008673B5">
              <w:rPr>
                <w:rFonts w:ascii="Times New Roman" w:hAnsi="Times New Roman" w:cs="Times New Roman"/>
                <w:lang w:val="en-US"/>
              </w:rPr>
              <w:t>.</w:t>
            </w:r>
          </w:p>
        </w:tc>
      </w:tr>
      <w:tr w:rsidR="00760ACA" w:rsidTr="00AB0800">
        <w:tc>
          <w:tcPr>
            <w:tcW w:w="1526" w:type="dxa"/>
            <w:vAlign w:val="center"/>
          </w:tcPr>
          <w:p w:rsidR="00760ACA" w:rsidRPr="007B6AD8" w:rsidRDefault="00760ACA" w:rsidP="007B6AD8">
            <w:pPr>
              <w:jc w:val="center"/>
              <w:rPr>
                <w:rFonts w:ascii="Times New Roman" w:hAnsi="Times New Roman" w:cs="Times New Roman"/>
              </w:rPr>
            </w:pPr>
            <w:r w:rsidRPr="007B6AD8">
              <w:rPr>
                <w:rFonts w:ascii="Times New Roman" w:hAnsi="Times New Roman" w:cs="Times New Roman"/>
              </w:rPr>
              <w:t>21040531</w:t>
            </w:r>
          </w:p>
        </w:tc>
        <w:tc>
          <w:tcPr>
            <w:tcW w:w="992" w:type="dxa"/>
            <w:vAlign w:val="center"/>
          </w:tcPr>
          <w:p w:rsidR="00760ACA" w:rsidRPr="00F526F3" w:rsidRDefault="00760ACA">
            <w:pPr>
              <w:jc w:val="center"/>
              <w:rPr>
                <w:rFonts w:ascii="Times New Roman" w:hAnsi="Times New Roman" w:cs="Times New Roman"/>
              </w:rPr>
            </w:pPr>
            <w:r w:rsidRPr="00F526F3">
              <w:rPr>
                <w:rFonts w:ascii="Times New Roman" w:hAnsi="Times New Roman" w:cs="Times New Roman"/>
              </w:rPr>
              <w:t>2010</w:t>
            </w:r>
          </w:p>
        </w:tc>
        <w:tc>
          <w:tcPr>
            <w:tcW w:w="7120" w:type="dxa"/>
            <w:vAlign w:val="bottom"/>
          </w:tcPr>
          <w:p w:rsidR="00760ACA" w:rsidRPr="00DB788F" w:rsidRDefault="00760ACA" w:rsidP="00DB788F">
            <w:pPr>
              <w:jc w:val="both"/>
              <w:rPr>
                <w:rFonts w:ascii="Times New Roman" w:hAnsi="Times New Roman" w:cs="Times New Roman"/>
              </w:rPr>
            </w:pPr>
            <w:r w:rsidRPr="00DB788F">
              <w:rPr>
                <w:rFonts w:ascii="Times New Roman" w:hAnsi="Times New Roman" w:cs="Times New Roman"/>
                <w:lang w:val="en-US"/>
              </w:rPr>
              <w:t xml:space="preserve">"However, concerns exist regarding whether it is appropriate to use LOCF in analyses involving progressive conditions or in situations where it may not be possible to determine whether missing data are non-random. Specifically for epilepsy, LOCF analysis yields seizure-free rates that are higher than the true clinical situation. </w:t>
            </w:r>
            <w:r w:rsidRPr="00DB788F">
              <w:rPr>
                <w:rFonts w:ascii="Times New Roman" w:hAnsi="Times New Roman" w:cs="Times New Roman"/>
              </w:rPr>
              <w:t>Therefore, we conducted two sensitivity analyses [...]"</w:t>
            </w:r>
            <w:r w:rsidR="008673B5">
              <w:rPr>
                <w:rFonts w:ascii="Times New Roman" w:hAnsi="Times New Roman" w:cs="Times New Roman"/>
              </w:rPr>
              <w:t>.</w:t>
            </w:r>
          </w:p>
        </w:tc>
      </w:tr>
      <w:tr w:rsidR="00760ACA" w:rsidRPr="0084540F" w:rsidTr="00AB0800">
        <w:tc>
          <w:tcPr>
            <w:tcW w:w="1526" w:type="dxa"/>
            <w:vAlign w:val="center"/>
          </w:tcPr>
          <w:p w:rsidR="00760ACA" w:rsidRPr="007B6AD8" w:rsidRDefault="00760ACA" w:rsidP="007B6AD8">
            <w:pPr>
              <w:jc w:val="center"/>
              <w:rPr>
                <w:rFonts w:ascii="Times New Roman" w:hAnsi="Times New Roman" w:cs="Times New Roman"/>
              </w:rPr>
            </w:pPr>
            <w:r w:rsidRPr="007B6AD8">
              <w:rPr>
                <w:rFonts w:ascii="Times New Roman" w:hAnsi="Times New Roman" w:cs="Times New Roman"/>
              </w:rPr>
              <w:t>22516128</w:t>
            </w:r>
          </w:p>
        </w:tc>
        <w:tc>
          <w:tcPr>
            <w:tcW w:w="992" w:type="dxa"/>
            <w:vAlign w:val="center"/>
          </w:tcPr>
          <w:p w:rsidR="00760ACA" w:rsidRPr="00F526F3" w:rsidRDefault="00760ACA">
            <w:pPr>
              <w:jc w:val="center"/>
              <w:rPr>
                <w:rFonts w:ascii="Times New Roman" w:hAnsi="Times New Roman" w:cs="Times New Roman"/>
              </w:rPr>
            </w:pPr>
            <w:r w:rsidRPr="00F526F3">
              <w:rPr>
                <w:rFonts w:ascii="Times New Roman" w:hAnsi="Times New Roman" w:cs="Times New Roman"/>
              </w:rPr>
              <w:t>2012</w:t>
            </w:r>
          </w:p>
        </w:tc>
        <w:tc>
          <w:tcPr>
            <w:tcW w:w="7120" w:type="dxa"/>
            <w:vAlign w:val="bottom"/>
          </w:tcPr>
          <w:p w:rsidR="00760ACA" w:rsidRPr="00DB788F" w:rsidRDefault="00760ACA" w:rsidP="00DB788F">
            <w:pPr>
              <w:jc w:val="both"/>
              <w:rPr>
                <w:rFonts w:ascii="Times New Roman" w:hAnsi="Times New Roman" w:cs="Times New Roman"/>
                <w:lang w:val="en-US"/>
              </w:rPr>
            </w:pPr>
            <w:r w:rsidRPr="00DB788F">
              <w:rPr>
                <w:rFonts w:ascii="Times New Roman" w:hAnsi="Times New Roman" w:cs="Times New Roman"/>
                <w:lang w:val="en-US"/>
              </w:rPr>
              <w:t xml:space="preserve">"To get an impression of the effect of withdrawals, we performed two types of </w:t>
            </w:r>
            <w:r>
              <w:rPr>
                <w:rFonts w:ascii="Times New Roman" w:hAnsi="Times New Roman" w:cs="Times New Roman"/>
                <w:lang w:val="en-US"/>
              </w:rPr>
              <w:t xml:space="preserve">(sensitivity) </w:t>
            </w:r>
            <w:r w:rsidRPr="00DB788F">
              <w:rPr>
                <w:rFonts w:ascii="Times New Roman" w:hAnsi="Times New Roman" w:cs="Times New Roman"/>
                <w:lang w:val="en-US"/>
              </w:rPr>
              <w:t>analysis: one in which patients lost to follow-up were considered cures and one in whic</w:t>
            </w:r>
            <w:r w:rsidR="008673B5">
              <w:rPr>
                <w:rFonts w:ascii="Times New Roman" w:hAnsi="Times New Roman" w:cs="Times New Roman"/>
                <w:lang w:val="en-US"/>
              </w:rPr>
              <w:t>h they were considered failures</w:t>
            </w:r>
            <w:r w:rsidRPr="00DB788F">
              <w:rPr>
                <w:rFonts w:ascii="Times New Roman" w:hAnsi="Times New Roman" w:cs="Times New Roman"/>
                <w:lang w:val="en-US"/>
              </w:rPr>
              <w:t>"</w:t>
            </w:r>
            <w:r w:rsidR="008673B5">
              <w:rPr>
                <w:rFonts w:ascii="Times New Roman" w:hAnsi="Times New Roman" w:cs="Times New Roman"/>
                <w:lang w:val="en-US"/>
              </w:rPr>
              <w:t>.</w:t>
            </w:r>
          </w:p>
        </w:tc>
      </w:tr>
      <w:tr w:rsidR="00D00EF2" w:rsidRPr="0084540F" w:rsidTr="00AB0800">
        <w:tc>
          <w:tcPr>
            <w:tcW w:w="1526" w:type="dxa"/>
            <w:vAlign w:val="center"/>
          </w:tcPr>
          <w:p w:rsidR="00D00EF2" w:rsidRPr="007B6AD8" w:rsidRDefault="00D00EF2" w:rsidP="001C5B9D">
            <w:pPr>
              <w:jc w:val="center"/>
              <w:rPr>
                <w:rFonts w:ascii="Times New Roman" w:hAnsi="Times New Roman" w:cs="Times New Roman"/>
              </w:rPr>
            </w:pPr>
            <w:r w:rsidRPr="007B6AD8">
              <w:rPr>
                <w:rFonts w:ascii="Times New Roman" w:hAnsi="Times New Roman" w:cs="Times New Roman"/>
              </w:rPr>
              <w:t>23102749</w:t>
            </w:r>
          </w:p>
        </w:tc>
        <w:tc>
          <w:tcPr>
            <w:tcW w:w="992" w:type="dxa"/>
            <w:vAlign w:val="center"/>
          </w:tcPr>
          <w:p w:rsidR="00D00EF2" w:rsidRPr="00F526F3" w:rsidRDefault="00D00EF2" w:rsidP="001C5B9D">
            <w:pPr>
              <w:jc w:val="center"/>
              <w:rPr>
                <w:rFonts w:ascii="Times New Roman" w:hAnsi="Times New Roman" w:cs="Times New Roman"/>
              </w:rPr>
            </w:pPr>
            <w:r w:rsidRPr="00F526F3">
              <w:rPr>
                <w:rFonts w:ascii="Times New Roman" w:hAnsi="Times New Roman" w:cs="Times New Roman"/>
              </w:rPr>
              <w:t>2012</w:t>
            </w:r>
          </w:p>
        </w:tc>
        <w:tc>
          <w:tcPr>
            <w:tcW w:w="7120" w:type="dxa"/>
            <w:vAlign w:val="bottom"/>
          </w:tcPr>
          <w:p w:rsidR="00D00EF2" w:rsidRPr="00DB788F" w:rsidRDefault="00D00EF2" w:rsidP="001C5B9D">
            <w:pPr>
              <w:jc w:val="both"/>
              <w:rPr>
                <w:rFonts w:ascii="Times New Roman" w:hAnsi="Times New Roman" w:cs="Times New Roman"/>
                <w:lang w:val="en-US"/>
              </w:rPr>
            </w:pPr>
            <w:r w:rsidRPr="00DB788F">
              <w:rPr>
                <w:rFonts w:ascii="Times New Roman" w:hAnsi="Times New Roman" w:cs="Times New Roman"/>
                <w:lang w:val="en-US"/>
              </w:rPr>
              <w:t>"To adhere to review guidelines and clinical opinion</w:t>
            </w:r>
            <w:r>
              <w:rPr>
                <w:rFonts w:ascii="Times New Roman" w:hAnsi="Times New Roman" w:cs="Times New Roman"/>
                <w:lang w:val="en-US"/>
              </w:rPr>
              <w:t xml:space="preserve"> […]</w:t>
            </w:r>
            <w:r w:rsidRPr="00DB788F">
              <w:rPr>
                <w:rFonts w:ascii="Times New Roman" w:hAnsi="Times New Roman" w:cs="Times New Roman"/>
                <w:lang w:val="en-US"/>
              </w:rPr>
              <w:t>"</w:t>
            </w:r>
            <w:r w:rsidR="008673B5">
              <w:rPr>
                <w:rFonts w:ascii="Times New Roman" w:hAnsi="Times New Roman" w:cs="Times New Roman"/>
                <w:lang w:val="en-US"/>
              </w:rPr>
              <w:t>.</w:t>
            </w:r>
          </w:p>
        </w:tc>
      </w:tr>
      <w:tr w:rsidR="00D00EF2" w:rsidRPr="0084540F" w:rsidTr="00AB0800">
        <w:tc>
          <w:tcPr>
            <w:tcW w:w="1526" w:type="dxa"/>
            <w:vAlign w:val="center"/>
          </w:tcPr>
          <w:p w:rsidR="00D00EF2" w:rsidRPr="007B6AD8" w:rsidRDefault="00D00EF2" w:rsidP="007B6AD8">
            <w:pPr>
              <w:jc w:val="center"/>
              <w:rPr>
                <w:rFonts w:ascii="Times New Roman" w:hAnsi="Times New Roman" w:cs="Times New Roman"/>
              </w:rPr>
            </w:pPr>
            <w:r w:rsidRPr="007B6AD8">
              <w:rPr>
                <w:rFonts w:ascii="Times New Roman" w:hAnsi="Times New Roman" w:cs="Times New Roman"/>
              </w:rPr>
              <w:t>23810019</w:t>
            </w:r>
          </w:p>
        </w:tc>
        <w:tc>
          <w:tcPr>
            <w:tcW w:w="992" w:type="dxa"/>
            <w:vAlign w:val="center"/>
          </w:tcPr>
          <w:p w:rsidR="00D00EF2" w:rsidRPr="00F526F3" w:rsidRDefault="00D00EF2">
            <w:pPr>
              <w:jc w:val="center"/>
              <w:rPr>
                <w:rFonts w:ascii="Times New Roman" w:hAnsi="Times New Roman" w:cs="Times New Roman"/>
              </w:rPr>
            </w:pPr>
            <w:r w:rsidRPr="00F526F3">
              <w:rPr>
                <w:rFonts w:ascii="Times New Roman" w:hAnsi="Times New Roman" w:cs="Times New Roman"/>
              </w:rPr>
              <w:t>2013</w:t>
            </w:r>
          </w:p>
        </w:tc>
        <w:tc>
          <w:tcPr>
            <w:tcW w:w="7120" w:type="dxa"/>
            <w:vAlign w:val="bottom"/>
          </w:tcPr>
          <w:p w:rsidR="00D00EF2" w:rsidRPr="00DB788F" w:rsidRDefault="00D00EF2" w:rsidP="00CB2070">
            <w:pPr>
              <w:jc w:val="both"/>
              <w:rPr>
                <w:rFonts w:ascii="Times New Roman" w:hAnsi="Times New Roman" w:cs="Times New Roman"/>
                <w:lang w:val="en-US"/>
              </w:rPr>
            </w:pPr>
            <w:r w:rsidRPr="00DB788F">
              <w:rPr>
                <w:rFonts w:ascii="Times New Roman" w:hAnsi="Times New Roman" w:cs="Times New Roman"/>
                <w:lang w:val="en-US"/>
              </w:rPr>
              <w:t>"Dichotomous outcomes will be analysed on an intention-to-treat (ITT) basis: drop-outs will always be included in this analysis. The rule is important for the outcome use of antiparkinson medication at least once. When data on drop-outs are carried forward and included in the evaluation (Last Observation Carried Forward, LOCF), they will be analysed according to the primary studies; when dropouts are excluded from any assessment in the primary studies, we will assume that the dropouts did not receive antiparkinson medication, because it is likely that another assumption (all dropouts have received antiparkinson medication) would overestimate the percentage of people with movement disorders which is relatively low under treatment with the newer antipsychotic drugs"</w:t>
            </w:r>
            <w:r w:rsidR="008673B5">
              <w:rPr>
                <w:rFonts w:ascii="Times New Roman" w:hAnsi="Times New Roman" w:cs="Times New Roman"/>
                <w:lang w:val="en-US"/>
              </w:rPr>
              <w:t>.</w:t>
            </w:r>
            <w:r w:rsidR="00540C53">
              <w:rPr>
                <w:rFonts w:ascii="Times New Roman" w:hAnsi="Times New Roman" w:cs="Times New Roman"/>
                <w:lang w:val="en-US"/>
              </w:rPr>
              <w:t xml:space="preserve"> (Protocol</w:t>
            </w:r>
            <w:r w:rsidR="007212D2">
              <w:rPr>
                <w:rFonts w:ascii="Times New Roman" w:hAnsi="Times New Roman" w:cs="Times New Roman"/>
                <w:lang w:val="en-US"/>
              </w:rPr>
              <w:t xml:space="preserve"> </w:t>
            </w:r>
            <w:r w:rsidR="00CB2070">
              <w:rPr>
                <w:rFonts w:ascii="Times New Roman" w:hAnsi="Times New Roman" w:cs="Times New Roman"/>
                <w:lang w:val="en-US"/>
              </w:rPr>
              <w:t>in</w:t>
            </w:r>
            <w:r w:rsidR="007212D2">
              <w:rPr>
                <w:rFonts w:ascii="Times New Roman" w:hAnsi="Times New Roman" w:cs="Times New Roman"/>
                <w:lang w:val="en-US"/>
              </w:rPr>
              <w:t xml:space="preserve"> </w:t>
            </w:r>
            <w:r w:rsidR="007212D2" w:rsidRPr="007212D2">
              <w:rPr>
                <w:rFonts w:ascii="Times New Roman" w:hAnsi="Times New Roman" w:cs="Times New Roman"/>
                <w:lang w:val="en-US"/>
              </w:rPr>
              <w:t>Supplementary Material</w:t>
            </w:r>
            <w:r w:rsidR="00540C53">
              <w:rPr>
                <w:rFonts w:ascii="Times New Roman" w:hAnsi="Times New Roman" w:cs="Times New Roman"/>
                <w:lang w:val="en-US"/>
              </w:rPr>
              <w:t>)</w:t>
            </w:r>
          </w:p>
        </w:tc>
      </w:tr>
      <w:tr w:rsidR="00D00EF2" w:rsidRPr="0084540F" w:rsidTr="00AB0800">
        <w:tc>
          <w:tcPr>
            <w:tcW w:w="1526" w:type="dxa"/>
            <w:vAlign w:val="center"/>
          </w:tcPr>
          <w:p w:rsidR="00D00EF2" w:rsidRPr="007B6AD8" w:rsidRDefault="00D00EF2" w:rsidP="007B6AD8">
            <w:pPr>
              <w:jc w:val="center"/>
              <w:rPr>
                <w:rFonts w:ascii="Times New Roman" w:hAnsi="Times New Roman" w:cs="Times New Roman"/>
              </w:rPr>
            </w:pPr>
            <w:r w:rsidRPr="007B6AD8">
              <w:rPr>
                <w:rFonts w:ascii="Times New Roman" w:hAnsi="Times New Roman" w:cs="Times New Roman"/>
              </w:rPr>
              <w:t>24736585</w:t>
            </w:r>
          </w:p>
        </w:tc>
        <w:tc>
          <w:tcPr>
            <w:tcW w:w="992" w:type="dxa"/>
            <w:vAlign w:val="center"/>
          </w:tcPr>
          <w:p w:rsidR="00D00EF2" w:rsidRPr="00F526F3" w:rsidRDefault="00D00EF2">
            <w:pPr>
              <w:jc w:val="center"/>
              <w:rPr>
                <w:rFonts w:ascii="Times New Roman" w:hAnsi="Times New Roman" w:cs="Times New Roman"/>
              </w:rPr>
            </w:pPr>
            <w:r w:rsidRPr="00F526F3">
              <w:rPr>
                <w:rFonts w:ascii="Times New Roman" w:hAnsi="Times New Roman" w:cs="Times New Roman"/>
              </w:rPr>
              <w:t>2014</w:t>
            </w:r>
          </w:p>
        </w:tc>
        <w:tc>
          <w:tcPr>
            <w:tcW w:w="7120" w:type="dxa"/>
            <w:vAlign w:val="bottom"/>
          </w:tcPr>
          <w:p w:rsidR="00D00EF2" w:rsidRPr="00DB788F" w:rsidRDefault="00D00EF2" w:rsidP="009B3D9D">
            <w:pPr>
              <w:jc w:val="both"/>
              <w:rPr>
                <w:rFonts w:ascii="Times New Roman" w:hAnsi="Times New Roman" w:cs="Times New Roman"/>
                <w:lang w:val="en-US"/>
              </w:rPr>
            </w:pPr>
            <w:r w:rsidRPr="00DB788F">
              <w:rPr>
                <w:rFonts w:ascii="Times New Roman" w:hAnsi="Times New Roman" w:cs="Times New Roman"/>
                <w:lang w:val="en-US"/>
              </w:rPr>
              <w:t>"We used a conservative approach [alike Cipriani et al on antidepressants] and imputed outcomes for the missing participants, assuming that they did not respond to treatment"</w:t>
            </w:r>
            <w:r w:rsidR="008673B5">
              <w:rPr>
                <w:rFonts w:ascii="Times New Roman" w:hAnsi="Times New Roman" w:cs="Times New Roman"/>
                <w:lang w:val="en-US"/>
              </w:rPr>
              <w:t>.</w:t>
            </w:r>
          </w:p>
        </w:tc>
      </w:tr>
      <w:tr w:rsidR="00D00EF2" w:rsidRPr="0084540F" w:rsidTr="00AB0800">
        <w:tc>
          <w:tcPr>
            <w:tcW w:w="1526" w:type="dxa"/>
            <w:vAlign w:val="center"/>
          </w:tcPr>
          <w:p w:rsidR="00D00EF2" w:rsidRPr="007B6AD8" w:rsidRDefault="00D00EF2" w:rsidP="007B6AD8">
            <w:pPr>
              <w:jc w:val="center"/>
              <w:rPr>
                <w:rFonts w:ascii="Times New Roman" w:hAnsi="Times New Roman" w:cs="Times New Roman"/>
              </w:rPr>
            </w:pPr>
            <w:r w:rsidRPr="007B6AD8">
              <w:rPr>
                <w:rFonts w:ascii="Times New Roman" w:hAnsi="Times New Roman" w:cs="Times New Roman"/>
              </w:rPr>
              <w:t>25066766</w:t>
            </w:r>
          </w:p>
        </w:tc>
        <w:tc>
          <w:tcPr>
            <w:tcW w:w="992" w:type="dxa"/>
          </w:tcPr>
          <w:p w:rsidR="00D00EF2" w:rsidRPr="00F526F3" w:rsidRDefault="00D00EF2">
            <w:pPr>
              <w:jc w:val="center"/>
              <w:rPr>
                <w:rFonts w:ascii="Times New Roman" w:hAnsi="Times New Roman" w:cs="Times New Roman"/>
              </w:rPr>
            </w:pPr>
            <w:r w:rsidRPr="00F526F3">
              <w:rPr>
                <w:rFonts w:ascii="Times New Roman" w:hAnsi="Times New Roman" w:cs="Times New Roman"/>
              </w:rPr>
              <w:t>2014</w:t>
            </w:r>
          </w:p>
        </w:tc>
        <w:tc>
          <w:tcPr>
            <w:tcW w:w="7120" w:type="dxa"/>
            <w:vAlign w:val="bottom"/>
          </w:tcPr>
          <w:p w:rsidR="00D00EF2" w:rsidRPr="00DB788F" w:rsidRDefault="00D00EF2" w:rsidP="00A149A1">
            <w:pPr>
              <w:jc w:val="both"/>
              <w:rPr>
                <w:rFonts w:ascii="Times New Roman" w:hAnsi="Times New Roman" w:cs="Times New Roman"/>
                <w:lang w:val="en-US"/>
              </w:rPr>
            </w:pPr>
            <w:r w:rsidRPr="00DB788F">
              <w:rPr>
                <w:rFonts w:ascii="Times New Roman" w:hAnsi="Times New Roman" w:cs="Times New Roman"/>
                <w:lang w:val="en-US"/>
              </w:rPr>
              <w:t>"</w:t>
            </w:r>
            <w:r w:rsidR="002447F0">
              <w:rPr>
                <w:rFonts w:ascii="Times New Roman" w:hAnsi="Times New Roman" w:cs="Times New Roman"/>
                <w:lang w:val="en-US"/>
              </w:rPr>
              <w:t xml:space="preserve">[…] </w:t>
            </w:r>
            <w:r w:rsidRPr="00DB788F">
              <w:rPr>
                <w:rFonts w:ascii="Times New Roman" w:hAnsi="Times New Roman" w:cs="Times New Roman"/>
                <w:lang w:val="en-US"/>
              </w:rPr>
              <w:t>ITT analyses have been shown to results in conservative effect estimates</w:t>
            </w:r>
            <w:r>
              <w:rPr>
                <w:rFonts w:ascii="Times New Roman" w:hAnsi="Times New Roman" w:cs="Times New Roman"/>
                <w:lang w:val="en-US"/>
              </w:rPr>
              <w:t xml:space="preserve"> […]</w:t>
            </w:r>
            <w:r w:rsidRPr="00DB788F">
              <w:rPr>
                <w:rFonts w:ascii="Times New Roman" w:hAnsi="Times New Roman" w:cs="Times New Roman"/>
                <w:lang w:val="en-US"/>
              </w:rPr>
              <w:t>"</w:t>
            </w:r>
            <w:r>
              <w:rPr>
                <w:rFonts w:ascii="Times New Roman" w:hAnsi="Times New Roman" w:cs="Times New Roman"/>
                <w:lang w:val="en-US"/>
              </w:rPr>
              <w:t>.</w:t>
            </w:r>
          </w:p>
        </w:tc>
      </w:tr>
      <w:tr w:rsidR="00D00EF2" w:rsidRPr="0084540F" w:rsidTr="00AB0800">
        <w:tc>
          <w:tcPr>
            <w:tcW w:w="1526" w:type="dxa"/>
            <w:vAlign w:val="center"/>
          </w:tcPr>
          <w:p w:rsidR="00D00EF2" w:rsidRPr="002447F0" w:rsidRDefault="00D00EF2" w:rsidP="007B6AD8">
            <w:pPr>
              <w:jc w:val="center"/>
              <w:rPr>
                <w:rFonts w:ascii="Times New Roman" w:hAnsi="Times New Roman" w:cs="Times New Roman"/>
                <w:lang w:val="en-US"/>
              </w:rPr>
            </w:pPr>
            <w:r w:rsidRPr="002447F0">
              <w:rPr>
                <w:rFonts w:ascii="Times New Roman" w:hAnsi="Times New Roman" w:cs="Times New Roman"/>
                <w:lang w:val="en-US"/>
              </w:rPr>
              <w:t>25249164</w:t>
            </w:r>
          </w:p>
        </w:tc>
        <w:tc>
          <w:tcPr>
            <w:tcW w:w="992" w:type="dxa"/>
            <w:vAlign w:val="center"/>
          </w:tcPr>
          <w:p w:rsidR="00D00EF2" w:rsidRPr="002447F0" w:rsidRDefault="00D00EF2">
            <w:pPr>
              <w:jc w:val="center"/>
              <w:rPr>
                <w:rFonts w:ascii="Times New Roman" w:hAnsi="Times New Roman" w:cs="Times New Roman"/>
                <w:lang w:val="en-US"/>
              </w:rPr>
            </w:pPr>
            <w:r w:rsidRPr="002447F0">
              <w:rPr>
                <w:rFonts w:ascii="Times New Roman" w:hAnsi="Times New Roman" w:cs="Times New Roman"/>
                <w:lang w:val="en-US"/>
              </w:rPr>
              <w:t>2014</w:t>
            </w:r>
          </w:p>
        </w:tc>
        <w:tc>
          <w:tcPr>
            <w:tcW w:w="7120" w:type="dxa"/>
            <w:vAlign w:val="bottom"/>
          </w:tcPr>
          <w:p w:rsidR="00D00EF2" w:rsidRPr="00DB788F" w:rsidRDefault="00D00EF2" w:rsidP="00DB788F">
            <w:pPr>
              <w:jc w:val="both"/>
              <w:rPr>
                <w:rFonts w:ascii="Times New Roman" w:hAnsi="Times New Roman" w:cs="Times New Roman"/>
                <w:lang w:val="en-US"/>
              </w:rPr>
            </w:pPr>
            <w:r w:rsidRPr="00DB788F">
              <w:rPr>
                <w:rFonts w:ascii="Times New Roman" w:hAnsi="Times New Roman" w:cs="Times New Roman"/>
                <w:lang w:val="en-US"/>
              </w:rPr>
              <w:t>"To accurately compare all treatments, it was considered that working on OC</w:t>
            </w:r>
            <w:r>
              <w:rPr>
                <w:rFonts w:ascii="Times New Roman" w:hAnsi="Times New Roman" w:cs="Times New Roman"/>
                <w:lang w:val="en-US"/>
              </w:rPr>
              <w:t xml:space="preserve"> (observe cases)</w:t>
            </w:r>
            <w:r w:rsidRPr="00DB788F">
              <w:rPr>
                <w:rFonts w:ascii="Times New Roman" w:hAnsi="Times New Roman" w:cs="Times New Roman"/>
                <w:lang w:val="en-US"/>
              </w:rPr>
              <w:t xml:space="preserve"> data was more adequate in the context of active-to-active indirect comparisons in MDD. Nevertheless, in the absence of OC summary statistics, LOCF sum</w:t>
            </w:r>
            <w:r w:rsidR="008673B5">
              <w:rPr>
                <w:rFonts w:ascii="Times New Roman" w:hAnsi="Times New Roman" w:cs="Times New Roman"/>
                <w:lang w:val="en-US"/>
              </w:rPr>
              <w:t>mary statistics were considered</w:t>
            </w:r>
            <w:r w:rsidRPr="00DB788F">
              <w:rPr>
                <w:rFonts w:ascii="Times New Roman" w:hAnsi="Times New Roman" w:cs="Times New Roman"/>
                <w:lang w:val="en-US"/>
              </w:rPr>
              <w:t>"</w:t>
            </w:r>
            <w:r w:rsidR="008673B5">
              <w:rPr>
                <w:rFonts w:ascii="Times New Roman" w:hAnsi="Times New Roman" w:cs="Times New Roman"/>
                <w:lang w:val="en-US"/>
              </w:rPr>
              <w:t>.</w:t>
            </w:r>
          </w:p>
        </w:tc>
      </w:tr>
      <w:tr w:rsidR="00D00EF2" w:rsidRPr="0084540F" w:rsidTr="00AB0800">
        <w:tc>
          <w:tcPr>
            <w:tcW w:w="1526" w:type="dxa"/>
            <w:vAlign w:val="center"/>
          </w:tcPr>
          <w:p w:rsidR="00D00EF2" w:rsidRPr="007B6AD8" w:rsidRDefault="00D00EF2" w:rsidP="007B6AD8">
            <w:pPr>
              <w:jc w:val="center"/>
              <w:rPr>
                <w:rFonts w:ascii="Times New Roman" w:hAnsi="Times New Roman" w:cs="Times New Roman"/>
              </w:rPr>
            </w:pPr>
            <w:r w:rsidRPr="007B6AD8">
              <w:rPr>
                <w:rFonts w:ascii="Times New Roman" w:hAnsi="Times New Roman" w:cs="Times New Roman"/>
              </w:rPr>
              <w:t>25435923</w:t>
            </w:r>
          </w:p>
        </w:tc>
        <w:tc>
          <w:tcPr>
            <w:tcW w:w="992" w:type="dxa"/>
            <w:vAlign w:val="center"/>
          </w:tcPr>
          <w:p w:rsidR="00D00EF2" w:rsidRPr="00F526F3" w:rsidRDefault="00D00EF2">
            <w:pPr>
              <w:jc w:val="center"/>
              <w:rPr>
                <w:rFonts w:ascii="Times New Roman" w:hAnsi="Times New Roman" w:cs="Times New Roman"/>
              </w:rPr>
            </w:pPr>
            <w:r w:rsidRPr="00F526F3">
              <w:rPr>
                <w:rFonts w:ascii="Times New Roman" w:hAnsi="Times New Roman" w:cs="Times New Roman"/>
              </w:rPr>
              <w:t>2014</w:t>
            </w:r>
          </w:p>
        </w:tc>
        <w:tc>
          <w:tcPr>
            <w:tcW w:w="7120" w:type="dxa"/>
            <w:vAlign w:val="bottom"/>
          </w:tcPr>
          <w:p w:rsidR="00D00EF2" w:rsidRPr="00DB788F" w:rsidRDefault="00D00EF2" w:rsidP="000100F2">
            <w:pPr>
              <w:jc w:val="both"/>
              <w:rPr>
                <w:rFonts w:ascii="Times New Roman" w:hAnsi="Times New Roman" w:cs="Times New Roman"/>
                <w:lang w:val="en-US"/>
              </w:rPr>
            </w:pPr>
            <w:r w:rsidRPr="00DB788F">
              <w:rPr>
                <w:rFonts w:ascii="Times New Roman" w:hAnsi="Times New Roman" w:cs="Times New Roman"/>
                <w:lang w:val="en-US"/>
              </w:rPr>
              <w:t>"The information about the endpoint achievement was aimed to reflect the intention-to-treat population. However, there were some occasional post-randomization exclusions in some trials, and so the clinical material actually adopted the so-called modified intention-to-treat population"</w:t>
            </w:r>
            <w:r w:rsidR="008673B5">
              <w:rPr>
                <w:rFonts w:ascii="Times New Roman" w:hAnsi="Times New Roman" w:cs="Times New Roman"/>
                <w:lang w:val="en-US"/>
              </w:rPr>
              <w:t>.</w:t>
            </w:r>
          </w:p>
        </w:tc>
      </w:tr>
      <w:tr w:rsidR="008C787C" w:rsidRPr="0084540F" w:rsidTr="00AB0800">
        <w:tc>
          <w:tcPr>
            <w:tcW w:w="1526" w:type="dxa"/>
            <w:vAlign w:val="center"/>
          </w:tcPr>
          <w:p w:rsidR="008C787C" w:rsidRPr="007B6AD8" w:rsidRDefault="008C787C" w:rsidP="001C5B9D">
            <w:pPr>
              <w:jc w:val="center"/>
              <w:rPr>
                <w:rFonts w:ascii="Times New Roman" w:hAnsi="Times New Roman" w:cs="Times New Roman"/>
              </w:rPr>
            </w:pPr>
            <w:r w:rsidRPr="007B6AD8">
              <w:rPr>
                <w:rFonts w:ascii="Times New Roman" w:hAnsi="Times New Roman" w:cs="Times New Roman"/>
              </w:rPr>
              <w:t>25263803</w:t>
            </w:r>
          </w:p>
        </w:tc>
        <w:tc>
          <w:tcPr>
            <w:tcW w:w="992" w:type="dxa"/>
            <w:vAlign w:val="center"/>
          </w:tcPr>
          <w:p w:rsidR="008C787C" w:rsidRPr="00F526F3" w:rsidRDefault="008C787C" w:rsidP="001C5B9D">
            <w:pPr>
              <w:jc w:val="center"/>
              <w:rPr>
                <w:rFonts w:ascii="Times New Roman" w:hAnsi="Times New Roman" w:cs="Times New Roman"/>
              </w:rPr>
            </w:pPr>
            <w:r w:rsidRPr="00F526F3">
              <w:rPr>
                <w:rFonts w:ascii="Times New Roman" w:hAnsi="Times New Roman" w:cs="Times New Roman"/>
              </w:rPr>
              <w:t>2015</w:t>
            </w:r>
          </w:p>
        </w:tc>
        <w:tc>
          <w:tcPr>
            <w:tcW w:w="7120" w:type="dxa"/>
            <w:vAlign w:val="bottom"/>
          </w:tcPr>
          <w:p w:rsidR="008C787C" w:rsidRPr="00DB788F" w:rsidRDefault="008C787C" w:rsidP="001C5B9D">
            <w:pPr>
              <w:jc w:val="both"/>
              <w:rPr>
                <w:rFonts w:ascii="Times New Roman" w:hAnsi="Times New Roman" w:cs="Times New Roman"/>
                <w:lang w:val="en-US"/>
              </w:rPr>
            </w:pPr>
            <w:r w:rsidRPr="00DB788F">
              <w:rPr>
                <w:rFonts w:ascii="Times New Roman" w:hAnsi="Times New Roman" w:cs="Times New Roman"/>
                <w:lang w:val="en-US"/>
              </w:rPr>
              <w:t>"</w:t>
            </w:r>
            <w:r w:rsidR="000D0D64">
              <w:rPr>
                <w:rFonts w:ascii="Times New Roman" w:hAnsi="Times New Roman" w:cs="Times New Roman"/>
                <w:lang w:val="en-US"/>
              </w:rPr>
              <w:t>(</w:t>
            </w:r>
            <w:r w:rsidRPr="00DB788F">
              <w:rPr>
                <w:rFonts w:ascii="Times New Roman" w:hAnsi="Times New Roman" w:cs="Times New Roman"/>
                <w:lang w:val="en-US"/>
              </w:rPr>
              <w:t>Modified ITT</w:t>
            </w:r>
            <w:r w:rsidR="000D0D64">
              <w:rPr>
                <w:rFonts w:ascii="Times New Roman" w:hAnsi="Times New Roman" w:cs="Times New Roman"/>
                <w:lang w:val="en-US"/>
              </w:rPr>
              <w:t>)</w:t>
            </w:r>
            <w:bookmarkStart w:id="0" w:name="_GoBack"/>
            <w:bookmarkEnd w:id="0"/>
            <w:r w:rsidRPr="00DB788F">
              <w:rPr>
                <w:rFonts w:ascii="Times New Roman" w:hAnsi="Times New Roman" w:cs="Times New Roman"/>
                <w:lang w:val="en-US"/>
              </w:rPr>
              <w:t xml:space="preserve"> was preferred over true ITT analysis (wherein all dropouts are assumed to be treatment failures) due to high loss to </w:t>
            </w:r>
            <w:r w:rsidR="008673B5">
              <w:rPr>
                <w:rFonts w:ascii="Times New Roman" w:hAnsi="Times New Roman" w:cs="Times New Roman"/>
                <w:lang w:val="en-US"/>
              </w:rPr>
              <w:t>follow-up in some of the trials</w:t>
            </w:r>
            <w:r w:rsidRPr="00DB788F">
              <w:rPr>
                <w:rFonts w:ascii="Times New Roman" w:hAnsi="Times New Roman" w:cs="Times New Roman"/>
                <w:lang w:val="en-US"/>
              </w:rPr>
              <w:t>"</w:t>
            </w:r>
            <w:r w:rsidR="008673B5">
              <w:rPr>
                <w:rFonts w:ascii="Times New Roman" w:hAnsi="Times New Roman" w:cs="Times New Roman"/>
                <w:lang w:val="en-US"/>
              </w:rPr>
              <w:t>.</w:t>
            </w:r>
          </w:p>
        </w:tc>
      </w:tr>
      <w:tr w:rsidR="008C787C" w:rsidRPr="0084540F" w:rsidTr="00AB0800">
        <w:tc>
          <w:tcPr>
            <w:tcW w:w="1526" w:type="dxa"/>
            <w:tcBorders>
              <w:bottom w:val="single" w:sz="12" w:space="0" w:color="auto"/>
            </w:tcBorders>
            <w:vAlign w:val="center"/>
          </w:tcPr>
          <w:p w:rsidR="008C787C" w:rsidRPr="007B6AD8" w:rsidRDefault="008C787C" w:rsidP="007B6AD8">
            <w:pPr>
              <w:jc w:val="center"/>
              <w:rPr>
                <w:rFonts w:ascii="Times New Roman" w:hAnsi="Times New Roman" w:cs="Times New Roman"/>
              </w:rPr>
            </w:pPr>
            <w:r w:rsidRPr="007B6AD8">
              <w:rPr>
                <w:rFonts w:ascii="Times New Roman" w:hAnsi="Times New Roman" w:cs="Times New Roman"/>
              </w:rPr>
              <w:t>27876667</w:t>
            </w:r>
          </w:p>
        </w:tc>
        <w:tc>
          <w:tcPr>
            <w:tcW w:w="992" w:type="dxa"/>
            <w:tcBorders>
              <w:bottom w:val="single" w:sz="12" w:space="0" w:color="auto"/>
            </w:tcBorders>
            <w:vAlign w:val="center"/>
          </w:tcPr>
          <w:p w:rsidR="008C787C" w:rsidRPr="00F526F3" w:rsidRDefault="008C787C">
            <w:pPr>
              <w:jc w:val="center"/>
              <w:rPr>
                <w:rFonts w:ascii="Times New Roman" w:hAnsi="Times New Roman" w:cs="Times New Roman"/>
              </w:rPr>
            </w:pPr>
            <w:r w:rsidRPr="00F526F3">
              <w:rPr>
                <w:rFonts w:ascii="Times New Roman" w:hAnsi="Times New Roman" w:cs="Times New Roman"/>
              </w:rPr>
              <w:t>2017</w:t>
            </w:r>
          </w:p>
        </w:tc>
        <w:tc>
          <w:tcPr>
            <w:tcW w:w="7120" w:type="dxa"/>
            <w:tcBorders>
              <w:bottom w:val="single" w:sz="12" w:space="0" w:color="auto"/>
            </w:tcBorders>
            <w:vAlign w:val="bottom"/>
          </w:tcPr>
          <w:p w:rsidR="008C787C" w:rsidRPr="00DB788F" w:rsidRDefault="008C787C" w:rsidP="00DB788F">
            <w:pPr>
              <w:jc w:val="both"/>
              <w:rPr>
                <w:rFonts w:ascii="Times New Roman" w:hAnsi="Times New Roman" w:cs="Times New Roman"/>
                <w:lang w:val="en-US"/>
              </w:rPr>
            </w:pPr>
            <w:r w:rsidRPr="00DB788F">
              <w:rPr>
                <w:rFonts w:ascii="Times New Roman" w:hAnsi="Times New Roman" w:cs="Times New Roman"/>
                <w:lang w:val="en-US"/>
              </w:rPr>
              <w:t>"To perform a clinically sound analysis, […]"</w:t>
            </w:r>
            <w:r w:rsidR="008673B5">
              <w:rPr>
                <w:rFonts w:ascii="Times New Roman" w:hAnsi="Times New Roman" w:cs="Times New Roman"/>
                <w:lang w:val="en-US"/>
              </w:rPr>
              <w:t>.</w:t>
            </w:r>
          </w:p>
        </w:tc>
      </w:tr>
    </w:tbl>
    <w:p w:rsidR="003472CF" w:rsidRPr="001C0770" w:rsidRDefault="003472CF" w:rsidP="001C0770">
      <w:pPr>
        <w:rPr>
          <w:rFonts w:ascii="Times New Roman" w:hAnsi="Times New Roman" w:cs="Times New Roman"/>
          <w:sz w:val="24"/>
          <w:lang w:val="en-US"/>
        </w:rPr>
      </w:pPr>
    </w:p>
    <w:sectPr w:rsidR="003472CF" w:rsidRPr="001C0770" w:rsidSect="009076F9">
      <w:headerReference w:type="even" r:id="rId7"/>
      <w:headerReference w:type="default" r:id="rId8"/>
      <w:footerReference w:type="even" r:id="rId9"/>
      <w:footerReference w:type="default" r:id="rId10"/>
      <w:headerReference w:type="first" r:id="rId11"/>
      <w:footerReference w:type="first" r:id="rId12"/>
      <w:pgSz w:w="11906" w:h="16838"/>
      <w:pgMar w:top="851" w:right="127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34" w:rsidRDefault="00D10434" w:rsidP="00F01E46">
      <w:pPr>
        <w:spacing w:after="0" w:line="240" w:lineRule="auto"/>
      </w:pPr>
      <w:r>
        <w:separator/>
      </w:r>
    </w:p>
  </w:endnote>
  <w:endnote w:type="continuationSeparator" w:id="0">
    <w:p w:rsidR="00D10434" w:rsidRDefault="00D10434" w:rsidP="00F0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46" w:rsidRDefault="00F01E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228189"/>
      <w:docPartObj>
        <w:docPartGallery w:val="Page Numbers (Bottom of Page)"/>
        <w:docPartUnique/>
      </w:docPartObj>
    </w:sdtPr>
    <w:sdtEndPr/>
    <w:sdtContent>
      <w:p w:rsidR="00F01E46" w:rsidRDefault="00F01E46">
        <w:pPr>
          <w:pStyle w:val="Fuzeile"/>
          <w:jc w:val="center"/>
        </w:pPr>
        <w:r>
          <w:fldChar w:fldCharType="begin"/>
        </w:r>
        <w:r>
          <w:instrText>PAGE   \* MERGEFORMAT</w:instrText>
        </w:r>
        <w:r>
          <w:fldChar w:fldCharType="separate"/>
        </w:r>
        <w:r w:rsidR="000D0D64">
          <w:rPr>
            <w:noProof/>
          </w:rPr>
          <w:t>1</w:t>
        </w:r>
        <w:r>
          <w:fldChar w:fldCharType="end"/>
        </w:r>
      </w:p>
    </w:sdtContent>
  </w:sdt>
  <w:p w:rsidR="00F01E46" w:rsidRDefault="00F01E4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46" w:rsidRDefault="00F01E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34" w:rsidRDefault="00D10434" w:rsidP="00F01E46">
      <w:pPr>
        <w:spacing w:after="0" w:line="240" w:lineRule="auto"/>
      </w:pPr>
      <w:r>
        <w:separator/>
      </w:r>
    </w:p>
  </w:footnote>
  <w:footnote w:type="continuationSeparator" w:id="0">
    <w:p w:rsidR="00D10434" w:rsidRDefault="00D10434" w:rsidP="00F01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46" w:rsidRDefault="00F01E4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46" w:rsidRDefault="00F01E4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46" w:rsidRDefault="00F01E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BB"/>
    <w:rsid w:val="000100F2"/>
    <w:rsid w:val="000351AD"/>
    <w:rsid w:val="00044D7F"/>
    <w:rsid w:val="000D0D64"/>
    <w:rsid w:val="001761DF"/>
    <w:rsid w:val="001C0770"/>
    <w:rsid w:val="002447F0"/>
    <w:rsid w:val="003472CF"/>
    <w:rsid w:val="003D3FEB"/>
    <w:rsid w:val="00540C53"/>
    <w:rsid w:val="00561B40"/>
    <w:rsid w:val="005864B8"/>
    <w:rsid w:val="005D76BF"/>
    <w:rsid w:val="00623956"/>
    <w:rsid w:val="007212D2"/>
    <w:rsid w:val="00760ACA"/>
    <w:rsid w:val="0077761B"/>
    <w:rsid w:val="007B6AD8"/>
    <w:rsid w:val="00801BED"/>
    <w:rsid w:val="0084540F"/>
    <w:rsid w:val="008501A2"/>
    <w:rsid w:val="008673B5"/>
    <w:rsid w:val="00881CBB"/>
    <w:rsid w:val="008C787C"/>
    <w:rsid w:val="008E7849"/>
    <w:rsid w:val="009076F9"/>
    <w:rsid w:val="009B1BBB"/>
    <w:rsid w:val="009B3D9D"/>
    <w:rsid w:val="009E4B19"/>
    <w:rsid w:val="00A149A1"/>
    <w:rsid w:val="00A600B5"/>
    <w:rsid w:val="00A73326"/>
    <w:rsid w:val="00AB0800"/>
    <w:rsid w:val="00B3359D"/>
    <w:rsid w:val="00B56CBB"/>
    <w:rsid w:val="00B74C79"/>
    <w:rsid w:val="00C11D19"/>
    <w:rsid w:val="00CB2070"/>
    <w:rsid w:val="00D00EF2"/>
    <w:rsid w:val="00D10434"/>
    <w:rsid w:val="00D5603E"/>
    <w:rsid w:val="00D726A7"/>
    <w:rsid w:val="00DB788F"/>
    <w:rsid w:val="00F01E46"/>
    <w:rsid w:val="00F27DD6"/>
    <w:rsid w:val="00F526F3"/>
    <w:rsid w:val="00F60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C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1E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1E46"/>
  </w:style>
  <w:style w:type="paragraph" w:styleId="Fuzeile">
    <w:name w:val="footer"/>
    <w:basedOn w:val="Standard"/>
    <w:link w:val="FuzeileZchn"/>
    <w:uiPriority w:val="99"/>
    <w:unhideWhenUsed/>
    <w:rsid w:val="00F01E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1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C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1E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1E46"/>
  </w:style>
  <w:style w:type="paragraph" w:styleId="Fuzeile">
    <w:name w:val="footer"/>
    <w:basedOn w:val="Standard"/>
    <w:link w:val="FuzeileZchn"/>
    <w:uiPriority w:val="99"/>
    <w:unhideWhenUsed/>
    <w:rsid w:val="00F01E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2769</Characters>
  <Application>Microsoft Office Word</Application>
  <DocSecurity>0</DocSecurity>
  <Lines>23</Lines>
  <Paragraphs>6</Paragraphs>
  <ScaleCrop>false</ScaleCrop>
  <Company>MHH</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Spineli, Loukia Dr.</dc:creator>
  <cp:keywords/>
  <dc:description/>
  <cp:lastModifiedBy>Spineli, Loukia Dr.</cp:lastModifiedBy>
  <cp:revision>46</cp:revision>
  <dcterms:created xsi:type="dcterms:W3CDTF">2017-10-13T13:10:00Z</dcterms:created>
  <dcterms:modified xsi:type="dcterms:W3CDTF">2017-12-05T11:24:00Z</dcterms:modified>
</cp:coreProperties>
</file>