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13"/>
        <w:gridCol w:w="2379"/>
        <w:gridCol w:w="2379"/>
        <w:gridCol w:w="1005"/>
      </w:tblGrid>
      <w:tr w:rsidR="00FC470F" w:rsidRPr="002E2CA1" w:rsidTr="000A784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Additional file 4: </w:t>
            </w:r>
            <w:r w:rsidRPr="002E2CA1">
              <w:rPr>
                <w:rFonts w:ascii="Arial" w:hAnsi="Arial" w:cs="Arial"/>
                <w:b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bookmarkStart w:id="0" w:name="_GoBack"/>
            <w:bookmarkEnd w:id="0"/>
            <w:r w:rsidRPr="002E2CA1">
              <w:rPr>
                <w:rFonts w:ascii="Arial" w:hAnsi="Arial" w:cs="Arial"/>
                <w:b/>
                <w:lang w:val="en-US"/>
              </w:rPr>
              <w:t>3.</w:t>
            </w:r>
            <w:r w:rsidRPr="002E2CA1">
              <w:rPr>
                <w:rFonts w:ascii="Arial" w:hAnsi="Arial" w:cs="Arial"/>
                <w:lang w:val="en-US"/>
              </w:rPr>
              <w:t xml:space="preserve"> Comparison of outcome measures between anatomic responders and </w:t>
            </w: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 xml:space="preserve"> using a cut-off for CRT of 350 μm.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Anatomic </w:t>
            </w: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 xml:space="preserve"> </w:t>
            </w:r>
          </w:p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 w:rsidRPr="002E2CA1">
              <w:rPr>
                <w:rFonts w:ascii="Arial" w:hAnsi="Arial" w:cs="Arial"/>
                <w:lang w:val="en-US"/>
              </w:rPr>
              <w:t>=10)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Anatomic responders</w:t>
            </w:r>
          </w:p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 w:rsidRPr="002E2CA1">
              <w:rPr>
                <w:rFonts w:ascii="Arial" w:hAnsi="Arial" w:cs="Arial"/>
                <w:lang w:val="en-US"/>
              </w:rPr>
              <w:t>=84)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 xml:space="preserve">BCVA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(L)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Baseline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63.0 ± 13.5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60.2 ± 13.0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0.450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69.3 ± 14.8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67.1 ± 12.2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0.407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71.7 ± 14.0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70.9 ± 11.6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0.572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3M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0.021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6M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CRT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 xml:space="preserve"> (µm)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Baseline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407.0 ± 64.3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471.8 ± 102.3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0.029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401.6 ± 80.0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343.8 ± 74.5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0.006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404.1 ± 85.8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340.3 ± 76.9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0.007</w:t>
            </w: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3M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0.432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6M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0.415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FC470F" w:rsidRPr="002E2CA1" w:rsidTr="000A7845">
        <w:trPr>
          <w:jc w:val="center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ind w:left="601" w:hanging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Number of injections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4.3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± 1.3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4.9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± 1.2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0.174</w:t>
            </w:r>
          </w:p>
        </w:tc>
      </w:tr>
      <w:tr w:rsidR="00FC470F" w:rsidRPr="002E2CA1" w:rsidTr="000A7845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C470F" w:rsidRPr="002E2CA1" w:rsidRDefault="00FC470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Abbreviations: BCVA = best corrected visual acuity scored using the ETDRS letters </w:t>
            </w:r>
            <w:r>
              <w:rPr>
                <w:rFonts w:ascii="Arial" w:hAnsi="Arial" w:cs="Arial"/>
                <w:lang w:val="en-US"/>
              </w:rPr>
              <w:t xml:space="preserve">(L) </w:t>
            </w:r>
            <w:r w:rsidRPr="002E2CA1">
              <w:rPr>
                <w:rFonts w:ascii="Arial" w:hAnsi="Arial" w:cs="Arial"/>
                <w:lang w:val="en-US"/>
              </w:rPr>
              <w:t xml:space="preserve">chart: 60L are Snellen 20/63, 63L (20/55), 67L (20/46), 69L (20/42), 71L (20/38), and 72L (20/36); 3M = 3-month endpoint after the loading dose; 6M = 6-month endpoint; CRT = 1 mm central retinal thickness. For anatomic responders’ calculation, only eyes with baseline CRT ≥350 μm were considered, </w:t>
            </w:r>
            <w:r>
              <w:rPr>
                <w:rFonts w:ascii="Arial" w:hAnsi="Arial" w:cs="Arial"/>
                <w:lang w:val="en-US"/>
              </w:rPr>
              <w:t>N=</w:t>
            </w:r>
            <w:r w:rsidRPr="002E2CA1">
              <w:rPr>
                <w:rFonts w:ascii="Arial" w:hAnsi="Arial" w:cs="Arial"/>
                <w:lang w:val="en-US"/>
              </w:rPr>
              <w:t xml:space="preserve">94 eyes. Unlike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2E2CA1">
              <w:rPr>
                <w:rFonts w:ascii="Arial" w:hAnsi="Arial" w:cs="Arial"/>
                <w:lang w:val="en-US"/>
              </w:rPr>
              <w:t xml:space="preserve"> former criterion using a CRT cut-off of 300 μm for calculating anatomic outcome displayed in Supplementary Table 2, the differences in the number of injections given and in the baseline BCVA did not withstand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E2CA1">
              <w:rPr>
                <w:rFonts w:ascii="Arial" w:hAnsi="Arial" w:cs="Arial"/>
                <w:lang w:val="en-US"/>
              </w:rPr>
              <w:t>with a CRT cut-off of 350 μm. Only baseline CRT was significantly higher in the anatomic responders.</w:t>
            </w:r>
          </w:p>
        </w:tc>
      </w:tr>
    </w:tbl>
    <w:p w:rsidR="006375C2" w:rsidRDefault="006375C2"/>
    <w:sectPr w:rsidR="0063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0F"/>
    <w:rsid w:val="00430BB2"/>
    <w:rsid w:val="006375C2"/>
    <w:rsid w:val="00A30805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F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70F"/>
    <w:pPr>
      <w:spacing w:after="0" w:line="240" w:lineRule="auto"/>
    </w:pPr>
    <w:rPr>
      <w:rFonts w:eastAsiaTheme="minorEastAsia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70F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70F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70F"/>
    <w:rPr>
      <w:rFonts w:asciiTheme="majorHAnsi" w:eastAsia="SimSun" w:hAnsiTheme="majorHAnsi" w:cstheme="majorBidi"/>
      <w:b/>
      <w:bCs/>
      <w:kern w:val="28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0F"/>
    <w:rPr>
      <w:rFonts w:ascii="Tahoma" w:eastAsiaTheme="minorEastAs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F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70F"/>
    <w:pPr>
      <w:spacing w:after="0" w:line="240" w:lineRule="auto"/>
    </w:pPr>
    <w:rPr>
      <w:rFonts w:eastAsiaTheme="minorEastAsia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70F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70F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70F"/>
    <w:rPr>
      <w:rFonts w:asciiTheme="majorHAnsi" w:eastAsia="SimSun" w:hAnsiTheme="majorHAnsi" w:cstheme="majorBidi"/>
      <w:b/>
      <w:bCs/>
      <w:kern w:val="28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0F"/>
    <w:rPr>
      <w:rFonts w:ascii="Tahoma" w:eastAsiaTheme="minorEastAs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1116</Characters>
  <Application>Microsoft Office Word</Application>
  <DocSecurity>0</DocSecurity>
  <Lines>111</Lines>
  <Paragraphs>73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JMAPALO</dc:creator>
  <cp:lastModifiedBy>JMAPALO</cp:lastModifiedBy>
  <cp:revision>1</cp:revision>
  <dcterms:created xsi:type="dcterms:W3CDTF">2018-09-28T18:49:00Z</dcterms:created>
  <dcterms:modified xsi:type="dcterms:W3CDTF">2018-09-28T18:50:00Z</dcterms:modified>
</cp:coreProperties>
</file>