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99"/>
        <w:gridCol w:w="2361"/>
        <w:gridCol w:w="2365"/>
        <w:gridCol w:w="1051"/>
      </w:tblGrid>
      <w:tr w:rsidR="006C6176" w:rsidRPr="00F22EFF" w:rsidTr="000A7845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6176" w:rsidRPr="002E2CA1" w:rsidRDefault="006C6176" w:rsidP="006C617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Additional file 3: </w:t>
            </w:r>
            <w:r w:rsidRPr="002E2CA1">
              <w:rPr>
                <w:rFonts w:ascii="Arial" w:hAnsi="Arial" w:cs="Arial"/>
                <w:b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r w:rsidRPr="002E2CA1">
              <w:rPr>
                <w:rFonts w:ascii="Arial" w:hAnsi="Arial" w:cs="Arial"/>
                <w:b/>
                <w:lang w:val="en-US"/>
              </w:rPr>
              <w:t>2.</w:t>
            </w:r>
            <w:r w:rsidRPr="002E2CA1">
              <w:rPr>
                <w:rFonts w:ascii="Arial" w:hAnsi="Arial" w:cs="Arial"/>
                <w:lang w:val="en-US"/>
              </w:rPr>
              <w:t xml:space="preserve"> Comparison of outcome measures between anatomic </w:t>
            </w:r>
            <w:bookmarkStart w:id="0" w:name="OLE_LINK11"/>
            <w:bookmarkStart w:id="1" w:name="OLE_LINK12"/>
            <w:r w:rsidRPr="002E2CA1">
              <w:rPr>
                <w:rFonts w:ascii="Arial" w:hAnsi="Arial" w:cs="Arial"/>
                <w:lang w:val="en-US"/>
              </w:rPr>
              <w:t xml:space="preserve">responders and </w:t>
            </w: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 xml:space="preserve"> </w:t>
            </w:r>
            <w:bookmarkEnd w:id="0"/>
            <w:bookmarkEnd w:id="1"/>
            <w:r w:rsidRPr="002E2CA1">
              <w:rPr>
                <w:rFonts w:ascii="Arial" w:hAnsi="Arial" w:cs="Arial"/>
                <w:lang w:val="en-US"/>
              </w:rPr>
              <w:t>at baseline, 3</w:t>
            </w:r>
            <w:r>
              <w:rPr>
                <w:rFonts w:ascii="Arial" w:hAnsi="Arial" w:cs="Arial"/>
                <w:lang w:val="en-US"/>
              </w:rPr>
              <w:t xml:space="preserve"> months</w:t>
            </w:r>
            <w:r w:rsidRPr="002E2CA1">
              <w:rPr>
                <w:rFonts w:ascii="Arial" w:hAnsi="Arial" w:cs="Arial"/>
                <w:lang w:val="en-US"/>
              </w:rPr>
              <w:t xml:space="preserve"> and 6</w:t>
            </w:r>
            <w:r>
              <w:rPr>
                <w:rFonts w:ascii="Arial" w:hAnsi="Arial" w:cs="Arial"/>
                <w:lang w:val="en-US"/>
              </w:rPr>
              <w:t xml:space="preserve"> months</w:t>
            </w:r>
            <w:r w:rsidRPr="002E2CA1">
              <w:rPr>
                <w:rFonts w:ascii="Arial" w:hAnsi="Arial" w:cs="Arial"/>
                <w:lang w:val="en-US"/>
              </w:rPr>
              <w:t>.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F22EFF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Anatomic </w:t>
            </w:r>
            <w:r w:rsidR="006C6176">
              <w:rPr>
                <w:rFonts w:ascii="Arial" w:hAnsi="Arial" w:cs="Arial"/>
                <w:lang w:val="en-US"/>
              </w:rPr>
              <w:t>non-responders</w:t>
            </w:r>
          </w:p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(n = 21)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Anatomic responders</w:t>
            </w:r>
          </w:p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(n = 98)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BCVA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 xml:space="preserve"> (L)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Baseline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green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67.4 ± 11.1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green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61.9 ± 12.9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highlight w:val="green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0.037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72.7 ± 11.5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68.2 ± 12.6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0.088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75.7 ± 10.7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71.9 ± 11.6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0.109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Percentage increasing ≥5L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61.9%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62.2%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1.000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3M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6M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CRT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 xml:space="preserve"> (µm)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Baseline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green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367.8 ± 58.2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green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450.6 ± 108.3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green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366.2 ± 71.8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336.4 ± 72.3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0.026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367.2 ± 71.2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332.1 ± 74.3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3M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0.832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6M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0.941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SFCT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 xml:space="preserve"> (µm)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Baseline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350.6 ± 73.7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347.3 ± 76.1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0.859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322.9 ± 72.0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326.0 ± 82.3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0.858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326.7 ± 70.6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321.0 ± 78.9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0.762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3M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0.003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left="601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p-value 6M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0.036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Baseline SND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Yes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 (0.0%)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27 (27.6 %)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0.003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21 (100%)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71 (72.4 %)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Baseline EZ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firstLine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Intact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18 (85.7%)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59 (60.8%)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0.042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ind w:firstLine="601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Disrupted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 (14.3%)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38 (39.2%)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Laser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Yes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14 (66.7%)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51 (52.0%)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0.239</w:t>
            </w: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 (33.3%)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47 (48.0%)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C6176" w:rsidRPr="002E2CA1" w:rsidTr="000A7845">
        <w:trPr>
          <w:jc w:val="center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keepLines/>
              <w:widowControl w:val="0"/>
              <w:spacing w:line="360" w:lineRule="auto"/>
              <w:ind w:left="567" w:hanging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bCs/>
                <w:color w:val="000000"/>
                <w:lang w:val="en-US" w:eastAsia="pt-PT"/>
              </w:rPr>
              <w:t>Number of injections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4.0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± 1.2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4.8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± 1.3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0.016</w:t>
            </w:r>
          </w:p>
        </w:tc>
      </w:tr>
      <w:tr w:rsidR="006C6176" w:rsidRPr="00F22EFF" w:rsidTr="000A7845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C6176" w:rsidRPr="002E2CA1" w:rsidRDefault="006C6176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lastRenderedPageBreak/>
              <w:t xml:space="preserve">Abbreviations: BCVA = best corrected visual acuity scored using the ETDRS letters </w:t>
            </w:r>
            <w:r>
              <w:rPr>
                <w:rFonts w:ascii="Arial" w:hAnsi="Arial" w:cs="Arial"/>
                <w:lang w:val="en-US"/>
              </w:rPr>
              <w:t xml:space="preserve">(L) </w:t>
            </w:r>
            <w:r w:rsidRPr="002E2CA1">
              <w:rPr>
                <w:rFonts w:ascii="Arial" w:hAnsi="Arial" w:cs="Arial"/>
                <w:lang w:val="en-US"/>
              </w:rPr>
              <w:t xml:space="preserve">chart: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62L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are Snellen 20/58,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67L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(20/46), 68L (20/44), 72L (20/36), 73L (20/35) and 76L (20/30); 3M = 3 month endpoint after the loading dose; 6M = 6 month endpoint; CRT = 1 mm central retinal thickness;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SFCT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=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subfoveal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choroidal thickness;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SND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=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subfoveal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neuroretinal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detachment;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EZ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= ellipsoid zone. For anatomic responders’ calculation, only eyes with baseline CRT ≥300 </w:t>
            </w:r>
            <w:proofErr w:type="spellStart"/>
            <w:r w:rsidRPr="002E2CA1">
              <w:rPr>
                <w:rFonts w:ascii="Arial" w:hAnsi="Arial" w:cs="Arial"/>
                <w:lang w:val="en-US"/>
              </w:rPr>
              <w:t>μm</w:t>
            </w:r>
            <w:proofErr w:type="spellEnd"/>
            <w:r w:rsidRPr="002E2CA1">
              <w:rPr>
                <w:rFonts w:ascii="Arial" w:hAnsi="Arial" w:cs="Arial"/>
                <w:lang w:val="en-US"/>
              </w:rPr>
              <w:t xml:space="preserve"> were considered, </w:t>
            </w:r>
            <w:r>
              <w:rPr>
                <w:rFonts w:ascii="Arial" w:hAnsi="Arial" w:cs="Arial"/>
                <w:lang w:val="en-US"/>
              </w:rPr>
              <w:t>N</w:t>
            </w:r>
            <w:r w:rsidRPr="002E2CA1">
              <w:rPr>
                <w:rFonts w:ascii="Arial" w:hAnsi="Arial" w:cs="Arial"/>
                <w:lang w:val="en-US"/>
              </w:rPr>
              <w:t xml:space="preserve"> = 119 eyes. Eyes were considered responders if they had a 10% decrease from baseline CRT. The difference in vision gain between anatomic responders and </w:t>
            </w: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 xml:space="preserve"> was not statistically significant. A higher mean </w:t>
            </w:r>
            <w:r w:rsidRPr="00740B4B">
              <w:rPr>
                <w:rFonts w:ascii="Arial" w:hAnsi="Arial" w:cs="Arial"/>
                <w:lang w:val="en-US"/>
              </w:rPr>
              <w:t xml:space="preserve">baseline </w:t>
            </w:r>
            <w:bookmarkStart w:id="2" w:name="_GoBack"/>
            <w:r w:rsidRPr="00740B4B">
              <w:rPr>
                <w:rFonts w:ascii="Arial" w:hAnsi="Arial" w:cs="Arial"/>
                <w:lang w:val="en-US"/>
              </w:rPr>
              <w:t xml:space="preserve">CRT </w:t>
            </w:r>
            <w:r w:rsidR="00F22EFF" w:rsidRPr="00740B4B">
              <w:rPr>
                <w:rFonts w:ascii="Arial" w:hAnsi="Arial" w:cs="Arial"/>
                <w:lang w:val="en-US"/>
              </w:rPr>
              <w:t xml:space="preserve">and baseline SND </w:t>
            </w:r>
            <w:bookmarkEnd w:id="2"/>
            <w:r w:rsidRPr="002E2CA1">
              <w:rPr>
                <w:rFonts w:ascii="Arial" w:hAnsi="Arial" w:cs="Arial"/>
                <w:lang w:val="en-US"/>
              </w:rPr>
              <w:t>correlated with anatomic response. The mean baseline SFCT decreased significantly with treatment in both groups with no statistically significant difference between them.</w:t>
            </w:r>
          </w:p>
        </w:tc>
      </w:tr>
    </w:tbl>
    <w:p w:rsidR="006375C2" w:rsidRPr="00F22EFF" w:rsidRDefault="006375C2">
      <w:pPr>
        <w:rPr>
          <w:lang w:val="en-US"/>
        </w:rPr>
      </w:pPr>
    </w:p>
    <w:sectPr w:rsidR="006375C2" w:rsidRPr="00F2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ónio">
    <w15:presenceInfo w15:providerId="None" w15:userId="Antón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76"/>
    <w:rsid w:val="00430BB2"/>
    <w:rsid w:val="006375C2"/>
    <w:rsid w:val="00667F6A"/>
    <w:rsid w:val="006C6176"/>
    <w:rsid w:val="00740B4B"/>
    <w:rsid w:val="00A30805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6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176"/>
    <w:pPr>
      <w:spacing w:after="0" w:line="240" w:lineRule="auto"/>
    </w:pPr>
    <w:rPr>
      <w:rFonts w:eastAsiaTheme="minorEastAsia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4B"/>
    <w:rPr>
      <w:rFonts w:ascii="Tahoma" w:eastAsiaTheme="minorEastAs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6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176"/>
    <w:pPr>
      <w:spacing w:after="0" w:line="240" w:lineRule="auto"/>
    </w:pPr>
    <w:rPr>
      <w:rFonts w:eastAsiaTheme="minorEastAsia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4B"/>
    <w:rPr>
      <w:rFonts w:ascii="Tahoma" w:eastAsiaTheme="minorEastAs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JMAPALO</dc:creator>
  <cp:lastModifiedBy>Calumpang, Mario Jade</cp:lastModifiedBy>
  <cp:revision>3</cp:revision>
  <dcterms:created xsi:type="dcterms:W3CDTF">2018-09-30T14:53:00Z</dcterms:created>
  <dcterms:modified xsi:type="dcterms:W3CDTF">2018-10-15T16:50:00Z</dcterms:modified>
</cp:coreProperties>
</file>