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3" w:type="dxa"/>
        <w:jc w:val="center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2176"/>
        <w:gridCol w:w="939"/>
        <w:gridCol w:w="1791"/>
        <w:gridCol w:w="1791"/>
        <w:gridCol w:w="1791"/>
        <w:gridCol w:w="1924"/>
        <w:gridCol w:w="789"/>
        <w:gridCol w:w="1775"/>
        <w:gridCol w:w="717"/>
      </w:tblGrid>
      <w:tr w:rsidR="00A53B60">
        <w:trPr>
          <w:trHeight w:val="600"/>
          <w:jc w:val="center"/>
        </w:trPr>
        <w:tc>
          <w:tcPr>
            <w:tcW w:w="13693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346CA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>T</w:t>
            </w:r>
            <w:r w:rsidR="00021D9A"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 xml:space="preserve">able </w:t>
            </w:r>
            <w:r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>S</w:t>
            </w:r>
            <w:r w:rsidR="00021D9A"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 xml:space="preserve">1. Circulating concentrations of OPG </w:t>
            </w:r>
            <w:r w:rsidR="00021D9A">
              <w:rPr>
                <w:rFonts w:eastAsia="Times New Roman" w:cs="Arial"/>
                <w:b/>
                <w:bCs/>
                <w:color w:val="000000"/>
                <w:szCs w:val="24"/>
              </w:rPr>
              <w:t>and risk of death following a breast cancer diagnosis,</w:t>
            </w:r>
            <w:r w:rsidR="00021D9A"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 xml:space="preserve"> by ER subtype and stratified by BMI at blood collection.</w:t>
            </w:r>
          </w:p>
        </w:tc>
      </w:tr>
      <w:tr w:rsidR="00A53B60">
        <w:trPr>
          <w:trHeight w:val="270"/>
          <w:jc w:val="center"/>
        </w:trPr>
        <w:tc>
          <w:tcPr>
            <w:tcW w:w="21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8236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Quintiles</w:t>
            </w:r>
          </w:p>
        </w:tc>
        <w:tc>
          <w:tcPr>
            <w:tcW w:w="78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tcBorders>
              <w:top w:val="single" w:sz="2" w:space="0" w:color="auto"/>
            </w:tcBorders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auto"/>
            </w:tcBorders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3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4</w:t>
            </w:r>
          </w:p>
        </w:tc>
        <w:tc>
          <w:tcPr>
            <w:tcW w:w="192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5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tcBorders>
              <w:bottom w:val="nil"/>
            </w:tcBorders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tcBorders>
              <w:bottom w:val="nil"/>
            </w:tcBorders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330"/>
          <w:jc w:val="center"/>
        </w:trPr>
        <w:tc>
          <w:tcPr>
            <w:tcW w:w="21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>Cut points (pmol/L)</w:t>
            </w:r>
          </w:p>
        </w:tc>
        <w:tc>
          <w:tcPr>
            <w:tcW w:w="939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center"/>
              <w:rPr>
                <w:rStyle w:val="IntenseEmphasis"/>
                <w:b w:val="0"/>
                <w:color w:val="000000" w:themeColor="text1"/>
              </w:rPr>
            </w:pPr>
            <w:r>
              <w:rPr>
                <w:rStyle w:val="IntenseEmphasis"/>
                <w:b w:val="0"/>
                <w:color w:val="000000" w:themeColor="text1"/>
              </w:rPr>
              <w:t>≤ 7.70</w:t>
            </w:r>
          </w:p>
        </w:tc>
        <w:tc>
          <w:tcPr>
            <w:tcW w:w="179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center"/>
              <w:rPr>
                <w:rStyle w:val="IntenseEmphasis"/>
                <w:b w:val="0"/>
                <w:color w:val="000000" w:themeColor="text1"/>
              </w:rPr>
            </w:pPr>
            <w:r>
              <w:rPr>
                <w:rStyle w:val="IntenseEmphasis"/>
                <w:b w:val="0"/>
                <w:color w:val="000000" w:themeColor="text1"/>
              </w:rPr>
              <w:t>7.80 - 9.18</w:t>
            </w:r>
          </w:p>
        </w:tc>
        <w:tc>
          <w:tcPr>
            <w:tcW w:w="179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center"/>
              <w:rPr>
                <w:rStyle w:val="IntenseEmphasis"/>
                <w:b w:val="0"/>
                <w:color w:val="000000" w:themeColor="text1"/>
              </w:rPr>
            </w:pPr>
            <w:r>
              <w:rPr>
                <w:rStyle w:val="IntenseEmphasis"/>
                <w:b w:val="0"/>
                <w:color w:val="000000" w:themeColor="text1"/>
              </w:rPr>
              <w:t>9.18 - 10.54</w:t>
            </w:r>
          </w:p>
        </w:tc>
        <w:tc>
          <w:tcPr>
            <w:tcW w:w="179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center"/>
              <w:rPr>
                <w:rStyle w:val="IntenseEmphasis"/>
                <w:b w:val="0"/>
                <w:color w:val="000000" w:themeColor="text1"/>
              </w:rPr>
            </w:pPr>
            <w:r>
              <w:rPr>
                <w:rStyle w:val="IntenseEmphasis"/>
                <w:b w:val="0"/>
                <w:color w:val="000000" w:themeColor="text1"/>
              </w:rPr>
              <w:t>10.54 - 12.38</w:t>
            </w:r>
          </w:p>
        </w:tc>
        <w:tc>
          <w:tcPr>
            <w:tcW w:w="192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center"/>
              <w:rPr>
                <w:rStyle w:val="IntenseEmphasis"/>
                <w:b w:val="0"/>
                <w:color w:val="000000" w:themeColor="text1"/>
              </w:rPr>
            </w:pPr>
            <w:r>
              <w:rPr>
                <w:rStyle w:val="IntenseEmphasis"/>
                <w:b w:val="0"/>
                <w:color w:val="000000" w:themeColor="text1"/>
              </w:rPr>
              <w:t>&gt; 12.38</w:t>
            </w:r>
          </w:p>
        </w:tc>
        <w:tc>
          <w:tcPr>
            <w:tcW w:w="789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p</w:t>
            </w:r>
            <w:r>
              <w:rPr>
                <w:rFonts w:eastAsia="Times New Roman" w:cs="Arial"/>
                <w:color w:val="000000" w:themeColor="text1"/>
                <w:szCs w:val="20"/>
                <w:vertAlign w:val="subscript"/>
              </w:rPr>
              <w:t>trend</w:t>
            </w:r>
            <w:r>
              <w:rPr>
                <w:rFonts w:eastAsia="Times New Roman" w:cs="Arial"/>
                <w:color w:val="000000" w:themeColor="text1"/>
                <w:szCs w:val="20"/>
                <w:vertAlign w:val="superscript"/>
              </w:rPr>
              <w:t>a</w:t>
            </w:r>
          </w:p>
        </w:tc>
        <w:tc>
          <w:tcPr>
            <w:tcW w:w="1775" w:type="dxa"/>
            <w:tcBorders>
              <w:bottom w:val="single" w:sz="2" w:space="0" w:color="auto"/>
            </w:tcBorders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HR</w:t>
            </w:r>
            <w:r>
              <w:rPr>
                <w:rFonts w:eastAsia="Times New Roman" w:cs="Arial"/>
                <w:color w:val="000000" w:themeColor="text1"/>
                <w:szCs w:val="20"/>
                <w:vertAlign w:val="subscript"/>
              </w:rPr>
              <w:t>log2</w:t>
            </w:r>
          </w:p>
        </w:tc>
        <w:tc>
          <w:tcPr>
            <w:tcW w:w="717" w:type="dxa"/>
            <w:tcBorders>
              <w:bottom w:val="single" w:sz="2" w:space="0" w:color="auto"/>
            </w:tcBorders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p</w:t>
            </w:r>
            <w:r>
              <w:rPr>
                <w:rFonts w:eastAsia="Times New Roman" w:cs="Arial"/>
                <w:color w:val="000000" w:themeColor="text1"/>
                <w:szCs w:val="20"/>
                <w:vertAlign w:val="subscript"/>
              </w:rPr>
              <w:t>het</w:t>
            </w:r>
            <w:r>
              <w:rPr>
                <w:rFonts w:eastAsia="Times New Roman" w:cs="Arial"/>
                <w:color w:val="000000" w:themeColor="text1"/>
                <w:szCs w:val="20"/>
                <w:vertAlign w:val="superscript"/>
              </w:rPr>
              <w:t>b</w:t>
            </w:r>
          </w:p>
        </w:tc>
      </w:tr>
      <w:tr w:rsidR="00A53B60">
        <w:trPr>
          <w:trHeight w:val="255"/>
          <w:jc w:val="center"/>
        </w:trPr>
        <w:tc>
          <w:tcPr>
            <w:tcW w:w="11201" w:type="dxa"/>
            <w:gridSpan w:val="7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>Breast cancer-specific death</w:t>
            </w:r>
          </w:p>
        </w:tc>
        <w:tc>
          <w:tcPr>
            <w:tcW w:w="1775" w:type="dxa"/>
            <w:tcBorders>
              <w:top w:val="single" w:sz="2" w:space="0" w:color="auto"/>
              <w:bottom w:val="nil"/>
            </w:tcBorders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11201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szCs w:val="20"/>
                <w:vertAlign w:val="superscript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>BMI at blood collection &lt;25kg/m</w:t>
            </w:r>
            <w:r>
              <w:rPr>
                <w:rFonts w:eastAsia="Times New Roman" w:cs="Arial"/>
                <w:b/>
                <w:bCs/>
                <w:color w:val="000000" w:themeColor="text1"/>
                <w:szCs w:val="20"/>
                <w:vertAlign w:val="superscript"/>
              </w:rPr>
              <w:t>2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11201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All breast cancer cases</w:t>
            </w:r>
          </w:p>
        </w:tc>
        <w:tc>
          <w:tcPr>
            <w:tcW w:w="1775" w:type="dxa"/>
            <w:tcBorders>
              <w:top w:val="nil"/>
            </w:tcBorders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Died/total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27/241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21/224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19/218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24/221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28/215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119/1119</w:t>
            </w: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0.94 (0.52, 1.70)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1.03 (0.56, 1.89)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1.31 (0.73, 2.36)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1.87 (1.04, 3.39)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0.06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1.60 (0.99, 2.62)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sRANKL adjusted </w:t>
            </w:r>
          </w:p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  <w:r>
              <w:rPr>
                <w:rFonts w:eastAsia="Times New Roman" w:cs="Arial"/>
                <w:i/>
                <w:iCs/>
                <w:color w:val="000000" w:themeColor="text1"/>
                <w:szCs w:val="20"/>
                <w:vertAlign w:val="superscript"/>
              </w:rPr>
              <w:t>c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0.96 (0.53, 1.74)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1.05 (0.57, 1.95)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1.29 (0.71, 2.35)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1.94 (1.05, 3.57)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0.06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1.62 (0.92, 1.17)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11201" w:type="dxa"/>
            <w:gridSpan w:val="7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ER+ breast cancer cases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Died/total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14/183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13/177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10/172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17/180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20/176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74/888</w:t>
            </w: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1.15 (0.52, 2.51)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1.10 (0.47, 2.55)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1.86 (0.88, 3.92)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2.80 (1.30, 6.02)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0.01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2.27 (1.22, 4.24)</w:t>
            </w: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sRANKL adjusted </w:t>
            </w:r>
          </w:p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  <w:r>
              <w:rPr>
                <w:rFonts w:eastAsia="Times New Roman" w:cs="Arial"/>
                <w:i/>
                <w:iCs/>
                <w:color w:val="000000" w:themeColor="text1"/>
                <w:szCs w:val="20"/>
                <w:vertAlign w:val="superscript"/>
              </w:rPr>
              <w:t>c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1.23 (0.56, 2.71)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1.18 (0.51, 2.76)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1.92 (0.89, 4.16)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3.19 (1.46, 6.97)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0.005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2.53 (1.33, 4.83)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924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11201" w:type="dxa"/>
            <w:gridSpan w:val="7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ER- breast cancer cases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Died/total</w:t>
            </w:r>
          </w:p>
        </w:tc>
        <w:tc>
          <w:tcPr>
            <w:tcW w:w="93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13/58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8/47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9/46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7/41</w:t>
            </w:r>
          </w:p>
        </w:tc>
        <w:tc>
          <w:tcPr>
            <w:tcW w:w="192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8/39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tcBorders>
              <w:bottom w:val="nil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45/231</w:t>
            </w:r>
          </w:p>
        </w:tc>
        <w:tc>
          <w:tcPr>
            <w:tcW w:w="717" w:type="dxa"/>
            <w:tcBorders>
              <w:bottom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70"/>
          <w:jc w:val="center"/>
        </w:trPr>
        <w:tc>
          <w:tcPr>
            <w:tcW w:w="21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</w:p>
        </w:tc>
        <w:tc>
          <w:tcPr>
            <w:tcW w:w="93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0.87 (0.33, 2.26)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0.98 (0.37, 2.59)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0.84 (0.31, 2.30)</w:t>
            </w:r>
          </w:p>
        </w:tc>
        <w:tc>
          <w:tcPr>
            <w:tcW w:w="192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1.12 (0.38, 3.29)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0.97</w:t>
            </w:r>
          </w:p>
        </w:tc>
        <w:tc>
          <w:tcPr>
            <w:tcW w:w="1775" w:type="dxa"/>
            <w:tcBorders>
              <w:bottom w:val="nil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0.99 (0.44, 2.21)</w:t>
            </w:r>
          </w:p>
        </w:tc>
        <w:tc>
          <w:tcPr>
            <w:tcW w:w="717" w:type="dxa"/>
            <w:tcBorders>
              <w:bottom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sRANKL adjusted </w:t>
            </w:r>
          </w:p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  <w:r>
              <w:rPr>
                <w:rFonts w:eastAsia="Times New Roman" w:cs="Arial"/>
                <w:i/>
                <w:iCs/>
                <w:color w:val="000000" w:themeColor="text1"/>
                <w:szCs w:val="20"/>
                <w:vertAlign w:val="superscript"/>
              </w:rPr>
              <w:t>c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0.82 (0.31, 2.18)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0.93 (0.33, 2.57)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0.74 (0.26, 2.13)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0.92 (0.28, 3.00)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0.68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0.83 (0.34, 2.03)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70"/>
          <w:jc w:val="center"/>
        </w:trPr>
        <w:tc>
          <w:tcPr>
            <w:tcW w:w="21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92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8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tcBorders>
              <w:bottom w:val="nil"/>
            </w:tcBorders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tcBorders>
              <w:bottom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11201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szCs w:val="20"/>
                <w:vertAlign w:val="superscript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 xml:space="preserve">BMI at </w:t>
            </w:r>
            <w:r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>blood collection ≥25kg/m</w:t>
            </w:r>
            <w:r>
              <w:rPr>
                <w:rFonts w:eastAsia="Times New Roman" w:cs="Arial"/>
                <w:b/>
                <w:bCs/>
                <w:color w:val="000000" w:themeColor="text1"/>
                <w:szCs w:val="20"/>
                <w:vertAlign w:val="superscript"/>
              </w:rPr>
              <w:t>2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11201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All breast cancer cases</w:t>
            </w:r>
          </w:p>
        </w:tc>
        <w:tc>
          <w:tcPr>
            <w:tcW w:w="1775" w:type="dxa"/>
            <w:tcBorders>
              <w:top w:val="nil"/>
            </w:tcBorders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Died/total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24/161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27/177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25/183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31/180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24/186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131/887</w:t>
            </w: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1.30 (0.72, 2.32)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0.99 (0.53, 1.83)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1.35 (0.75, 2.45)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0.99 (0.52, 1.88)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0.83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1.05 (0.67, 1.65)</w:t>
            </w:r>
          </w:p>
        </w:tc>
        <w:tc>
          <w:tcPr>
            <w:tcW w:w="717" w:type="dxa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0.18</w:t>
            </w: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sRANKL adjusted </w:t>
            </w:r>
          </w:p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  <w:r>
              <w:rPr>
                <w:rFonts w:eastAsia="Times New Roman" w:cs="Arial"/>
                <w:i/>
                <w:iCs/>
                <w:color w:val="000000" w:themeColor="text1"/>
                <w:szCs w:val="20"/>
                <w:vertAlign w:val="superscript"/>
              </w:rPr>
              <w:t>c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1.32 (0.73, 2.40)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1.05 (0.56, 1.98)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1.34 (0.72, 2.50)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1.06 (0.54, 2.08)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0.78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1.07 (0.66, 1.72)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924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11201" w:type="dxa"/>
            <w:gridSpan w:val="7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ER+ breast cancer cases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Died/total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17/135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22/144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17/150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18/148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17/155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91/732</w:t>
            </w: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1.39 (0.71, 2.70)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1.06 (0.50, 2.22)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1.16 (0.56, 2.44)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1.06 (0.49, 2.34)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0.75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0.91 (0.50, 1.64)</w:t>
            </w:r>
          </w:p>
        </w:tc>
        <w:tc>
          <w:tcPr>
            <w:tcW w:w="717" w:type="dxa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0.03</w:t>
            </w: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sRANKL adjusted </w:t>
            </w:r>
          </w:p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lastRenderedPageBreak/>
              <w:t xml:space="preserve">     HR (95% CI)</w:t>
            </w:r>
            <w:r>
              <w:rPr>
                <w:rFonts w:eastAsia="Times New Roman" w:cs="Arial"/>
                <w:i/>
                <w:iCs/>
                <w:color w:val="000000" w:themeColor="text1"/>
                <w:szCs w:val="20"/>
                <w:vertAlign w:val="superscript"/>
              </w:rPr>
              <w:t>c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lastRenderedPageBreak/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1.51 (0.76, 3.00)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1.17 (0.55, 2.50)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1.18 (0.55, 0.55)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1.16 (0.51, 0.64)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0.72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0.90 (0.48, 1.66)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924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11201" w:type="dxa"/>
            <w:gridSpan w:val="7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ER- breast cancer cases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Died/total</w:t>
            </w:r>
          </w:p>
        </w:tc>
        <w:tc>
          <w:tcPr>
            <w:tcW w:w="93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7/26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5/33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8/33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13/32</w:t>
            </w:r>
          </w:p>
        </w:tc>
        <w:tc>
          <w:tcPr>
            <w:tcW w:w="192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7/31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tcBorders>
              <w:bottom w:val="nil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40/155</w:t>
            </w:r>
          </w:p>
        </w:tc>
        <w:tc>
          <w:tcPr>
            <w:tcW w:w="717" w:type="dxa"/>
            <w:tcBorders>
              <w:bottom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70"/>
          <w:jc w:val="center"/>
        </w:trPr>
        <w:tc>
          <w:tcPr>
            <w:tcW w:w="21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</w:p>
        </w:tc>
        <w:tc>
          <w:tcPr>
            <w:tcW w:w="93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1.21 (0.32, 4.50)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0.97 (0.30, 3.16)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2.34 (0.76, 7.20)</w:t>
            </w:r>
          </w:p>
        </w:tc>
        <w:tc>
          <w:tcPr>
            <w:tcW w:w="192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0.98 (0.30, 3.21)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0.36</w:t>
            </w:r>
          </w:p>
        </w:tc>
        <w:tc>
          <w:tcPr>
            <w:tcW w:w="1775" w:type="dxa"/>
            <w:tcBorders>
              <w:bottom w:val="nil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1.43 (0.66, 3.10)</w:t>
            </w:r>
          </w:p>
        </w:tc>
        <w:tc>
          <w:tcPr>
            <w:tcW w:w="717" w:type="dxa"/>
            <w:tcBorders>
              <w:bottom w:val="nil"/>
            </w:tcBorders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0.36</w:t>
            </w: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sRANKL adjusted </w:t>
            </w:r>
          </w:p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  <w:r>
              <w:rPr>
                <w:rFonts w:eastAsia="Times New Roman" w:cs="Arial"/>
                <w:i/>
                <w:iCs/>
                <w:color w:val="000000" w:themeColor="text1"/>
                <w:szCs w:val="20"/>
                <w:vertAlign w:val="superscript"/>
              </w:rPr>
              <w:t>c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 xml:space="preserve">0.96 </w:t>
            </w:r>
            <w:r>
              <w:rPr>
                <w:rFonts w:eastAsia="Times New Roman" w:cs="Arial"/>
                <w:color w:val="000000" w:themeColor="text1"/>
                <w:szCs w:val="20"/>
              </w:rPr>
              <w:t>(0.24, 3.88)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0.98 (0.28, 3.45)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2.16 (0.66, 7.06)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0.96 (0.27, 3.40)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0.30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1.56 (0.67, 3.63)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11201" w:type="dxa"/>
            <w:gridSpan w:val="7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>Death of any cause</w:t>
            </w:r>
          </w:p>
        </w:tc>
        <w:tc>
          <w:tcPr>
            <w:tcW w:w="1775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11201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szCs w:val="20"/>
                <w:vertAlign w:val="superscript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>BMI at blood collection &lt;25kg/m</w:t>
            </w:r>
            <w:r>
              <w:rPr>
                <w:rFonts w:eastAsia="Times New Roman" w:cs="Arial"/>
                <w:b/>
                <w:bCs/>
                <w:color w:val="000000" w:themeColor="text1"/>
                <w:szCs w:val="20"/>
                <w:vertAlign w:val="superscript"/>
              </w:rPr>
              <w:t>2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11201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All breast cancer cases</w:t>
            </w:r>
          </w:p>
        </w:tc>
        <w:tc>
          <w:tcPr>
            <w:tcW w:w="1775" w:type="dxa"/>
            <w:tcBorders>
              <w:top w:val="nil"/>
            </w:tcBorders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Died/total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39/241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36/224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36/218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43/221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54/215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208/1119</w:t>
            </w: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0.98 (0.62, 1.57)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1.06 (0.66, 1.71)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1.26 (0.79, 1.99)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1.55 (0.97, 2.46)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0.01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1.66 (1.15, 2.41)</w:t>
            </w: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sRANKL adjusted </w:t>
            </w:r>
          </w:p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  <w:r>
              <w:rPr>
                <w:rFonts w:eastAsia="Times New Roman" w:cs="Arial"/>
                <w:i/>
                <w:iCs/>
                <w:color w:val="000000" w:themeColor="text1"/>
                <w:szCs w:val="20"/>
                <w:vertAlign w:val="superscript"/>
              </w:rPr>
              <w:t>c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0.99 (0.62, 1.59)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1.00 (0.62, 1.63)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1.17 (0.73, 1.88)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1.36 (0.83, 2.22)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0.05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1.49 (1.00, 2.20)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11201" w:type="dxa"/>
            <w:gridSpan w:val="7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ER+ breast cancer cases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Died/total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22/183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26/177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23/172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35/180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43/176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149/888</w:t>
            </w: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1.23 (0.68, 2.21)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1.21 (0.66, 2.24)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1.72 (0.98, 3.02)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1.98 (1.11, 3.51)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0.002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1.98 (1.28, 3.06)</w:t>
            </w: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sRANKL adjusted </w:t>
            </w:r>
          </w:p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  <w:r>
              <w:rPr>
                <w:rFonts w:eastAsia="Times New Roman" w:cs="Arial"/>
                <w:i/>
                <w:iCs/>
                <w:color w:val="000000" w:themeColor="text1"/>
                <w:szCs w:val="20"/>
                <w:vertAlign w:val="superscript"/>
              </w:rPr>
              <w:t>c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1.23 (0.68, 2.21)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1.17 (0.63, 2.16)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1.63 (0.92, 0.89)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1.82 (1.00, 3.31)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0.008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1.86 (1.18, 2.95)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924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11201" w:type="dxa"/>
            <w:gridSpan w:val="7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ER- breast cancer cases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Died/total</w:t>
            </w:r>
          </w:p>
        </w:tc>
        <w:tc>
          <w:tcPr>
            <w:tcW w:w="93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17/58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10/47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13/46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8/41</w:t>
            </w:r>
          </w:p>
        </w:tc>
        <w:tc>
          <w:tcPr>
            <w:tcW w:w="192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11/39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tcBorders>
              <w:bottom w:val="nil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59/231</w:t>
            </w:r>
          </w:p>
        </w:tc>
        <w:tc>
          <w:tcPr>
            <w:tcW w:w="717" w:type="dxa"/>
            <w:tcBorders>
              <w:bottom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70"/>
          <w:jc w:val="center"/>
        </w:trPr>
        <w:tc>
          <w:tcPr>
            <w:tcW w:w="21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</w:p>
        </w:tc>
        <w:tc>
          <w:tcPr>
            <w:tcW w:w="93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0.69 (0.29, 1.63)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0.95 (0.42, 2.17)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 xml:space="preserve">0.65 </w:t>
            </w:r>
            <w:r>
              <w:rPr>
                <w:rFonts w:eastAsia="Times New Roman" w:cs="Arial"/>
                <w:color w:val="000000" w:themeColor="text1"/>
                <w:szCs w:val="20"/>
              </w:rPr>
              <w:t>(0.26, 1.64)</w:t>
            </w:r>
          </w:p>
        </w:tc>
        <w:tc>
          <w:tcPr>
            <w:tcW w:w="192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1.18 (0.48, 2.91)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0.66</w:t>
            </w:r>
          </w:p>
        </w:tc>
        <w:tc>
          <w:tcPr>
            <w:tcW w:w="1775" w:type="dxa"/>
            <w:tcBorders>
              <w:bottom w:val="nil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1.18 (0.57, 2.42)</w:t>
            </w:r>
          </w:p>
        </w:tc>
        <w:tc>
          <w:tcPr>
            <w:tcW w:w="717" w:type="dxa"/>
            <w:tcBorders>
              <w:bottom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sRANKL adjusted </w:t>
            </w:r>
          </w:p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  <w:r>
              <w:rPr>
                <w:rFonts w:eastAsia="Times New Roman" w:cs="Arial"/>
                <w:i/>
                <w:iCs/>
                <w:color w:val="000000" w:themeColor="text1"/>
                <w:szCs w:val="20"/>
                <w:vertAlign w:val="superscript"/>
              </w:rPr>
              <w:t>c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0.66 (0.28, 1.58)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0.79 (0.33, 1.91)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0.53 (0.20, 1.39)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0.78 (0.27, 2.22)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0.71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0.85 (0.38, 1.94)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70"/>
          <w:jc w:val="center"/>
        </w:trPr>
        <w:tc>
          <w:tcPr>
            <w:tcW w:w="21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92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8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tcBorders>
              <w:bottom w:val="nil"/>
            </w:tcBorders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tcBorders>
              <w:bottom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11201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szCs w:val="20"/>
                <w:vertAlign w:val="superscript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>BMI at blood collection ≥25kg/m</w:t>
            </w:r>
            <w:r>
              <w:rPr>
                <w:rFonts w:eastAsia="Times New Roman" w:cs="Arial"/>
                <w:b/>
                <w:bCs/>
                <w:color w:val="000000" w:themeColor="text1"/>
                <w:szCs w:val="20"/>
                <w:vertAlign w:val="superscript"/>
              </w:rPr>
              <w:t>2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11201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 xml:space="preserve">All breast </w:t>
            </w:r>
            <w:r>
              <w:rPr>
                <w:rFonts w:eastAsia="Times New Roman" w:cs="Arial"/>
                <w:color w:val="000000" w:themeColor="text1"/>
                <w:szCs w:val="20"/>
              </w:rPr>
              <w:t>cancer cases</w:t>
            </w:r>
          </w:p>
        </w:tc>
        <w:tc>
          <w:tcPr>
            <w:tcW w:w="1775" w:type="dxa"/>
            <w:tcBorders>
              <w:top w:val="nil"/>
            </w:tcBorders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Died/total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38/161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35/177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35/183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50/180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55/186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213/887</w:t>
            </w: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0.85 (0.53, 1.38)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0.67 (0.40, 1.09)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0.94 (0.59, 1.49)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0.94 (0.58, 1.51)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0.66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1.09 (0.75, 1.57)</w:t>
            </w:r>
          </w:p>
        </w:tc>
        <w:tc>
          <w:tcPr>
            <w:tcW w:w="717" w:type="dxa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0.03</w:t>
            </w: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sRANKL adjusted </w:t>
            </w:r>
          </w:p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  <w:r>
              <w:rPr>
                <w:rFonts w:eastAsia="Times New Roman" w:cs="Arial"/>
                <w:i/>
                <w:iCs/>
                <w:color w:val="000000" w:themeColor="text1"/>
                <w:szCs w:val="20"/>
                <w:vertAlign w:val="superscript"/>
              </w:rPr>
              <w:t>c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 xml:space="preserve">0.88 </w:t>
            </w:r>
            <w:r>
              <w:rPr>
                <w:rFonts w:eastAsia="Times New Roman" w:cs="Arial"/>
                <w:color w:val="000000" w:themeColor="text1"/>
                <w:szCs w:val="20"/>
              </w:rPr>
              <w:t>(0.54, 1.42)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0.69 (0.42, 0.15)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0.92 (0.57, 1.49)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0.99 (0.60, 1.62)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0.64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1.10 (0.74, 1.62)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924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11201" w:type="dxa"/>
            <w:gridSpan w:val="7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ER+ breast cancer cases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Died/total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31/135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28/144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24/150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36/148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42/155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161/732</w:t>
            </w: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0.81 (0.48, 1.37)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0.62 (0.35, 1.10)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 xml:space="preserve">0.85 </w:t>
            </w:r>
            <w:r>
              <w:rPr>
                <w:rFonts w:eastAsia="Times New Roman" w:cs="Arial"/>
                <w:color w:val="000000" w:themeColor="text1"/>
                <w:szCs w:val="20"/>
              </w:rPr>
              <w:t>(0.50, 1.45)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0.92 (0.53, 1.58)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0.95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1.02 (0.65, 1.59)</w:t>
            </w:r>
          </w:p>
        </w:tc>
        <w:tc>
          <w:tcPr>
            <w:tcW w:w="717" w:type="dxa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0.003</w:t>
            </w: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lastRenderedPageBreak/>
              <w:t xml:space="preserve">     sRANKL adjusted </w:t>
            </w:r>
          </w:p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  <w:r>
              <w:rPr>
                <w:rFonts w:eastAsia="Times New Roman" w:cs="Arial"/>
                <w:i/>
                <w:iCs/>
                <w:color w:val="000000" w:themeColor="text1"/>
                <w:szCs w:val="20"/>
                <w:vertAlign w:val="superscript"/>
              </w:rPr>
              <w:t>c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0.88 (0.51, 1.50)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0.66 (0.37, 1.18)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0.86 (0.50, 1.49)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0.99 (0.56, 1.74)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0.93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1.02 (0.64, 1.63)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924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11201" w:type="dxa"/>
            <w:gridSpan w:val="7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ER- breast cancer cases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Died/total</w:t>
            </w:r>
          </w:p>
        </w:tc>
        <w:tc>
          <w:tcPr>
            <w:tcW w:w="93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7/26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2/33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11/33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14/32</w:t>
            </w:r>
          </w:p>
        </w:tc>
        <w:tc>
          <w:tcPr>
            <w:tcW w:w="192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13/31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 w:themeColor="text1"/>
                <w:szCs w:val="20"/>
              </w:rPr>
            </w:pPr>
          </w:p>
        </w:tc>
        <w:tc>
          <w:tcPr>
            <w:tcW w:w="1775" w:type="dxa"/>
            <w:tcBorders>
              <w:bottom w:val="nil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52/155</w:t>
            </w:r>
          </w:p>
        </w:tc>
        <w:tc>
          <w:tcPr>
            <w:tcW w:w="717" w:type="dxa"/>
            <w:tcBorders>
              <w:bottom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270"/>
          <w:jc w:val="center"/>
        </w:trPr>
        <w:tc>
          <w:tcPr>
            <w:tcW w:w="21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</w:p>
        </w:tc>
        <w:tc>
          <w:tcPr>
            <w:tcW w:w="93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1.56 (0.47, 5.15)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1.21 (0.40, 3.70)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1.99 (0.68, 5.83)</w:t>
            </w:r>
          </w:p>
        </w:tc>
        <w:tc>
          <w:tcPr>
            <w:tcW w:w="192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1.38 (0.47, 3.99)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0.29</w:t>
            </w:r>
          </w:p>
        </w:tc>
        <w:tc>
          <w:tcPr>
            <w:tcW w:w="1775" w:type="dxa"/>
            <w:tcBorders>
              <w:bottom w:val="nil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1.45 (0.73, 2.89)</w:t>
            </w:r>
          </w:p>
        </w:tc>
        <w:tc>
          <w:tcPr>
            <w:tcW w:w="717" w:type="dxa"/>
            <w:tcBorders>
              <w:bottom w:val="nil"/>
            </w:tcBorders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0.39</w:t>
            </w:r>
          </w:p>
        </w:tc>
      </w:tr>
      <w:tr w:rsidR="00A53B60">
        <w:trPr>
          <w:trHeight w:val="255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sRANKL adjusted </w:t>
            </w:r>
          </w:p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  <w:r>
              <w:rPr>
                <w:rFonts w:eastAsia="Times New Roman" w:cs="Arial"/>
                <w:i/>
                <w:iCs/>
                <w:color w:val="000000" w:themeColor="text1"/>
                <w:szCs w:val="20"/>
                <w:vertAlign w:val="superscript"/>
              </w:rPr>
              <w:t>c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Ref.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1.30 (0.37, 4.05)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1.13 (0.35, 3.67)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 xml:space="preserve">1.71 (0.56, </w:t>
            </w:r>
            <w:r>
              <w:rPr>
                <w:rFonts w:eastAsia="Times New Roman" w:cs="Arial"/>
                <w:color w:val="000000" w:themeColor="text1"/>
                <w:szCs w:val="20"/>
              </w:rPr>
              <w:t>5.22)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1.28 (0.42, 3.92)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0.31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</w:rPr>
              <w:t>1.47 (0.70, 3.10)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</w:p>
        </w:tc>
      </w:tr>
      <w:tr w:rsidR="00A53B60">
        <w:trPr>
          <w:trHeight w:val="315"/>
          <w:jc w:val="center"/>
        </w:trPr>
        <w:tc>
          <w:tcPr>
            <w:tcW w:w="13693" w:type="dxa"/>
            <w:gridSpan w:val="9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4"/>
              </w:rPr>
              <w:t>All models a</w:t>
            </w:r>
            <w:r>
              <w:rPr>
                <w:rFonts w:eastAsia="Times New Roman" w:cs="Arial"/>
                <w:i/>
                <w:color w:val="000000"/>
                <w:szCs w:val="24"/>
              </w:rPr>
              <w:t>djusted</w:t>
            </w:r>
            <w:r>
              <w:rPr>
                <w:rFonts w:eastAsia="Times New Roman" w:cs="Arial"/>
                <w:i/>
                <w:szCs w:val="24"/>
              </w:rPr>
              <w:t xml:space="preserve"> for breast cancer stage (localized, non-localized, missing), BMI (kg/m</w:t>
            </w:r>
            <w:r>
              <w:rPr>
                <w:rFonts w:eastAsia="Times New Roman" w:cs="Arial"/>
                <w:i/>
                <w:szCs w:val="24"/>
                <w:vertAlign w:val="superscript"/>
              </w:rPr>
              <w:t>2</w:t>
            </w:r>
            <w:r>
              <w:rPr>
                <w:rFonts w:eastAsia="Times New Roman" w:cs="Arial"/>
                <w:i/>
                <w:szCs w:val="24"/>
              </w:rPr>
              <w:t xml:space="preserve">), age at blood collection (years), and age groups at menarche (≤11, 12, 13 and missing, 14, ≥15 years), menopause </w:t>
            </w:r>
            <w:r>
              <w:rPr>
                <w:rFonts w:eastAsia="Times New Roman" w:cs="Arial"/>
                <w:i/>
                <w:szCs w:val="24"/>
              </w:rPr>
              <w:t>(premenopausal ≤48, 49-51, ≥52 years, missing</w:t>
            </w:r>
            <w:r>
              <w:rPr>
                <w:rFonts w:eastAsia="Times New Roman" w:cs="Arial"/>
                <w:i/>
                <w:iCs/>
                <w:szCs w:val="24"/>
              </w:rPr>
              <w:t>)</w:t>
            </w:r>
            <w:r>
              <w:rPr>
                <w:rFonts w:eastAsia="Times New Roman" w:cs="Arial"/>
                <w:i/>
                <w:szCs w:val="24"/>
              </w:rPr>
              <w:t>, and first full term pregnancy (nulliparous, &lt;25 years, ≥25 years and missing); stratifying by age groups at diagnosis (5 year groups) and models in all cases by ER status of the tumor.</w:t>
            </w:r>
          </w:p>
          <w:p w:rsidR="00A53B60" w:rsidRDefault="00021D9A">
            <w:pPr>
              <w:jc w:val="left"/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 w:themeColor="text1"/>
                <w:szCs w:val="20"/>
                <w:vertAlign w:val="superscript"/>
              </w:rPr>
              <w:t xml:space="preserve">a </w:t>
            </w:r>
            <w:r>
              <w:rPr>
                <w:rFonts w:eastAsia="Times New Roman"/>
                <w:i/>
                <w:iCs/>
                <w:color w:val="000000" w:themeColor="text1"/>
                <w:szCs w:val="20"/>
              </w:rPr>
              <w:t>p</w:t>
            </w:r>
            <w:r>
              <w:rPr>
                <w:rFonts w:eastAsia="Times New Roman"/>
                <w:i/>
                <w:iCs/>
                <w:color w:val="000000" w:themeColor="text1"/>
                <w:szCs w:val="20"/>
                <w:vertAlign w:val="subscript"/>
              </w:rPr>
              <w:t>trend</w:t>
            </w:r>
            <w:r>
              <w:rPr>
                <w:rFonts w:eastAsia="Times New Roman"/>
                <w:i/>
                <w:iCs/>
                <w:color w:val="000000" w:themeColor="text1"/>
                <w:szCs w:val="20"/>
              </w:rPr>
              <w:t xml:space="preserve"> based on log2-transformed OPG concentrations; </w:t>
            </w:r>
            <w:r>
              <w:rPr>
                <w:rFonts w:eastAsia="Times New Roman"/>
                <w:color w:val="000000" w:themeColor="text1"/>
                <w:szCs w:val="20"/>
                <w:vertAlign w:val="superscript"/>
              </w:rPr>
              <w:t xml:space="preserve">b </w:t>
            </w:r>
            <w:r>
              <w:rPr>
                <w:rFonts w:eastAsia="Times New Roman"/>
                <w:i/>
                <w:iCs/>
                <w:color w:val="000000" w:themeColor="text1"/>
                <w:szCs w:val="20"/>
              </w:rPr>
              <w:t>p</w:t>
            </w:r>
            <w:r>
              <w:rPr>
                <w:rFonts w:eastAsia="Times New Roman"/>
                <w:i/>
                <w:iCs/>
                <w:color w:val="000000" w:themeColor="text1"/>
                <w:szCs w:val="20"/>
                <w:vertAlign w:val="subscript"/>
              </w:rPr>
              <w:t>heterogeneity</w:t>
            </w:r>
            <w:r>
              <w:rPr>
                <w:rFonts w:eastAsia="Times New Roman"/>
                <w:i/>
                <w:iCs/>
                <w:color w:val="000000" w:themeColor="text1"/>
                <w:szCs w:val="20"/>
              </w:rPr>
              <w:t xml:space="preserve"> comparing model without to model with interaction term for OPG and BMI  (&lt;/</w:t>
            </w: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>≥</w:t>
            </w:r>
            <w:r>
              <w:rPr>
                <w:rFonts w:eastAsia="Times New Roman"/>
                <w:i/>
                <w:iCs/>
                <w:color w:val="000000" w:themeColor="text1"/>
                <w:szCs w:val="20"/>
              </w:rPr>
              <w:t xml:space="preserve"> 25kg/m</w:t>
            </w:r>
            <w:r>
              <w:rPr>
                <w:rFonts w:eastAsia="Times New Roman"/>
                <w:i/>
                <w:iCs/>
                <w:color w:val="000000" w:themeColor="text1"/>
                <w:szCs w:val="20"/>
                <w:vertAlign w:val="superscript"/>
              </w:rPr>
              <w:t>2</w:t>
            </w:r>
            <w:r>
              <w:rPr>
                <w:rFonts w:eastAsia="Times New Roman"/>
                <w:i/>
                <w:iCs/>
                <w:color w:val="000000" w:themeColor="text1"/>
                <w:szCs w:val="20"/>
              </w:rPr>
              <w:t>) using log likelihood ratio tests;</w:t>
            </w:r>
            <w:r>
              <w:rPr>
                <w:rFonts w:eastAsia="Times New Roman" w:cs="Arial"/>
                <w:i/>
                <w:iCs/>
                <w:color w:val="000000" w:themeColor="text1"/>
                <w:szCs w:val="20"/>
                <w:vertAlign w:val="superscript"/>
              </w:rPr>
              <w:t xml:space="preserve"> c </w:t>
            </w: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>additionally adjusting for sRANKL concentrations (42 observations miss</w:t>
            </w: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>ing sRANKL concentrations). Analyses in those with a BMI &lt;</w:t>
            </w:r>
            <w:r>
              <w:rPr>
                <w:rFonts w:eastAsia="Times New Roman" w:cs="Arial"/>
                <w:bCs/>
                <w:i/>
                <w:color w:val="000000" w:themeColor="text1"/>
                <w:szCs w:val="20"/>
              </w:rPr>
              <w:t>25kg/m</w:t>
            </w:r>
            <w:r>
              <w:rPr>
                <w:rFonts w:eastAsia="Times New Roman" w:cs="Arial"/>
                <w:bCs/>
                <w:i/>
                <w:color w:val="000000" w:themeColor="text1"/>
                <w:szCs w:val="20"/>
                <w:vertAlign w:val="superscript"/>
              </w:rPr>
              <w:t>2</w:t>
            </w:r>
            <w:r>
              <w:rPr>
                <w:rFonts w:eastAsia="Times New Roman" w:cs="Arial"/>
                <w:bCs/>
                <w:i/>
                <w:color w:val="000000" w:themeColor="text1"/>
                <w:szCs w:val="20"/>
              </w:rPr>
              <w:t xml:space="preserve"> include 118 breast cancer deaths and 204 deaths of any cause, analyses in those with a BMI ≥25kg/m</w:t>
            </w:r>
            <w:r>
              <w:rPr>
                <w:rFonts w:eastAsia="Times New Roman" w:cs="Arial"/>
                <w:bCs/>
                <w:i/>
                <w:color w:val="000000" w:themeColor="text1"/>
                <w:szCs w:val="20"/>
                <w:vertAlign w:val="superscript"/>
              </w:rPr>
              <w:t>2</w:t>
            </w:r>
            <w:r>
              <w:rPr>
                <w:rFonts w:eastAsia="Times New Roman" w:cs="Arial"/>
                <w:bCs/>
                <w:i/>
                <w:color w:val="000000" w:themeColor="text1"/>
                <w:szCs w:val="20"/>
              </w:rPr>
              <w:t xml:space="preserve"> include 127 breast cancer deaths and 208 deaths of any cause.</w:t>
            </w:r>
          </w:p>
        </w:tc>
      </w:tr>
    </w:tbl>
    <w:p w:rsidR="00A53B60" w:rsidRDefault="00A53B60"/>
    <w:p w:rsidR="00A53B60" w:rsidRDefault="00021D9A">
      <w:pPr>
        <w:spacing w:after="200" w:line="276" w:lineRule="auto"/>
        <w:jc w:val="left"/>
      </w:pPr>
      <w:r>
        <w:br w:type="page"/>
      </w:r>
    </w:p>
    <w:tbl>
      <w:tblPr>
        <w:tblW w:w="15172" w:type="dxa"/>
        <w:jc w:val="center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2410"/>
        <w:gridCol w:w="120"/>
        <w:gridCol w:w="1091"/>
        <w:gridCol w:w="1992"/>
        <w:gridCol w:w="1996"/>
        <w:gridCol w:w="1995"/>
        <w:gridCol w:w="1996"/>
        <w:gridCol w:w="855"/>
        <w:gridCol w:w="2004"/>
        <w:gridCol w:w="713"/>
      </w:tblGrid>
      <w:tr w:rsidR="00A53B60">
        <w:trPr>
          <w:trHeight w:val="600"/>
          <w:jc w:val="center"/>
        </w:trPr>
        <w:tc>
          <w:tcPr>
            <w:tcW w:w="15172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C024F1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lastRenderedPageBreak/>
              <w:t>T</w:t>
            </w:r>
            <w:r w:rsidR="00021D9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able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</w:t>
            </w:r>
            <w:r w:rsidR="00021D9A">
              <w:rPr>
                <w:rFonts w:eastAsia="Times New Roman" w:cs="Arial"/>
                <w:b/>
                <w:bCs/>
                <w:color w:val="000000"/>
                <w:szCs w:val="24"/>
              </w:rPr>
              <w:t>2. Th</w:t>
            </w:r>
            <w:r w:rsidR="00021D9A">
              <w:rPr>
                <w:rFonts w:eastAsia="Times New Roman" w:cs="Arial"/>
                <w:b/>
                <w:bCs/>
                <w:color w:val="000000"/>
                <w:szCs w:val="24"/>
              </w:rPr>
              <w:t>e sRANKL/OPG ratio and risk of death following a breast cancer diagnosis, by ER subtype.</w:t>
            </w:r>
          </w:p>
        </w:tc>
      </w:tr>
      <w:tr w:rsidR="00A53B60">
        <w:trPr>
          <w:trHeight w:val="227"/>
          <w:jc w:val="center"/>
        </w:trPr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1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Quintiles</w:t>
            </w:r>
          </w:p>
        </w:tc>
        <w:tc>
          <w:tcPr>
            <w:tcW w:w="85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004" w:type="dxa"/>
            <w:tcBorders>
              <w:top w:val="single" w:sz="2" w:space="0" w:color="auto"/>
            </w:tcBorders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13" w:type="dxa"/>
            <w:tcBorders>
              <w:top w:val="single" w:sz="2" w:space="0" w:color="auto"/>
            </w:tcBorders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21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</w:t>
            </w:r>
          </w:p>
        </w:tc>
        <w:tc>
          <w:tcPr>
            <w:tcW w:w="1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3</w:t>
            </w:r>
          </w:p>
        </w:tc>
        <w:tc>
          <w:tcPr>
            <w:tcW w:w="199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4"/>
              </w:rPr>
              <w:t>Cut points</w:t>
            </w:r>
          </w:p>
        </w:tc>
        <w:tc>
          <w:tcPr>
            <w:tcW w:w="1211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≤ 0.0036</w:t>
            </w:r>
          </w:p>
        </w:tc>
        <w:tc>
          <w:tcPr>
            <w:tcW w:w="1992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0.0036 – 0.0083</w:t>
            </w:r>
          </w:p>
        </w:tc>
        <w:tc>
          <w:tcPr>
            <w:tcW w:w="199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0.0083 – 0.0143</w:t>
            </w:r>
          </w:p>
        </w:tc>
        <w:tc>
          <w:tcPr>
            <w:tcW w:w="199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0.0143 – 0.0238</w:t>
            </w:r>
          </w:p>
        </w:tc>
        <w:tc>
          <w:tcPr>
            <w:tcW w:w="199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&gt; 0.0238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p</w:t>
            </w:r>
            <w:r>
              <w:rPr>
                <w:rFonts w:eastAsia="Times New Roman" w:cs="Arial"/>
                <w:color w:val="000000"/>
                <w:szCs w:val="24"/>
                <w:vertAlign w:val="subscript"/>
              </w:rPr>
              <w:t>trend</w:t>
            </w:r>
            <w:r>
              <w:rPr>
                <w:rFonts w:eastAsia="Times New Roman" w:cs="Arial"/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2004" w:type="dxa"/>
            <w:tcBorders>
              <w:bottom w:val="single" w:sz="2" w:space="0" w:color="auto"/>
            </w:tcBorders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HR</w:t>
            </w:r>
            <w:r>
              <w:rPr>
                <w:rFonts w:eastAsia="Times New Roman" w:cs="Arial"/>
                <w:color w:val="000000"/>
                <w:szCs w:val="24"/>
                <w:vertAlign w:val="subscript"/>
              </w:rPr>
              <w:t>log2</w:t>
            </w:r>
          </w:p>
        </w:tc>
        <w:tc>
          <w:tcPr>
            <w:tcW w:w="713" w:type="dxa"/>
            <w:tcBorders>
              <w:bottom w:val="single" w:sz="2" w:space="0" w:color="auto"/>
            </w:tcBorders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p</w:t>
            </w:r>
            <w:r>
              <w:rPr>
                <w:rFonts w:eastAsia="Times New Roman" w:cs="Arial"/>
                <w:color w:val="000000"/>
                <w:szCs w:val="24"/>
                <w:vertAlign w:val="subscript"/>
              </w:rPr>
              <w:t>het</w:t>
            </w:r>
            <w:r>
              <w:rPr>
                <w:rFonts w:eastAsia="Times New Roman" w:cs="Arial"/>
                <w:color w:val="000000"/>
                <w:szCs w:val="24"/>
                <w:vertAlign w:val="superscript"/>
              </w:rPr>
              <w:t>b</w:t>
            </w:r>
          </w:p>
        </w:tc>
      </w:tr>
      <w:tr w:rsidR="00A53B60">
        <w:trPr>
          <w:trHeight w:val="227"/>
          <w:jc w:val="center"/>
        </w:trPr>
        <w:tc>
          <w:tcPr>
            <w:tcW w:w="12455" w:type="dxa"/>
            <w:gridSpan w:val="8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Breast cancer-specific survival</w:t>
            </w:r>
          </w:p>
        </w:tc>
        <w:tc>
          <w:tcPr>
            <w:tcW w:w="2004" w:type="dxa"/>
            <w:tcBorders>
              <w:top w:val="single" w:sz="2" w:space="0" w:color="auto"/>
            </w:tcBorders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13" w:type="dxa"/>
            <w:tcBorders>
              <w:top w:val="single" w:sz="2" w:space="0" w:color="auto"/>
            </w:tcBorders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12455" w:type="dxa"/>
            <w:gridSpan w:val="8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All breast cancer cases</w:t>
            </w:r>
          </w:p>
        </w:tc>
        <w:tc>
          <w:tcPr>
            <w:tcW w:w="2004" w:type="dxa"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2530" w:type="dxa"/>
            <w:gridSpan w:val="2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4"/>
              </w:rPr>
              <w:t xml:space="preserve">     Died/total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49/393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49/393</w:t>
            </w: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41/393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52/393</w:t>
            </w: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54/393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245/1965</w:t>
            </w:r>
          </w:p>
        </w:tc>
        <w:tc>
          <w:tcPr>
            <w:tcW w:w="713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2530" w:type="dxa"/>
            <w:gridSpan w:val="2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4"/>
              </w:rPr>
              <w:t xml:space="preserve">     HR (95% CI)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Ref.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0.92 (0.61, 1.38)</w:t>
            </w: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0.75 (0.49, 1.14)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0.98 (0.66, 1.47)</w:t>
            </w: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0.89 (0.59, 1.36)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0.65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0.98 (0.92, 1.06)</w:t>
            </w:r>
          </w:p>
        </w:tc>
        <w:tc>
          <w:tcPr>
            <w:tcW w:w="713" w:type="dxa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0.49</w:t>
            </w:r>
          </w:p>
        </w:tc>
      </w:tr>
      <w:tr w:rsidR="00A53B60">
        <w:trPr>
          <w:trHeight w:val="227"/>
          <w:jc w:val="center"/>
        </w:trPr>
        <w:tc>
          <w:tcPr>
            <w:tcW w:w="2530" w:type="dxa"/>
            <w:gridSpan w:val="2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995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12455" w:type="dxa"/>
            <w:gridSpan w:val="8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ER+ breast cancer cases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2530" w:type="dxa"/>
            <w:gridSpan w:val="2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4"/>
              </w:rPr>
              <w:t xml:space="preserve">     Died/total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31/318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34/325</w:t>
            </w: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24/311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36/311</w:t>
            </w: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37/323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162/1588</w:t>
            </w:r>
          </w:p>
        </w:tc>
        <w:tc>
          <w:tcPr>
            <w:tcW w:w="713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2530" w:type="dxa"/>
            <w:gridSpan w:val="2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4"/>
              </w:rPr>
              <w:t xml:space="preserve">     HR (95% CI)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Ref.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0.98 (0.59, 1.61)</w:t>
            </w: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0.75 (0.44, 1.30)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1.13 (0.69, 1.86)</w:t>
            </w: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0.88 (0.53, 1.48)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0.88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53B60" w:rsidRDefault="00021D9A">
            <w:pPr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0.99 (0.91, 1.09)</w:t>
            </w:r>
          </w:p>
        </w:tc>
        <w:tc>
          <w:tcPr>
            <w:tcW w:w="713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2530" w:type="dxa"/>
            <w:gridSpan w:val="2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12455" w:type="dxa"/>
            <w:gridSpan w:val="8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ER- breast cancer cases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253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4"/>
              </w:rPr>
              <w:t xml:space="preserve">     Died/total</w:t>
            </w:r>
          </w:p>
        </w:tc>
        <w:tc>
          <w:tcPr>
            <w:tcW w:w="10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18/75</w:t>
            </w:r>
          </w:p>
        </w:tc>
        <w:tc>
          <w:tcPr>
            <w:tcW w:w="199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15/68</w:t>
            </w:r>
          </w:p>
        </w:tc>
        <w:tc>
          <w:tcPr>
            <w:tcW w:w="199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17/82</w:t>
            </w:r>
          </w:p>
        </w:tc>
        <w:tc>
          <w:tcPr>
            <w:tcW w:w="199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17/82</w:t>
            </w:r>
          </w:p>
        </w:tc>
        <w:tc>
          <w:tcPr>
            <w:tcW w:w="199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16/70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004" w:type="dxa"/>
            <w:tcBorders>
              <w:bottom w:val="nil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83/377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2530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4"/>
              </w:rPr>
              <w:t xml:space="preserve">     HR (95% CI)</w:t>
            </w:r>
          </w:p>
        </w:tc>
        <w:tc>
          <w:tcPr>
            <w:tcW w:w="109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Ref.</w:t>
            </w:r>
          </w:p>
        </w:tc>
        <w:tc>
          <w:tcPr>
            <w:tcW w:w="1992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0.86 (0.41, 1.79)</w:t>
            </w:r>
          </w:p>
        </w:tc>
        <w:tc>
          <w:tcPr>
            <w:tcW w:w="199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0.76 (0.38, 1.54)</w:t>
            </w:r>
          </w:p>
        </w:tc>
        <w:tc>
          <w:tcPr>
            <w:tcW w:w="199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0.81 (0.40, 1.65)</w:t>
            </w:r>
          </w:p>
        </w:tc>
        <w:tc>
          <w:tcPr>
            <w:tcW w:w="199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0.87 (0.42, 1.81)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0.63</w:t>
            </w:r>
          </w:p>
        </w:tc>
        <w:tc>
          <w:tcPr>
            <w:tcW w:w="20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0.97 (0.86, 1.10)</w:t>
            </w:r>
          </w:p>
        </w:tc>
        <w:tc>
          <w:tcPr>
            <w:tcW w:w="713" w:type="dxa"/>
            <w:tcBorders>
              <w:bottom w:val="single" w:sz="2" w:space="0" w:color="auto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12455" w:type="dxa"/>
            <w:gridSpan w:val="8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Death of any cause</w:t>
            </w:r>
          </w:p>
        </w:tc>
        <w:tc>
          <w:tcPr>
            <w:tcW w:w="200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13" w:type="dxa"/>
            <w:tcBorders>
              <w:top w:val="single" w:sz="2" w:space="0" w:color="auto"/>
            </w:tcBorders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12455" w:type="dxa"/>
            <w:gridSpan w:val="8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All breast cancer cases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2530" w:type="dxa"/>
            <w:gridSpan w:val="2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4"/>
              </w:rPr>
              <w:t xml:space="preserve">     Died/total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104/393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86/393</w:t>
            </w: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66/393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77/393</w:t>
            </w: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79/393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412/1965</w:t>
            </w:r>
          </w:p>
        </w:tc>
        <w:tc>
          <w:tcPr>
            <w:tcW w:w="713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2530" w:type="dxa"/>
            <w:gridSpan w:val="2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4"/>
              </w:rPr>
              <w:t xml:space="preserve">     HR (95% CI)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Ref.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0.80 (0.59, 1.07)</w:t>
            </w: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0.63 (0.46, 0.86)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0.77 (0.57, 1.03)</w:t>
            </w: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0.82 (0.59, 1.12)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0.05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0.95 (0.90, 1.00)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0.35</w:t>
            </w:r>
          </w:p>
        </w:tc>
      </w:tr>
      <w:tr w:rsidR="00A53B60">
        <w:trPr>
          <w:trHeight w:val="227"/>
          <w:jc w:val="center"/>
        </w:trPr>
        <w:tc>
          <w:tcPr>
            <w:tcW w:w="2530" w:type="dxa"/>
            <w:gridSpan w:val="2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12455" w:type="dxa"/>
            <w:gridSpan w:val="8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ER+ breast cancer cases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2530" w:type="dxa"/>
            <w:gridSpan w:val="2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4"/>
              </w:rPr>
              <w:t xml:space="preserve">     Died/total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76/318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68/325</w:t>
            </w: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43/311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57/311</w:t>
            </w: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60/323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304/1588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2530" w:type="dxa"/>
            <w:gridSpan w:val="2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4"/>
              </w:rPr>
              <w:t xml:space="preserve">     HR (95% CI)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Ref.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0.85 (0.60,</w:t>
            </w:r>
            <w:r>
              <w:rPr>
                <w:rFonts w:eastAsia="Times New Roman" w:cs="Arial"/>
                <w:color w:val="000000"/>
                <w:szCs w:val="24"/>
              </w:rPr>
              <w:t xml:space="preserve"> 1.19)</w:t>
            </w: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0.59 (0.41, 0.87)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0.79 (0.56, 1.13)</w:t>
            </w: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0.83 (0.58, 1.20)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0.16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0.96 (0.90, 1.02)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2530" w:type="dxa"/>
            <w:gridSpan w:val="2"/>
            <w:shd w:val="clear" w:color="auto" w:fill="auto"/>
            <w:noWrap/>
            <w:vAlign w:val="center"/>
            <w:hideMark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995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996" w:type="dxa"/>
            <w:shd w:val="clear" w:color="auto" w:fill="auto"/>
            <w:noWrap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12455" w:type="dxa"/>
            <w:gridSpan w:val="8"/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ER- breast cancer cases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253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4"/>
              </w:rPr>
              <w:t xml:space="preserve">     Died/total</w:t>
            </w:r>
          </w:p>
        </w:tc>
        <w:tc>
          <w:tcPr>
            <w:tcW w:w="109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28/75</w:t>
            </w:r>
          </w:p>
        </w:tc>
        <w:tc>
          <w:tcPr>
            <w:tcW w:w="199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18/68</w:t>
            </w:r>
          </w:p>
        </w:tc>
        <w:tc>
          <w:tcPr>
            <w:tcW w:w="199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23/82</w:t>
            </w:r>
          </w:p>
        </w:tc>
        <w:tc>
          <w:tcPr>
            <w:tcW w:w="199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21/82</w:t>
            </w:r>
          </w:p>
        </w:tc>
        <w:tc>
          <w:tcPr>
            <w:tcW w:w="199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18/70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53B60" w:rsidRDefault="00A53B60">
            <w:pPr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108/377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227"/>
          <w:jc w:val="center"/>
        </w:trPr>
        <w:tc>
          <w:tcPr>
            <w:tcW w:w="2530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4"/>
              </w:rPr>
              <w:t xml:space="preserve">     HR (95% CI)</w:t>
            </w:r>
          </w:p>
        </w:tc>
        <w:tc>
          <w:tcPr>
            <w:tcW w:w="109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Ref.</w:t>
            </w:r>
          </w:p>
        </w:tc>
        <w:tc>
          <w:tcPr>
            <w:tcW w:w="1992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0.69 (0.36, 1.30)</w:t>
            </w:r>
          </w:p>
        </w:tc>
        <w:tc>
          <w:tcPr>
            <w:tcW w:w="199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0.66 (0.36, 1.21)</w:t>
            </w:r>
          </w:p>
        </w:tc>
        <w:tc>
          <w:tcPr>
            <w:tcW w:w="199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0.70 (0.38, 1.29)</w:t>
            </w:r>
          </w:p>
        </w:tc>
        <w:tc>
          <w:tcPr>
            <w:tcW w:w="199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0.71 (0.40, 1.35)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0.13</w:t>
            </w:r>
          </w:p>
        </w:tc>
        <w:tc>
          <w:tcPr>
            <w:tcW w:w="2004" w:type="dxa"/>
            <w:tcBorders>
              <w:bottom w:val="single" w:sz="2" w:space="0" w:color="auto"/>
            </w:tcBorders>
            <w:vAlign w:val="center"/>
          </w:tcPr>
          <w:p w:rsidR="00A53B60" w:rsidRDefault="00021D9A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0.92 (0.83, 1.03)</w:t>
            </w:r>
          </w:p>
        </w:tc>
        <w:tc>
          <w:tcPr>
            <w:tcW w:w="713" w:type="dxa"/>
            <w:tcBorders>
              <w:bottom w:val="single" w:sz="2" w:space="0" w:color="auto"/>
            </w:tcBorders>
            <w:vAlign w:val="center"/>
          </w:tcPr>
          <w:p w:rsidR="00A53B60" w:rsidRDefault="00A53B60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53B60">
        <w:trPr>
          <w:trHeight w:val="315"/>
          <w:jc w:val="center"/>
        </w:trPr>
        <w:tc>
          <w:tcPr>
            <w:tcW w:w="15172" w:type="dxa"/>
            <w:gridSpan w:val="10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4"/>
              </w:rPr>
              <w:t>All models a</w:t>
            </w:r>
            <w:r>
              <w:rPr>
                <w:rFonts w:eastAsia="Times New Roman" w:cs="Arial"/>
                <w:i/>
                <w:color w:val="000000"/>
                <w:szCs w:val="24"/>
              </w:rPr>
              <w:t>djusted</w:t>
            </w:r>
            <w:r>
              <w:rPr>
                <w:rFonts w:eastAsia="Times New Roman" w:cs="Arial"/>
                <w:i/>
                <w:szCs w:val="24"/>
              </w:rPr>
              <w:t xml:space="preserve"> for breast cancer stage (localized, non-localized, missing), BMI (kg/m</w:t>
            </w:r>
            <w:r>
              <w:rPr>
                <w:rFonts w:eastAsia="Times New Roman" w:cs="Arial"/>
                <w:i/>
                <w:szCs w:val="24"/>
                <w:vertAlign w:val="superscript"/>
              </w:rPr>
              <w:t>2</w:t>
            </w:r>
            <w:r>
              <w:rPr>
                <w:rFonts w:eastAsia="Times New Roman" w:cs="Arial"/>
                <w:i/>
                <w:szCs w:val="24"/>
              </w:rPr>
              <w:t>), age at blood collection (years), and age groups at menarche (≤11, 12, 13 and missing, 14, ≥15 years), menopause (premen</w:t>
            </w:r>
            <w:r>
              <w:rPr>
                <w:rFonts w:eastAsia="Times New Roman" w:cs="Arial"/>
                <w:i/>
                <w:szCs w:val="24"/>
              </w:rPr>
              <w:t>opausal ≤48, 49-51, ≥52 years, missing</w:t>
            </w:r>
            <w:r>
              <w:rPr>
                <w:rFonts w:eastAsia="Times New Roman" w:cs="Arial"/>
                <w:i/>
                <w:iCs/>
                <w:szCs w:val="24"/>
              </w:rPr>
              <w:t>)</w:t>
            </w:r>
            <w:r>
              <w:rPr>
                <w:rFonts w:eastAsia="Times New Roman" w:cs="Arial"/>
                <w:i/>
                <w:szCs w:val="24"/>
              </w:rPr>
              <w:t>, and first full term pregnancy (nulliparous, &lt;25 years, ≥25 years and missing); stratifying by age groups at diagnosis (5 year groups) and models in all cases by ER status of the tumor.</w:t>
            </w:r>
          </w:p>
          <w:p w:rsidR="00A53B60" w:rsidRDefault="00021D9A">
            <w:pPr>
              <w:jc w:val="left"/>
              <w:rPr>
                <w:rFonts w:eastAsia="Times New Roman" w:cs="Arial"/>
                <w:i/>
                <w:iCs/>
                <w:szCs w:val="24"/>
              </w:rPr>
            </w:pPr>
            <w:r>
              <w:rPr>
                <w:rFonts w:eastAsia="Times New Roman" w:cs="Arial"/>
                <w:i/>
                <w:iCs/>
                <w:szCs w:val="24"/>
                <w:vertAlign w:val="superscript"/>
              </w:rPr>
              <w:t xml:space="preserve">a </w:t>
            </w:r>
            <w:r>
              <w:rPr>
                <w:rFonts w:eastAsia="Times New Roman" w:cs="Arial"/>
                <w:i/>
                <w:iCs/>
                <w:szCs w:val="24"/>
              </w:rPr>
              <w:t>p</w:t>
            </w:r>
            <w:r>
              <w:rPr>
                <w:rFonts w:eastAsia="Times New Roman" w:cs="Arial"/>
                <w:i/>
                <w:iCs/>
                <w:szCs w:val="24"/>
                <w:vertAlign w:val="subscript"/>
              </w:rPr>
              <w:t>trend</w:t>
            </w:r>
            <w:r>
              <w:rPr>
                <w:rFonts w:eastAsia="Times New Roman" w:cs="Arial"/>
                <w:i/>
                <w:iCs/>
                <w:szCs w:val="24"/>
              </w:rPr>
              <w:t xml:space="preserve"> based on log2-transform</w:t>
            </w:r>
            <w:r>
              <w:rPr>
                <w:rFonts w:eastAsia="Times New Roman" w:cs="Arial"/>
                <w:i/>
                <w:iCs/>
                <w:color w:val="000000" w:themeColor="text1"/>
                <w:szCs w:val="24"/>
              </w:rPr>
              <w:t xml:space="preserve">ed sRANKL/OPG ratio; </w:t>
            </w:r>
            <w:r>
              <w:rPr>
                <w:rFonts w:eastAsia="Times New Roman" w:cs="Arial"/>
                <w:color w:val="000000" w:themeColor="text1"/>
                <w:szCs w:val="24"/>
                <w:vertAlign w:val="superscript"/>
              </w:rPr>
              <w:t xml:space="preserve">b </w:t>
            </w:r>
            <w:r>
              <w:rPr>
                <w:rFonts w:eastAsia="Times New Roman" w:cs="Arial"/>
                <w:i/>
                <w:iCs/>
                <w:color w:val="000000" w:themeColor="text1"/>
                <w:szCs w:val="24"/>
              </w:rPr>
              <w:t>p</w:t>
            </w:r>
            <w:r>
              <w:rPr>
                <w:rFonts w:eastAsia="Times New Roman" w:cs="Arial"/>
                <w:i/>
                <w:iCs/>
                <w:color w:val="000000" w:themeColor="text1"/>
                <w:szCs w:val="24"/>
                <w:vertAlign w:val="subscript"/>
              </w:rPr>
              <w:t>heterogeneity</w:t>
            </w:r>
            <w:r>
              <w:rPr>
                <w:rFonts w:eastAsia="Times New Roman" w:cs="Arial"/>
                <w:i/>
                <w:iCs/>
                <w:color w:val="000000" w:themeColor="text1"/>
                <w:szCs w:val="24"/>
              </w:rPr>
              <w:t xml:space="preserve"> comparing model without to model with interaction term for sRANKL/OPG ratio and ER status using log likelihood ratio tests</w:t>
            </w: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>.</w:t>
            </w:r>
          </w:p>
        </w:tc>
      </w:tr>
    </w:tbl>
    <w:p w:rsidR="00A53B60" w:rsidRDefault="00021D9A">
      <w:pPr>
        <w:spacing w:after="200" w:line="276" w:lineRule="auto"/>
        <w:jc w:val="left"/>
      </w:pPr>
      <w:r>
        <w:br w:type="page"/>
      </w:r>
    </w:p>
    <w:p w:rsidR="00A53B60" w:rsidRDefault="00A53B60">
      <w:pPr>
        <w:spacing w:after="200" w:line="276" w:lineRule="auto"/>
        <w:jc w:val="left"/>
        <w:sectPr w:rsidR="00A53B60">
          <w:headerReference w:type="default" r:id="rId8"/>
          <w:footerReference w:type="default" r:id="rId9"/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53B60">
        <w:trPr>
          <w:trHeight w:val="652"/>
        </w:trPr>
        <w:tc>
          <w:tcPr>
            <w:tcW w:w="95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B60" w:rsidRDefault="00C52012">
            <w:pPr>
              <w:jc w:val="left"/>
              <w:rPr>
                <w:color w:val="000000" w:themeColor="text1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lastRenderedPageBreak/>
              <w:t>T</w:t>
            </w:r>
            <w:r w:rsidR="00021D9A"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>able</w:t>
            </w:r>
            <w:r w:rsidR="00021D9A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S</w:t>
            </w:r>
            <w:bookmarkStart w:id="0" w:name="_GoBack"/>
            <w:bookmarkEnd w:id="0"/>
            <w:r w:rsidR="00021D9A">
              <w:rPr>
                <w:b/>
                <w:color w:val="000000" w:themeColor="text1"/>
              </w:rPr>
              <w:t xml:space="preserve">3. sRANKL/OPG cross-classification </w:t>
            </w:r>
            <w:r w:rsidR="00021D9A">
              <w:rPr>
                <w:rFonts w:eastAsia="Times New Roman" w:cs="Arial"/>
                <w:b/>
                <w:bCs/>
                <w:color w:val="000000"/>
                <w:szCs w:val="24"/>
              </w:rPr>
              <w:t>and risk of death following a breast cancer diagnosis,</w:t>
            </w:r>
            <w:r w:rsidR="00021D9A">
              <w:rPr>
                <w:b/>
                <w:color w:val="000000" w:themeColor="text1"/>
              </w:rPr>
              <w:t xml:space="preserve"> by ER subtype.</w:t>
            </w:r>
          </w:p>
        </w:tc>
      </w:tr>
      <w:tr w:rsidR="00A53B60">
        <w:tc>
          <w:tcPr>
            <w:tcW w:w="19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color w:val="000000" w:themeColor="text1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Category</w:t>
            </w:r>
          </w:p>
        </w:tc>
      </w:tr>
      <w:tr w:rsidR="00A53B60">
        <w:tc>
          <w:tcPr>
            <w:tcW w:w="1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sRANKL/OPG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&lt;/&gt; median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&lt;/&lt; median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&gt;/&gt; median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&gt;/&lt; median</w:t>
            </w:r>
          </w:p>
        </w:tc>
      </w:tr>
      <w:tr w:rsidR="00A53B60">
        <w:tc>
          <w:tcPr>
            <w:tcW w:w="957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Breast cancer specific death</w:t>
            </w:r>
          </w:p>
        </w:tc>
      </w:tr>
      <w:tr w:rsidR="00A53B60">
        <w:tc>
          <w:tcPr>
            <w:tcW w:w="9576" w:type="dxa"/>
            <w:gridSpan w:val="5"/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breast cancer cases</w:t>
            </w:r>
          </w:p>
        </w:tc>
      </w:tr>
      <w:tr w:rsidR="00A53B60"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Died/total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71/582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40/364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54/401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80/618</w:t>
            </w:r>
          </w:p>
        </w:tc>
      </w:tr>
      <w:tr w:rsidR="00A53B60"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0.80 (0.54, 1.19)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1.13 (0.79, 1.62)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0.93 (0.66, 1.31)</w:t>
            </w:r>
          </w:p>
        </w:tc>
      </w:tr>
      <w:tr w:rsidR="00A53B60">
        <w:tc>
          <w:tcPr>
            <w:tcW w:w="1915" w:type="dxa"/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color w:val="000000" w:themeColor="text1"/>
              </w:rPr>
            </w:pPr>
          </w:p>
        </w:tc>
      </w:tr>
      <w:tr w:rsidR="00A53B60">
        <w:tc>
          <w:tcPr>
            <w:tcW w:w="9576" w:type="dxa"/>
            <w:gridSpan w:val="5"/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ER+ breast cancer cases</w:t>
            </w:r>
          </w:p>
        </w:tc>
      </w:tr>
      <w:tr w:rsidR="00A53B60"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Died/total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49/480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23/281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34/332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56/495</w:t>
            </w:r>
          </w:p>
        </w:tc>
      </w:tr>
      <w:tr w:rsidR="00A53B60"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0.69 (0.42, 1.15)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1.02 (0.65, 1.59)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0.92 (0.61, 1.40)</w:t>
            </w:r>
          </w:p>
        </w:tc>
      </w:tr>
      <w:tr w:rsidR="00A53B60">
        <w:tc>
          <w:tcPr>
            <w:tcW w:w="1915" w:type="dxa"/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B60" w:rsidRDefault="00A53B60">
            <w:pPr>
              <w:jc w:val="center"/>
              <w:rPr>
                <w:color w:val="000000" w:themeColor="text1"/>
              </w:rPr>
            </w:pPr>
          </w:p>
        </w:tc>
      </w:tr>
      <w:tr w:rsidR="00A53B60">
        <w:tc>
          <w:tcPr>
            <w:tcW w:w="9576" w:type="dxa"/>
            <w:gridSpan w:val="5"/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ER- breast cancer cases</w:t>
            </w:r>
          </w:p>
        </w:tc>
      </w:tr>
      <w:tr w:rsidR="00A53B60"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Died/total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22/102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17/83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20/69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24/123</w:t>
            </w:r>
          </w:p>
        </w:tc>
      </w:tr>
      <w:tr w:rsidR="00A53B60">
        <w:tc>
          <w:tcPr>
            <w:tcW w:w="1915" w:type="dxa"/>
            <w:tcBorders>
              <w:bottom w:val="nil"/>
            </w:tcBorders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</w:p>
        </w:tc>
        <w:tc>
          <w:tcPr>
            <w:tcW w:w="1915" w:type="dxa"/>
            <w:tcBorders>
              <w:bottom w:val="nil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Ref.</w:t>
            </w:r>
          </w:p>
        </w:tc>
        <w:tc>
          <w:tcPr>
            <w:tcW w:w="1915" w:type="dxa"/>
            <w:tcBorders>
              <w:bottom w:val="nil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0.86 (0.44, 1.68)</w:t>
            </w:r>
          </w:p>
        </w:tc>
        <w:tc>
          <w:tcPr>
            <w:tcW w:w="1915" w:type="dxa"/>
            <w:tcBorders>
              <w:bottom w:val="nil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1.46 (0.77, 2.77)</w:t>
            </w:r>
          </w:p>
        </w:tc>
        <w:tc>
          <w:tcPr>
            <w:tcW w:w="1916" w:type="dxa"/>
            <w:tcBorders>
              <w:bottom w:val="nil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0.88 (0.47, 1.64)</w:t>
            </w:r>
          </w:p>
        </w:tc>
      </w:tr>
      <w:tr w:rsidR="00A53B60">
        <w:tc>
          <w:tcPr>
            <w:tcW w:w="957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Death of any cause</w:t>
            </w:r>
          </w:p>
        </w:tc>
      </w:tr>
      <w:tr w:rsidR="00A53B60">
        <w:tc>
          <w:tcPr>
            <w:tcW w:w="9576" w:type="dxa"/>
            <w:gridSpan w:val="5"/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All </w:t>
            </w:r>
            <w:r>
              <w:rPr>
                <w:color w:val="000000" w:themeColor="text1"/>
              </w:rPr>
              <w:t>breast cancer cases</w:t>
            </w:r>
          </w:p>
        </w:tc>
      </w:tr>
      <w:tr w:rsidR="00A53B60"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Died/total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146/582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65/364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86/401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115/618</w:t>
            </w:r>
          </w:p>
        </w:tc>
      </w:tr>
      <w:tr w:rsidR="00A53B60"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0.76 (0.56, 1.03)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0.93 (0.71, 1.22)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0.83 (0.64, 1.08)</w:t>
            </w:r>
          </w:p>
        </w:tc>
      </w:tr>
      <w:tr w:rsidR="00A53B60">
        <w:tc>
          <w:tcPr>
            <w:tcW w:w="1915" w:type="dxa"/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color w:val="000000" w:themeColor="text1"/>
              </w:rPr>
            </w:pPr>
          </w:p>
        </w:tc>
      </w:tr>
      <w:tr w:rsidR="00A53B60">
        <w:tc>
          <w:tcPr>
            <w:tcW w:w="9576" w:type="dxa"/>
            <w:gridSpan w:val="5"/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ER+ breast cancer cases</w:t>
            </w:r>
          </w:p>
        </w:tc>
      </w:tr>
      <w:tr w:rsidR="00A53B60"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Died/total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115/480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40/281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62/332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87/495</w:t>
            </w:r>
          </w:p>
        </w:tc>
      </w:tr>
      <w:tr w:rsidR="00A53B60"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0.63 (0.44, </w:t>
            </w:r>
            <w:r>
              <w:rPr>
                <w:color w:val="000000" w:themeColor="text1"/>
              </w:rPr>
              <w:t>0.92)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0.83 (0.61, 1.14)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0.82 (0.61, 1.11)</w:t>
            </w:r>
          </w:p>
        </w:tc>
      </w:tr>
      <w:tr w:rsidR="00A53B60">
        <w:tc>
          <w:tcPr>
            <w:tcW w:w="1915" w:type="dxa"/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B60" w:rsidRDefault="00A53B60">
            <w:pPr>
              <w:jc w:val="left"/>
              <w:rPr>
                <w:color w:val="000000" w:themeColor="text1"/>
              </w:rPr>
            </w:pPr>
          </w:p>
        </w:tc>
      </w:tr>
      <w:tr w:rsidR="00A53B60">
        <w:tc>
          <w:tcPr>
            <w:tcW w:w="9576" w:type="dxa"/>
            <w:gridSpan w:val="5"/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ER- breast cancer cases</w:t>
            </w:r>
          </w:p>
        </w:tc>
      </w:tr>
      <w:tr w:rsidR="00A53B60"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Died/total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31/102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25/83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24/69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28/123</w:t>
            </w:r>
          </w:p>
        </w:tc>
      </w:tr>
      <w:tr w:rsidR="00A53B60"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iCs/>
                <w:color w:val="000000" w:themeColor="text1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Cs w:val="20"/>
              </w:rPr>
              <w:t xml:space="preserve">     HR (95% CI)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Ref.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0.99 (0.56, 1.74)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1.31 (0.75, 2.30)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B60" w:rsidRDefault="00021D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0.82 (0.47, 1.42)</w:t>
            </w:r>
          </w:p>
        </w:tc>
      </w:tr>
      <w:tr w:rsidR="00A53B60">
        <w:tc>
          <w:tcPr>
            <w:tcW w:w="957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B60" w:rsidRDefault="00021D9A">
            <w:pPr>
              <w:jc w:val="left"/>
              <w:rPr>
                <w:rFonts w:eastAsia="Times New Roman" w:cs="Arial"/>
                <w:i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4"/>
              </w:rPr>
              <w:t>All models a</w:t>
            </w:r>
            <w:r>
              <w:rPr>
                <w:rFonts w:eastAsia="Times New Roman" w:cs="Arial"/>
                <w:i/>
                <w:color w:val="000000"/>
                <w:szCs w:val="24"/>
              </w:rPr>
              <w:t>djusted</w:t>
            </w:r>
            <w:r>
              <w:rPr>
                <w:rFonts w:eastAsia="Times New Roman" w:cs="Arial"/>
                <w:i/>
                <w:szCs w:val="24"/>
              </w:rPr>
              <w:t xml:space="preserve"> for breast cancer stage (localized, non-localized, missing), BMI (kg/m</w:t>
            </w:r>
            <w:r>
              <w:rPr>
                <w:rFonts w:eastAsia="Times New Roman" w:cs="Arial"/>
                <w:i/>
                <w:szCs w:val="24"/>
                <w:vertAlign w:val="superscript"/>
              </w:rPr>
              <w:t>2</w:t>
            </w:r>
            <w:r>
              <w:rPr>
                <w:rFonts w:eastAsia="Times New Roman" w:cs="Arial"/>
                <w:i/>
                <w:szCs w:val="24"/>
              </w:rPr>
              <w:t>), age at blood collection (years), and age groups at menarche (≤11, 12, 13 and missing, 14, ≥15 years), menopause (premenopausal ≤48, 49-51, ≥52 years, missing</w:t>
            </w:r>
            <w:r>
              <w:rPr>
                <w:rFonts w:eastAsia="Times New Roman" w:cs="Arial"/>
                <w:i/>
                <w:iCs/>
                <w:szCs w:val="24"/>
              </w:rPr>
              <w:t>)</w:t>
            </w:r>
            <w:r>
              <w:rPr>
                <w:rFonts w:eastAsia="Times New Roman" w:cs="Arial"/>
                <w:i/>
                <w:szCs w:val="24"/>
              </w:rPr>
              <w:t>, and first full term p</w:t>
            </w:r>
            <w:r>
              <w:rPr>
                <w:rFonts w:eastAsia="Times New Roman" w:cs="Arial"/>
                <w:i/>
                <w:szCs w:val="24"/>
              </w:rPr>
              <w:t>regnancy (nulliparous, &lt;25 years, ≥25 years and missing); stratifying by age groups at diagnosis (5 year groups) and models in all cases by ER status of the tumor.</w:t>
            </w:r>
          </w:p>
        </w:tc>
      </w:tr>
    </w:tbl>
    <w:p w:rsidR="00A53B60" w:rsidRDefault="00A53B60">
      <w:pPr>
        <w:spacing w:after="200" w:line="276" w:lineRule="auto"/>
        <w:jc w:val="left"/>
      </w:pPr>
    </w:p>
    <w:p w:rsidR="00A53B60" w:rsidRDefault="00A53B60"/>
    <w:sectPr w:rsidR="00A53B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9A" w:rsidRDefault="00021D9A">
      <w:r>
        <w:separator/>
      </w:r>
    </w:p>
  </w:endnote>
  <w:endnote w:type="continuationSeparator" w:id="0">
    <w:p w:rsidR="00021D9A" w:rsidRDefault="0002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149122"/>
      <w:docPartObj>
        <w:docPartGallery w:val="Page Numbers (Bottom of Page)"/>
        <w:docPartUnique/>
      </w:docPartObj>
    </w:sdtPr>
    <w:sdtEndPr/>
    <w:sdtContent>
      <w:sdt>
        <w:sdtPr>
          <w:id w:val="1761493524"/>
          <w:docPartObj>
            <w:docPartGallery w:val="Page Numbers (Top of Page)"/>
            <w:docPartUnique/>
          </w:docPartObj>
        </w:sdtPr>
        <w:sdtEndPr/>
        <w:sdtContent>
          <w:p w:rsidR="00A53B60" w:rsidRDefault="00021D9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0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01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3B60" w:rsidRDefault="00A53B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60" w:rsidRDefault="00A53B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7385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53B60" w:rsidRDefault="00021D9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01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01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3B60" w:rsidRDefault="00A53B6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60" w:rsidRDefault="00A53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9A" w:rsidRDefault="00021D9A">
      <w:r>
        <w:separator/>
      </w:r>
    </w:p>
  </w:footnote>
  <w:footnote w:type="continuationSeparator" w:id="0">
    <w:p w:rsidR="00021D9A" w:rsidRDefault="0002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60" w:rsidRDefault="00021D9A">
    <w:pPr>
      <w:jc w:val="center"/>
      <w:rPr>
        <w:rFonts w:cs="Arial"/>
        <w:b/>
        <w:szCs w:val="20"/>
      </w:rPr>
    </w:pPr>
    <w:r>
      <w:rPr>
        <w:rFonts w:cs="Arial"/>
        <w:szCs w:val="20"/>
      </w:rPr>
      <w:t>The RANK-axis and mortality following a breast cancer</w:t>
    </w:r>
    <w:r>
      <w:rPr>
        <w:rFonts w:cs="Arial"/>
        <w:b/>
        <w:szCs w:val="20"/>
      </w:rPr>
      <w:t xml:space="preserve">: </w:t>
    </w:r>
    <w:r>
      <w:rPr>
        <w:rFonts w:cs="Arial"/>
        <w:szCs w:val="20"/>
      </w:rPr>
      <w:t>supplemental</w:t>
    </w:r>
    <w:r>
      <w:rPr>
        <w:rFonts w:cs="Arial"/>
        <w:szCs w:val="20"/>
      </w:rPr>
      <w:t xml:space="preserve"> files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60" w:rsidRDefault="00A53B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60" w:rsidRDefault="00021D9A">
    <w:pPr>
      <w:jc w:val="center"/>
      <w:rPr>
        <w:rFonts w:cs="Arial"/>
        <w:b/>
        <w:szCs w:val="20"/>
      </w:rPr>
    </w:pPr>
    <w:r>
      <w:rPr>
        <w:rFonts w:cs="Arial"/>
        <w:szCs w:val="20"/>
      </w:rPr>
      <w:t>The RANK-axis and mortality following breast cancer</w:t>
    </w:r>
    <w:r>
      <w:rPr>
        <w:rFonts w:cs="Arial"/>
        <w:b/>
        <w:szCs w:val="20"/>
      </w:rPr>
      <w:t xml:space="preserve">: </w:t>
    </w:r>
    <w:r>
      <w:rPr>
        <w:rFonts w:cs="Arial"/>
        <w:szCs w:val="20"/>
      </w:rPr>
      <w:t>supplemental files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60" w:rsidRDefault="00A53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A53B60"/>
    <w:rsid w:val="00021D9A"/>
    <w:rsid w:val="00346CA3"/>
    <w:rsid w:val="00A53B60"/>
    <w:rsid w:val="00C024F1"/>
    <w:rsid w:val="00C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480" w:lineRule="auto"/>
      <w:contextualSpacing/>
      <w:jc w:val="lef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120" w:line="480" w:lineRule="auto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line="480" w:lineRule="auto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48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480" w:lineRule="auto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480" w:lineRule="auto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480" w:lineRule="auto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Arial" w:eastAsiaTheme="majorEastAsia" w:hAnsi="Arial" w:cstheme="majorBidi"/>
      <w:bCs/>
      <w:sz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4" w:space="1" w:color="auto"/>
      </w:pBdr>
      <w:spacing w:after="120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480" w:lineRule="auto"/>
    </w:pPr>
    <w:rPr>
      <w:rFonts w:eastAsiaTheme="majorEastAsia" w:cstheme="majorBidi"/>
      <w:b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trong">
    <w:name w:val="Strong"/>
    <w:aliases w:val="Reference"/>
    <w:uiPriority w:val="22"/>
    <w:qFormat/>
    <w:rPr>
      <w:rFonts w:ascii="Arial" w:hAnsi="Arial"/>
      <w:b/>
      <w:bCs/>
      <w:color w:val="00B050"/>
      <w:sz w:val="20"/>
    </w:rPr>
  </w:style>
  <w:style w:type="character" w:styleId="Emphasis">
    <w:name w:val="Emphasis"/>
    <w:aliases w:val="Take or leave"/>
    <w:uiPriority w:val="20"/>
    <w:qFormat/>
    <w:rPr>
      <w:rFonts w:ascii="Arial" w:hAnsi="Arial"/>
      <w:b w:val="0"/>
      <w:bCs/>
      <w:i w:val="0"/>
      <w:iCs/>
      <w:color w:val="A6A6A6" w:themeColor="background1" w:themeShade="A6"/>
      <w:spacing w:val="10"/>
      <w:sz w:val="2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after="120" w:line="480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480" w:lineRule="auto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00" w:after="280" w:line="480" w:lineRule="auto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sz w:val="20"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aliases w:val="Check"/>
    <w:uiPriority w:val="21"/>
    <w:qFormat/>
    <w:rPr>
      <w:rFonts w:ascii="Arial" w:hAnsi="Arial"/>
      <w:b/>
      <w:bCs/>
      <w:color w:val="00B0F0"/>
      <w:sz w:val="20"/>
    </w:rPr>
  </w:style>
  <w:style w:type="character" w:styleId="SubtleReference">
    <w:name w:val="Subtle Reference"/>
    <w:uiPriority w:val="31"/>
    <w:qFormat/>
    <w:rPr>
      <w:smallCaps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480" w:lineRule="auto"/>
      <w:contextualSpacing/>
      <w:jc w:val="lef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120" w:line="480" w:lineRule="auto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line="480" w:lineRule="auto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48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480" w:lineRule="auto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480" w:lineRule="auto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480" w:lineRule="auto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Arial" w:eastAsiaTheme="majorEastAsia" w:hAnsi="Arial" w:cstheme="majorBidi"/>
      <w:bCs/>
      <w:sz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4" w:space="1" w:color="auto"/>
      </w:pBdr>
      <w:spacing w:after="120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480" w:lineRule="auto"/>
    </w:pPr>
    <w:rPr>
      <w:rFonts w:eastAsiaTheme="majorEastAsia" w:cstheme="majorBidi"/>
      <w:b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trong">
    <w:name w:val="Strong"/>
    <w:aliases w:val="Reference"/>
    <w:uiPriority w:val="22"/>
    <w:qFormat/>
    <w:rPr>
      <w:rFonts w:ascii="Arial" w:hAnsi="Arial"/>
      <w:b/>
      <w:bCs/>
      <w:color w:val="00B050"/>
      <w:sz w:val="20"/>
    </w:rPr>
  </w:style>
  <w:style w:type="character" w:styleId="Emphasis">
    <w:name w:val="Emphasis"/>
    <w:aliases w:val="Take or leave"/>
    <w:uiPriority w:val="20"/>
    <w:qFormat/>
    <w:rPr>
      <w:rFonts w:ascii="Arial" w:hAnsi="Arial"/>
      <w:b w:val="0"/>
      <w:bCs/>
      <w:i w:val="0"/>
      <w:iCs/>
      <w:color w:val="A6A6A6" w:themeColor="background1" w:themeShade="A6"/>
      <w:spacing w:val="10"/>
      <w:sz w:val="2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after="120" w:line="480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480" w:lineRule="auto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00" w:after="280" w:line="480" w:lineRule="auto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sz w:val="20"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aliases w:val="Check"/>
    <w:uiPriority w:val="21"/>
    <w:qFormat/>
    <w:rPr>
      <w:rFonts w:ascii="Arial" w:hAnsi="Arial"/>
      <w:b/>
      <w:bCs/>
      <w:color w:val="00B0F0"/>
      <w:sz w:val="20"/>
    </w:rPr>
  </w:style>
  <w:style w:type="character" w:styleId="SubtleReference">
    <w:name w:val="Subtle Reference"/>
    <w:uiPriority w:val="31"/>
    <w:qFormat/>
    <w:rPr>
      <w:smallCaps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F317-A8D8-455A-93E6-4EA43438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1554</Words>
  <Characters>7947</Characters>
  <Application>Microsoft Office Word</Application>
  <DocSecurity>0</DocSecurity>
  <Lines>993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Danja Sarink</dc:creator>
  <cp:lastModifiedBy>JFURTON</cp:lastModifiedBy>
  <cp:revision>9</cp:revision>
  <dcterms:created xsi:type="dcterms:W3CDTF">2018-07-25T17:16:00Z</dcterms:created>
  <dcterms:modified xsi:type="dcterms:W3CDTF">2018-10-03T06:15:00Z</dcterms:modified>
</cp:coreProperties>
</file>