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3E" w:rsidRPr="00F26061" w:rsidRDefault="0067443E" w:rsidP="0067443E">
      <w:pPr>
        <w:pStyle w:val="EndNoteBibliography"/>
        <w:spacing w:line="480" w:lineRule="auto"/>
        <w:ind w:left="720" w:hanging="720"/>
        <w:outlineLvl w:val="0"/>
        <w:rPr>
          <w:rFonts w:asciiTheme="minorHAnsi" w:hAnsiTheme="minorHAnsi"/>
          <w:sz w:val="22"/>
          <w:szCs w:val="22"/>
          <w:lang w:val="en-GB"/>
        </w:rPr>
      </w:pPr>
      <w:r w:rsidRPr="00F26061">
        <w:rPr>
          <w:rFonts w:asciiTheme="minorHAnsi" w:hAnsiTheme="minorHAnsi"/>
          <w:b/>
          <w:sz w:val="22"/>
          <w:szCs w:val="22"/>
          <w:lang w:val="en-GB"/>
        </w:rPr>
        <w:t>Excluded Studies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Batcho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C. S.,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Stoquart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Thonnard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J. L. (2013). BRISK WALKING CAN PROMOTE FUNCTIONAL RECOVERY IN CHRONIC STROKE PATIENTS.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Journal of Rehabilitation Medicine, 45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(9), 854-859.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doi: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>10.2340/16501977-1211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Boss, H. M., Van Schaik, S.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Deijle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I. A., De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Melker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E. C., Van Den Berg, B. T. J.,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Bosboom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W. M. J., . . . Van Den Berg-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Vos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R. M. (2013). Motives &amp; move it-post-stroke care including physical exercise; a one-year follow-up pilot study.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Cerebrovascular Diseases, 35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738.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Bower, K. J., Louie, J.,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Landesrocha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Y., Seedy, P., Gorelik, A., &amp; Bernhardt, J. (2015). Clinical feasibility of interactive motion-controlled games for stroke rehabilitation.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 xml:space="preserve">Journal of </w:t>
      </w:r>
      <w:proofErr w:type="spellStart"/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Neuroengineering</w:t>
      </w:r>
      <w:proofErr w:type="spellEnd"/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 xml:space="preserve"> &amp; Rehabilitation, 12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63.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Boysen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Krarup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L., Zeng, X.,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Oskedra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Korv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J., Andersen, G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Truelsen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T. (2009).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ExStroke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Pilot Trial of the effect of repeated instructions to improve physical activity after ischaemic stroke: a multinational randomised controlled clinical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BMJ: British Medical Journal (Overseas &amp; Retired Doctors Edition), 339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>(7715), b2810-b2810. doi:10.1136/bmj.b2810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Cadilhac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D. A., Hoffmann, S., Kilkenny, M., Lindley, R.,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Lalor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E., Osborne, R. H.,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Batterbsy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 (2011). A phase II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multicentered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single-blind, randomized,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controlled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trial of the stroke self-management program.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Stroke, 42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(6), 1673-1679.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Calugi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S.,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Taricco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Rucci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P.,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Fugazzaro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S., Stuart,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Dallolio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L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investigators, E. F. G. (2016). Effectiveness of adaptive physical activity combined with therapeutic patient education in stroke survivors at twelve months: a non-randomized parallel group study.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 xml:space="preserve">European journal of physical &amp; rehabilitation </w:t>
      </w:r>
      <w:proofErr w:type="gramStart"/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medicine.,</w:t>
      </w:r>
      <w:proofErr w:type="gramEnd"/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 xml:space="preserve"> 52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(1), 72-80.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Clanchy, K. M., Tweedy, S. M.,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Trost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S. G. (2016). Evaluation of a Physical Activity Intervention for Adults with Brain Impairment: A Controlled Clinical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Neurorehabilitation and Neural Repair, 30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(9), 854-865.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Combs-Miller, S. A.,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Kalpathi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Parameswaran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A., Colburn, D.,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Ertel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T.,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Harmeyer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A., Tucker, L.,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Schmid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 A. (2010). Body weight-supported treadmill training vs.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overground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walking 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lastRenderedPageBreak/>
        <w:t xml:space="preserve">training for persons with chronic stroke: a pilot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Clinical Rehabilitation, 24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(9), 873-884.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doi: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>10.1177/0269215514520773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Dean, C.,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Rissel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C., Sharkey, M., Sherrington, C., Cumming, R., Lord, S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Barker, R. (2010). Ongoing exercise opportunities to prevent falls and enhance mobility in community dwellers after stroke: The stroke club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International Journal of Stroke, 5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12.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Dean, C., Sherrington, C.,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Rissel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C., Sharkey, M., Cumming, R., Lord, S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Barker, R. (2011). Exercise intervention to prevent falls, enhance mobility and increase physical activity in community dwellers after stroke: The stroke club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Physiotherapy (United Kingdom), 97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eS274-eS275.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Dean, C. M., Ada, L., &amp; Lindley, R. I. (2014). Treadmill training provides greater benefit to the subgroup of community-dwelling people after stroke who walk faster than 0.4m/s: a randomised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Journal of Physiotherapy, 60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(2), 97-101.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Dean, C.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Rissel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C., Sherrington, C., Sharkey, M., Cumming, R. G., Lord, S. R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O’Rourke, S. (2012). Exercise to Enhance Mobility and Prevent Falls After Stroke: The Community Stroke Club Randomized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Neurorehabilitation &amp; Neural Repair, 26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(9), 1046-1057.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doi: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>10.1177/1545968312441711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Dorsch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A., Thomas, S., Xu, C., Kaiser, W.,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Dobkin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B. (2014). Implementation of a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multicenter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international, randomized clinical trial in subacute stroke patients using wireless health technology.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Neurorehabilitation and Neural Repair, 28 (4)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NP17.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Duncan, P. W., Sullivan, K. J., Behrman, A. L.,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Azen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S. P., Wu, S. S., Nadeau, S. E., . . .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Tilson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J. K. (2011). Body-weight-supported treadmill rehabilitation after stroke.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New England Journal of Medicine, 364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(21), 2026-2036.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doi: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>10.1056/NEJMoa1010790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English, C., Coates, A., Olds, T., Healy, G., Parfitt, G.,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Borkoles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E., &amp; Bernhardt, J. (2015). 'Sit less, move more': A phase II safety and feasibility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International Journal of Stroke, 10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33-34.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English, C., Healy, G. N., Olds, T., Parfitt, G.,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Borkoles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E., Coates, A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Bernhardt, J. (2016). Reducing Sitting Time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After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Stroke: A Phase II Safety and Feasibility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lastRenderedPageBreak/>
        <w:t>Archives of Physical Medicine &amp; Rehabilitation, 97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(2), 273-280.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Faulkner, J.,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Lambrick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D., Woolley, B., Stoner, L., Wong, L. K.,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McGonigal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 (2012). Health-enhancing physical activity programme (HEPAP) for transient ischaemic attack and non-disabling stroke: Recruitment and compliance.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New Zealand Medical Journal, 125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(1364).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Faulkner, J.,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Lambrick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D., Woolley, B., Stoner, L., Wong, L. K.,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McGonigal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 (2013). Effects of early exercise engagement on vascular risk in patients with transient ischemic attack and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nondisabling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stroke.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Journal of Stroke &amp; Cerebrovascular Diseases, 22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(8), e388-396.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Faulkner, J.,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Lambrick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D., Woolley, B., Stoner, L., Wong, L. K.,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McGonigal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 (2014). The long-term effect of exercise on vascular risk factors and aerobic fitness in those with transient ischaemic attack: a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Journal of Hypertension, 32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(10), 2064-2070.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Faulkner, J., Stoner, L.,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Lanford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J.,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Jolliffe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Mitchelmore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Lambrick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D. (2016). Long-Term Effect of Participation in an Early Exercise and Education Program on Clinical Outcomes and Cost Implications, in Patients with TIA and Minor, Non-Disabling Stroke.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Translational Stroke Research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1-8.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Flansbjer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U. B.,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Brogardh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C.,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Lexell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J. (2011). Long term effects of progressive resistance training after stroke: A 4-year follow-up.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Physiotherapy (United Kingdom), 97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eS346.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Fleck, R. J., Richardson, J.,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Hladysh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McBay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C., Elizabeth,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Thorlakson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R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LeBlanc, K. (2012). FIT for FUNCTION community stroke wellness program: A pilot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Stroke, 43 (11)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e120.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Fritz, S., Peters, D., Merlo, A., &amp; Donley, J. (2013). Active video-gaming effects on balance and mobility in individuals with chronic stroke: A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Topics in Stroke Rehabilitation, 20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(3), 218-225.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Galvin, R., Cusack, T., O'Grady, E., Murphy, B., &amp; Stokes, E. (2011). Family mediated exercise intervention [fame]: Evaluation of a novel form of exercise delivery after stroke.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Physiotherapy (United Kingdom), 97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eS387-eS388.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Gill, L., &amp; Sullivan, K. A. (2011). Boosting exercise beliefs and motivation through a psychological 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lastRenderedPageBreak/>
        <w:t xml:space="preserve">intervention designed for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poststroke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populations.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Topics in Stroke Rehabilitation, 18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(5), 470-480.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Gillham, S.,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Endacott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R. (2010). Impact of enhanced secondary prevention on health behaviour in patients following minor stroke and transient ischaemic attack: a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Clinical Rehabilitation, 24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(9), 822-830.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Gillham, S. D. (2009). Does enhanced secondary prevention intervention after minor stroke and Transient Ischaemic Attack (TIA) affect readiness to change health behaviour?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International Journal of Stroke, 4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27.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Giraux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P., Raffin, E., &amp; Pl, M. R. (2012). Efficacy of long term physical therapy on walking activity in chronic stroke: Interim analysis, Impact de la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kinesitherapie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d'entretien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sur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l'activite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de </w:t>
      </w:r>
      <w:proofErr w:type="spellStart"/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marche</w:t>
      </w:r>
      <w:proofErr w:type="spellEnd"/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des patients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hemiplegiques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: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resultats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intermediaires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. [French, English].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Annals of Physical and Rehabilitation Medicine, 55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e11+e13-e14.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Green, J., Forster, A., Bogle, S., &amp; Young, J. (2002). Physiotherapy for patients with mobility problems more than 1 year after stroke: a randomised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Lancet, 359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(9302), 199-203.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Green, T., Haley, E.,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Eliasziw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Hoyte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K. (2007). Education in stroke prevention: efficacy of an educational counselling intervention to increase knowledge in stroke survivors.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Canadian Journal of Neuroscience Nursing, 29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(2), 13-20.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Gunnes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Indredavik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B.,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Askim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T. (2015). A prospective longitudinal study assessing stroke patients' adherence to a long-term follow-up program applied in a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International Journal of Stroke, 10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165.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Harrington, R., Taylor, G.,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Hollinghurst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S., Reed, M., Kay, H., &amp; Wood, V. A. (2010). A community-based exercise and education scheme for stroke survivors: a randomized controlled trial and economic evaluation.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Clinical Rehabilitation, 24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(1), 3-15.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Hesse, S.,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Eich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H. J., Mach, H.,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Parchmann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H., &amp; Werner, C. (2005). Aerobic treadmill training plus physiotherapy improves walking speed and capacity in subacute, moderately affected patients after stroke. </w:t>
      </w:r>
      <w:proofErr w:type="spellStart"/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Neurologie</w:t>
      </w:r>
      <w:proofErr w:type="spellEnd"/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 xml:space="preserve"> und Rehabilitation, 11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(1), 7-12.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lastRenderedPageBreak/>
        <w:t xml:space="preserve">Hill, V. A.,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Towfighi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 (2014). Healthy eating and lifestyle after stroke: A pilot lifestyle intervention.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Archives of Physical Medicine and Rehabilitation, 95 (10)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e30-e31.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Hui-Chan, C. W., Ng, S. S.,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Mak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 K. (2009). Effectiveness of a home-based rehabilitation programme on lower limb functions after stroke.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Hong Kong Medical Journal, 15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(3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Suppl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4), 42-46.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Huijbregts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 P. J., Myers, A.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Streiner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D.,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Teasell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R. (2008). Implementation, Process, and Preliminary Outcome Evaluation of Two Community Programs for Persons with Stroke and Their Care Partners.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Topics in Stroke Rehabilitation, 15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(5), 503-520.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doi: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>10.1310/tsr1505-503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Immink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 A., Chan, W. L., &amp; Hillier, S. (2012). A pilot randomized controlled trial of yoga therapy supplemented exercise interventions for motor function and quality of life outcomes in patients with chronic post-stroke hemiparesis.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Journal of Sport &amp; Exercise Psychology, 34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S91-S91.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Jones, T. M., Dear, B. F., Hush, J.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Titov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N., &amp; Dean, C. M. (2016). </w:t>
      </w:r>
      <w:proofErr w:type="spellStart"/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myMoves</w:t>
      </w:r>
      <w:proofErr w:type="spellEnd"/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Program: Feasibility and Acceptability Study of a Remotely Delivered Self-Management Program for Increasing Physical Activity Among Adults With Acquired Brain Injury Living in the Community.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Physical Therapy, 96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(12), 1982-1993.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Krarup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L. H.,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Lindahl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Truelsen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T.,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Gluud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C.,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Boysen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 (2010). The risk of falling after stroke is associated with physical inactivity.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Cerebrovascular Diseases, 29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72.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Kumaran, D. S., Rao, B. K., Rao, S. N., &amp; Kamath, A. (2016). EFFECT OF A TASK AND CONTEXT BASED EXERCISE PROGRAM (TCEP) ON IMPROVING WALKING FUNCTION IN COMMUNITY DWELLING STROKE SURVIVORS: A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International Journal of Stroke, 11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(SUPP 3), 59-59.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Kwok, C.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Lui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H. T., Hui, K. F., Wong, K. Y., Lam, H. Y.,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Yick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C. Y. (2012). Intensify secondary stroke prevention with quality of life wellbeing and functions restoration in the active lifestyle therapeutic exercise program.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Cerebrovascular Diseases, 34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135.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Langhammer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B., Lindmark, B.,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Stanghelle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J. (2014). Are effects of a 1-year long-term intervention 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lastRenderedPageBreak/>
        <w:t xml:space="preserve">period in persons with stroke sustained 3 years after? The longitudinal follow-up of a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Brain Injury, 28 (5-6)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556.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Langhammer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B., Lindmark, B.,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Stanghelle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J. K. (2014). Physiotherapy and physical functioning post-stroke: exercise habits and functioning 4 years later? Long-term follow-up after a 1-year long-term intervention period: a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Brain Injury, 28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(11), 1396-1405.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>Logan, P. A., Armstrong, S., Avery, T. J., Barer, D., Barton, G. R., Darby, J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Leighton, M. P. (2014). Rehabilitation aimed at improving outdoor mobility for people after stroke: a multicentre randomised controlled study (the Getting out of the House Study).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Health Technology Assessment, 18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(8), 1-114.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doi: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>10.3310/hta18290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Lorig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K., Ritter, P. L., Plant, K., Laurent, D. D., Kelly, P., &amp; Rowe, S. (2013). The South Australia health chronic disease self-management Internet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 xml:space="preserve">Health Education &amp; </w:t>
      </w:r>
      <w:proofErr w:type="spellStart"/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Behavior</w:t>
      </w:r>
      <w:proofErr w:type="spellEnd"/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, 40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(1), 67-77.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Maguire, C.,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Sieben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J.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Erzer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F.,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Goepfert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B., Frank, M., Ferber, G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de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Bie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R. A. (2012). How to improve walking, balance and social participation following stroke: A comparison of the long term effects of two walking aids--canes and an orthosis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TheraTogs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--on the recovery of gait following acute stroke. A study protocol for a multi-centre, single blind, randomised control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BMC Neurology, 12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.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doi: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>10.1186/1471-2377-12-18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Malagoni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Cavazza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S.,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Ferraresi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Grassi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Felisatti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Lamberti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N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Manfredini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F. (2016). Effects of a "test in-train out" walking program versus supervised standard rehabilitation in chronic stroke patients: A feasibility and pilot randomized study.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European journal of physical and rehabilitation medicine, 52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(3), 279-287.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McCluskey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A., Ada, L., Kelly, P. J., Middleton, S., Goodall, S.,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Grimshaw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J. M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Karageorge, A. (2016). A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behavior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change program to increase outings delivered during therapy to stroke survivors by community rehabilitation teams: The Out-and-About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International Journal of Stroke, 11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(4), 425-437.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doi: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>10.1177/1747493016632246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Morgenstern, L., Conley, K., Sanchez, B., Sais, E., &amp; Brown, D. (2015).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Behavior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change goals in primary stroke prevention: The stroke health and risk education (share) project.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 xml:space="preserve">International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lastRenderedPageBreak/>
        <w:t>Journal of Stroke, 10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16.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Pang, M. Y., Ashe, M. C.,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Eng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J. J., McKay, H. A., &amp; Dawson, A. S. (2006). A 19-week exercise program for people with chronic stroke enhances bone geometry at the tibia: a peripheral quantitative computed tomography study.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Osteoporosis International, 17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(11), 1615-1625.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Park, H. J., Oh, D. W., Kim, S. Y., &amp; Choi, J. D. (2011). Effectiveness of community-based ambulation training for walking function of post-stroke hemiparesis: a randomized controlled pilot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Clinical Rehabilitation, 25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(5), 451-459.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Preston, E., Dean, C., Ada, L., Stanton, R., &amp; Waddington, G. (2014). Promoting physical activity after stroke via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self management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: Protocol for a feasibility study.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International Journal of Stroke, 9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32.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Richardson, J., Fleck, R.,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Hladysh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McBay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C., MacKay, E.,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Thorlakson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R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Le Blanc, K. (2011). Fit for function: A community wellness program for persons with stroke.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Stroke, 42 (11)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e596.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Sandberg, K., Kleist, M., Falk, L.,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Enthoven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P. (2016). Effects of Twice-Weekly Intense Aerobic Exercise in Early Subacute Stroke: A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Archives of Physical Medicine and Rehabilitation, 97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(8), 1244-1253.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Schonberger, M., Hansen, N. R., Pedersen, D. T., Zeeman, P., &amp; Jorgensen, J. R. (2010). The relationship between physical fitness and work integration following stroke.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Brain Impairment, 11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(3), 262-269.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Shaughnessy, M., &amp; Resnick, B. M. (2009). Using theory to develop an exercise intervention for patients post stroke.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Topics in Stroke Rehabilitation, 16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(2), 140-146.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Shaughnessy, M.,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Stookey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 (2012). Reshaping exercise habits and beliefs (REHAB): A randomized trial of home-based exercise in sub-acute stroke.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Stroke. Conference, 43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(2 Meeting Abstracts).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Stuart,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Benvenuti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F.,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Macko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R.,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Taviani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Segenni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L., Mayer, F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Weinrich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 (2009). Community-Based Adaptive Physical Activity Program for Chronic Stroke: Feasibility, Safety, and Efficacy of the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Empoli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Model.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Neurorehabilitation and Neural Repair, 23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(7), 726-734. 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lastRenderedPageBreak/>
        <w:t>doi: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>10.1177/1545968309332734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>Taylor-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Piliae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R. E.,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Coull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B. M. (2012). Community-based Yang-style Tai Chi is safe and feasible in chronic stroke: a pilot study.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Clinical Rehabilitation, 26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(2), 121-131.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Tilson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J. K., Duncan, P. W., Wu, S. S., Cen, S. Y., Feng, Q., Sullivan, K. J., . . .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Azen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S. P. (2011). Characterizing and identifying risk for falls in the leaps study: A randomized clinical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Stroke, 42 (11)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e621.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Tiozzo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Youbi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M., Dave, K., Perez-Pinzon,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Rundek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T., Sacco, R. L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Wright, C. B. (2015). Aerobic, Resistance, and Cognitive Exercise Training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Poststroke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Stroke, 46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>(7), 2012-2016. doi:10.1161/strokeaha.114.006649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van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de Port, I. G.,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Wevers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L. E., Lindeman, E., &amp;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Kwakkel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G. (2012). Effects of circuit training as alternative to usual physiotherapy after stroke: randomised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BMJ, 344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e2672.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Van Der Ploeg, H. P.,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Streppel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K. R. M., Van Der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Beek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 J., Van Der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Woude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L. H. V.,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Vollenbroek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-Hutten, M. M. R., Van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Harten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W. H., &amp; Van Mechelen, W. (2006). Counselling increases physical activity behaviour nine weeks after rehabilitation.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British Journal of Sports Medicine, 40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(3), 223-229.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Van Der Ploeg, H. P.,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Streppel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K. R. M., Van Der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Beek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 J., Van Der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Woude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L. H. V.,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Vollenbroek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-Hutten, M. M. R., Van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Harten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W. H., &amp; Van Mechelen, W. (2007). Successfully improving physical activity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behavior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after rehabilitation.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American Journal of Health Promotion, 21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(3), 153-159. </w:t>
      </w:r>
    </w:p>
    <w:p w:rsidR="0067443E" w:rsidRPr="00F26061" w:rsidRDefault="0067443E" w:rsidP="0067443E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Wan, L. H., Zhang, X. P., Mo, M.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Xiong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X. N.,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Ou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C. L., You, L. M., . . . Zhang, M. (2016). Effectiveness of Goal-Setting Telephone Follow-Up on Health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Behaviors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of Patients with Ischemic Stroke: A Randomized Controlled Trial.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Journal of Stroke and Cerebrovascular Diseases, 25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(9), 2259-2270. </w:t>
      </w:r>
    </w:p>
    <w:p w:rsidR="00063DDC" w:rsidRPr="00A16943" w:rsidRDefault="0067443E" w:rsidP="00A16943">
      <w:pPr>
        <w:autoSpaceDE w:val="0"/>
        <w:adjustRightInd w:val="0"/>
        <w:spacing w:line="480" w:lineRule="auto"/>
        <w:ind w:left="720" w:hanging="720"/>
        <w:rPr>
          <w:rFonts w:asciiTheme="minorHAnsi" w:hAnsiTheme="minorHAnsi" w:cs="Segoe UI"/>
          <w:sz w:val="22"/>
          <w:szCs w:val="22"/>
          <w:lang w:val="en-GB"/>
        </w:rPr>
      </w:pP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Yelnik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A.,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Andriantsifanetra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C.,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Reinert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P.,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Evrard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M.,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Marneff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H.,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Wanepain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>, M</w:t>
      </w:r>
      <w:proofErr w:type="gramStart"/>
      <w:r w:rsidRPr="00F26061">
        <w:rPr>
          <w:rFonts w:asciiTheme="minorHAnsi" w:hAnsiTheme="minorHAnsi" w:cs="Segoe UI"/>
          <w:sz w:val="22"/>
          <w:szCs w:val="22"/>
          <w:lang w:val="en-GB"/>
        </w:rPr>
        <w:t>., . . .</w:t>
      </w:r>
      <w:proofErr w:type="gram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Vicaut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E. (2016). Active mobility early after stroke. A randomised </w:t>
      </w:r>
      <w:proofErr w:type="spellStart"/>
      <w:r w:rsidRPr="00F26061">
        <w:rPr>
          <w:rFonts w:asciiTheme="minorHAnsi" w:hAnsiTheme="minorHAnsi" w:cs="Segoe UI"/>
          <w:sz w:val="22"/>
          <w:szCs w:val="22"/>
          <w:lang w:val="en-GB"/>
        </w:rPr>
        <w:t>controled</w:t>
      </w:r>
      <w:proofErr w:type="spellEnd"/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 trial (AMOBES). </w:t>
      </w:r>
      <w:r w:rsidRPr="00F26061">
        <w:rPr>
          <w:rFonts w:asciiTheme="minorHAnsi" w:hAnsiTheme="minorHAnsi" w:cs="Segoe UI"/>
          <w:i/>
          <w:iCs/>
          <w:sz w:val="22"/>
          <w:szCs w:val="22"/>
          <w:lang w:val="en-GB"/>
        </w:rPr>
        <w:t>Annals of Physical and Rehabilitation Medicine, 59</w:t>
      </w:r>
      <w:r w:rsidRPr="00F26061">
        <w:rPr>
          <w:rFonts w:asciiTheme="minorHAnsi" w:hAnsiTheme="minorHAnsi" w:cs="Segoe UI"/>
          <w:sz w:val="22"/>
          <w:szCs w:val="22"/>
          <w:lang w:val="en-GB"/>
        </w:rPr>
        <w:t xml:space="preserve">, e67. </w:t>
      </w:r>
      <w:bookmarkStart w:id="0" w:name="_GoBack"/>
      <w:bookmarkEnd w:id="0"/>
    </w:p>
    <w:sectPr w:rsidR="00063DDC" w:rsidRPr="00A1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3E"/>
    <w:rsid w:val="00670102"/>
    <w:rsid w:val="0067443E"/>
    <w:rsid w:val="00A16943"/>
    <w:rsid w:val="00A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A36D1-A5E2-46AC-89B7-5C85062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4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6744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2330</Words>
  <Characters>14589</Characters>
  <Application>Microsoft Office Word</Application>
  <DocSecurity>0</DocSecurity>
  <Lines>355</Lines>
  <Paragraphs>264</Paragraphs>
  <ScaleCrop>false</ScaleCrop>
  <Company>Newcastle University</Company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Hrisos</dc:creator>
  <cp:keywords/>
  <dc:description/>
  <cp:lastModifiedBy>Nina Hrisos</cp:lastModifiedBy>
  <cp:revision>2</cp:revision>
  <dcterms:created xsi:type="dcterms:W3CDTF">2018-04-25T13:19:00Z</dcterms:created>
  <dcterms:modified xsi:type="dcterms:W3CDTF">2018-04-25T13:19:00Z</dcterms:modified>
</cp:coreProperties>
</file>