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E6C341" w14:textId="3C5BE462" w:rsidR="00251BB7" w:rsidRDefault="00251BB7" w:rsidP="002F5EAF">
      <w:pPr>
        <w:jc w:val="center"/>
        <w:rPr>
          <w:rFonts w:cstheme="minorHAnsi"/>
          <w:b/>
          <w:sz w:val="20"/>
          <w:szCs w:val="20"/>
          <w:lang w:val="en-GB"/>
        </w:rPr>
      </w:pPr>
      <w:r>
        <w:rPr>
          <w:rFonts w:cstheme="minorHAnsi"/>
          <w:b/>
          <w:sz w:val="20"/>
          <w:szCs w:val="20"/>
          <w:lang w:val="en-GB"/>
        </w:rPr>
        <w:t>Methodological quality assessment</w:t>
      </w:r>
    </w:p>
    <w:p w14:paraId="788CBF58" w14:textId="71740461" w:rsidR="002F5EAF" w:rsidRPr="00251BB7" w:rsidRDefault="00251BB7" w:rsidP="00251BB7">
      <w:pPr>
        <w:rPr>
          <w:rFonts w:cstheme="minorHAnsi"/>
          <w:sz w:val="20"/>
          <w:szCs w:val="20"/>
          <w:lang w:val="en-GB"/>
        </w:rPr>
      </w:pPr>
      <w:r w:rsidRPr="00251BB7">
        <w:rPr>
          <w:rFonts w:cstheme="minorHAnsi"/>
          <w:sz w:val="20"/>
          <w:szCs w:val="20"/>
          <w:lang w:val="en-GB"/>
        </w:rPr>
        <w:t xml:space="preserve">Table </w:t>
      </w:r>
      <w:r w:rsidR="009B306F">
        <w:rPr>
          <w:rFonts w:cstheme="minorHAnsi"/>
          <w:sz w:val="20"/>
          <w:szCs w:val="20"/>
          <w:lang w:val="en-GB"/>
        </w:rPr>
        <w:t>S</w:t>
      </w:r>
      <w:r w:rsidR="00694D91">
        <w:rPr>
          <w:rFonts w:cstheme="minorHAnsi"/>
          <w:sz w:val="20"/>
          <w:szCs w:val="20"/>
          <w:lang w:val="en-GB"/>
        </w:rPr>
        <w:t>2</w:t>
      </w:r>
      <w:r w:rsidRPr="00251BB7">
        <w:rPr>
          <w:rFonts w:cstheme="minorHAnsi"/>
          <w:sz w:val="20"/>
          <w:szCs w:val="20"/>
          <w:lang w:val="en-GB"/>
        </w:rPr>
        <w:t>: Methodological quality assessment of c</w:t>
      </w:r>
      <w:r>
        <w:rPr>
          <w:rFonts w:cstheme="minorHAnsi"/>
          <w:sz w:val="20"/>
          <w:szCs w:val="20"/>
          <w:lang w:val="en-GB"/>
        </w:rPr>
        <w:t>ase</w:t>
      </w:r>
      <w:r w:rsidR="0033707C">
        <w:rPr>
          <w:rFonts w:cstheme="minorHAnsi"/>
          <w:sz w:val="20"/>
          <w:szCs w:val="20"/>
          <w:lang w:val="en-GB"/>
        </w:rPr>
        <w:t>-</w:t>
      </w:r>
      <w:r>
        <w:rPr>
          <w:rFonts w:cstheme="minorHAnsi"/>
          <w:sz w:val="20"/>
          <w:szCs w:val="20"/>
          <w:lang w:val="en-GB"/>
        </w:rPr>
        <w:t>control s</w:t>
      </w:r>
      <w:r w:rsidRPr="00251BB7">
        <w:rPr>
          <w:rFonts w:cstheme="minorHAnsi"/>
          <w:sz w:val="20"/>
          <w:szCs w:val="20"/>
          <w:lang w:val="en-GB"/>
        </w:rPr>
        <w:t xml:space="preserve">tudies using </w:t>
      </w:r>
      <w:r w:rsidR="002F5EAF" w:rsidRPr="00251BB7">
        <w:rPr>
          <w:rFonts w:cstheme="minorHAnsi"/>
          <w:sz w:val="20"/>
          <w:szCs w:val="20"/>
          <w:lang w:val="en-GB"/>
        </w:rPr>
        <w:t>Newcastle - Ottawa Scale</w:t>
      </w:r>
      <w:r w:rsidR="0033707C">
        <w:rPr>
          <w:rFonts w:cstheme="minorHAnsi"/>
          <w:sz w:val="20"/>
          <w:szCs w:val="20"/>
          <w:lang w:val="en-GB"/>
        </w:rPr>
        <w:t xml:space="preserve"> (NOS)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390"/>
        <w:gridCol w:w="1037"/>
        <w:gridCol w:w="1921"/>
        <w:gridCol w:w="1049"/>
        <w:gridCol w:w="1115"/>
        <w:gridCol w:w="1257"/>
        <w:gridCol w:w="1269"/>
        <w:gridCol w:w="1512"/>
        <w:gridCol w:w="1652"/>
        <w:gridCol w:w="1070"/>
        <w:gridCol w:w="693"/>
      </w:tblGrid>
      <w:tr w:rsidR="001464DF" w:rsidRPr="00DB3988" w14:paraId="7302C7C1" w14:textId="36628160" w:rsidTr="00F17325">
        <w:tc>
          <w:tcPr>
            <w:tcW w:w="1391" w:type="dxa"/>
            <w:vMerge w:val="restart"/>
          </w:tcPr>
          <w:p w14:paraId="4A958F6D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First author, publication year</w:t>
            </w:r>
          </w:p>
        </w:tc>
        <w:tc>
          <w:tcPr>
            <w:tcW w:w="11880" w:type="dxa"/>
            <w:gridSpan w:val="9"/>
          </w:tcPr>
          <w:p w14:paraId="66AC1732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0" w:type="auto"/>
          </w:tcPr>
          <w:p w14:paraId="7C0A23C0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A5065" w:rsidRPr="00DB3988" w14:paraId="17F11E38" w14:textId="2C0A81D3" w:rsidTr="00F17325">
        <w:tc>
          <w:tcPr>
            <w:tcW w:w="1391" w:type="dxa"/>
            <w:vMerge/>
          </w:tcPr>
          <w:p w14:paraId="4CB63B36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5124" w:type="dxa"/>
            <w:gridSpan w:val="4"/>
          </w:tcPr>
          <w:p w14:paraId="060A6974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0" w:type="auto"/>
            <w:gridSpan w:val="2"/>
          </w:tcPr>
          <w:p w14:paraId="587C2AA8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0" w:type="auto"/>
            <w:gridSpan w:val="3"/>
          </w:tcPr>
          <w:p w14:paraId="2E7D4C9E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0" w:type="auto"/>
          </w:tcPr>
          <w:p w14:paraId="2A2345E8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4A5065" w:rsidRPr="00DB3988" w14:paraId="492B99E9" w14:textId="263DAF59" w:rsidTr="00F17325">
        <w:trPr>
          <w:trHeight w:val="589"/>
        </w:trPr>
        <w:tc>
          <w:tcPr>
            <w:tcW w:w="1391" w:type="dxa"/>
            <w:vMerge/>
          </w:tcPr>
          <w:p w14:paraId="18211580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  <w:tc>
          <w:tcPr>
            <w:tcW w:w="1033" w:type="dxa"/>
          </w:tcPr>
          <w:p w14:paraId="48428A18" w14:textId="08BA4EC0" w:rsidR="001464DF" w:rsidRPr="00DB3988" w:rsidRDefault="0033707C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Adequacy of case definition</w:t>
            </w:r>
          </w:p>
        </w:tc>
        <w:tc>
          <w:tcPr>
            <w:tcW w:w="0" w:type="auto"/>
          </w:tcPr>
          <w:p w14:paraId="3BB89635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Representativeness of the cases</w:t>
            </w:r>
          </w:p>
        </w:tc>
        <w:tc>
          <w:tcPr>
            <w:tcW w:w="0" w:type="auto"/>
          </w:tcPr>
          <w:p w14:paraId="336740C7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 of Controls</w:t>
            </w:r>
          </w:p>
        </w:tc>
        <w:tc>
          <w:tcPr>
            <w:tcW w:w="0" w:type="auto"/>
          </w:tcPr>
          <w:p w14:paraId="1B2CDDC0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Definition of Controls</w:t>
            </w:r>
          </w:p>
        </w:tc>
        <w:tc>
          <w:tcPr>
            <w:tcW w:w="0" w:type="auto"/>
          </w:tcPr>
          <w:p w14:paraId="2343BEDB" w14:textId="6BA50BF9" w:rsidR="001464DF" w:rsidRPr="00DB3988" w:rsidRDefault="0033707C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="001464DF"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tudy controls for most important factor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</w:p>
        </w:tc>
        <w:tc>
          <w:tcPr>
            <w:tcW w:w="0" w:type="auto"/>
          </w:tcPr>
          <w:p w14:paraId="78FDA28F" w14:textId="79DD3822" w:rsidR="001464DF" w:rsidRPr="00DB3988" w:rsidRDefault="0033707C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="001464DF"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tudy controls for second important factor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</w:p>
        </w:tc>
        <w:tc>
          <w:tcPr>
            <w:tcW w:w="0" w:type="auto"/>
          </w:tcPr>
          <w:p w14:paraId="35524156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0" w:type="auto"/>
          </w:tcPr>
          <w:p w14:paraId="2FA13D9C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Same method of ascertainment for cases and controls</w:t>
            </w:r>
          </w:p>
        </w:tc>
        <w:tc>
          <w:tcPr>
            <w:tcW w:w="0" w:type="auto"/>
          </w:tcPr>
          <w:p w14:paraId="57C55A72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Non-Response rate</w:t>
            </w:r>
          </w:p>
        </w:tc>
        <w:tc>
          <w:tcPr>
            <w:tcW w:w="0" w:type="auto"/>
          </w:tcPr>
          <w:p w14:paraId="277CA98C" w14:textId="38FEB8C9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</w:tr>
      <w:tr w:rsidR="004A5065" w:rsidRPr="00DB3988" w14:paraId="0E0D43BB" w14:textId="74812CE2" w:rsidTr="00F17325">
        <w:tc>
          <w:tcPr>
            <w:tcW w:w="1391" w:type="dxa"/>
          </w:tcPr>
          <w:p w14:paraId="28BC58F6" w14:textId="3E342D31" w:rsidR="001464DF" w:rsidRP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Min J 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n-GB"/>
              </w:rPr>
              <w:t>et.al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n-GB"/>
              </w:rPr>
              <w:t>, 2005</w:t>
            </w:r>
          </w:p>
        </w:tc>
        <w:tc>
          <w:tcPr>
            <w:tcW w:w="1033" w:type="dxa"/>
          </w:tcPr>
          <w:p w14:paraId="5CAD9C9F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0B5E7601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41E1A99A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09345D5A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8EE0875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EC74447" w14:textId="6733A41C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D930E1D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D9162D2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7D890EE4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AA3CFD1" w14:textId="72F63D8F" w:rsidR="001464DF" w:rsidRPr="00DB3988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</w:tr>
      <w:tr w:rsidR="004A5065" w:rsidRPr="00DB3988" w14:paraId="4D1419EF" w14:textId="19684631" w:rsidTr="00F17325">
        <w:tc>
          <w:tcPr>
            <w:tcW w:w="1391" w:type="dxa"/>
          </w:tcPr>
          <w:p w14:paraId="2DEC1D00" w14:textId="3A9557B1" w:rsidR="001464DF" w:rsidRP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Cs/>
                <w:sz w:val="20"/>
                <w:szCs w:val="20"/>
                <w:lang w:val="en-GB"/>
              </w:rPr>
              <w:t>Rifat M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n-GB"/>
              </w:rPr>
              <w:t xml:space="preserve"> et.al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n-GB"/>
              </w:rPr>
              <w:t>, 2014</w:t>
            </w:r>
          </w:p>
        </w:tc>
        <w:tc>
          <w:tcPr>
            <w:tcW w:w="1033" w:type="dxa"/>
          </w:tcPr>
          <w:p w14:paraId="56214817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5D771F2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53B37B7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0BD5496A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06E2A7F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D610C72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F27681A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5D17C7E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0A1DFD1" w14:textId="77777777" w:rsidR="001464DF" w:rsidRPr="00DB3988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059814B" w14:textId="6BA48A1D" w:rsidR="001464DF" w:rsidRPr="00DB3988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  <w:tr w:rsidR="004A5065" w:rsidRPr="004A5065" w14:paraId="2D90FACB" w14:textId="14C1FCA1" w:rsidTr="00F17325">
        <w:tc>
          <w:tcPr>
            <w:tcW w:w="1391" w:type="dxa"/>
          </w:tcPr>
          <w:p w14:paraId="1733CAD5" w14:textId="0D87D7AC" w:rsidR="001464DF" w:rsidRP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proofErr w:type="spellStart"/>
            <w:r w:rsidRPr="004A5065">
              <w:rPr>
                <w:rFonts w:cstheme="minorHAnsi"/>
                <w:bCs/>
                <w:sz w:val="20"/>
                <w:szCs w:val="20"/>
                <w:lang w:val="es-ES"/>
              </w:rPr>
              <w:t>Jitmuang</w:t>
            </w:r>
            <w:proofErr w:type="spellEnd"/>
            <w:r w:rsidRPr="004A5065">
              <w:rPr>
                <w:rFonts w:cstheme="minorHAnsi"/>
                <w:bCs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et.al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>.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, 2015</w:t>
            </w:r>
          </w:p>
        </w:tc>
        <w:tc>
          <w:tcPr>
            <w:tcW w:w="1033" w:type="dxa"/>
          </w:tcPr>
          <w:p w14:paraId="38F8FB29" w14:textId="568523B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2C82D0F" w14:textId="44BAE91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4757823" w14:textId="56D57C48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798E8877" w14:textId="07EB2C6D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C162E72" w14:textId="74600A47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2A00B6F0" w14:textId="31D098DE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7876E1D6" w14:textId="1CFCAFEF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03C2C7FB" w14:textId="111C48CF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27E97C3" w14:textId="028C5DCE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710572EB" w14:textId="22535B6B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7</w:t>
            </w:r>
          </w:p>
        </w:tc>
      </w:tr>
      <w:tr w:rsidR="004A5065" w:rsidRPr="004A5065" w14:paraId="5AA88E05" w14:textId="791697AE" w:rsidTr="00F17325">
        <w:tc>
          <w:tcPr>
            <w:tcW w:w="1391" w:type="dxa"/>
          </w:tcPr>
          <w:p w14:paraId="2DF20741" w14:textId="48244CEC" w:rsidR="001464DF" w:rsidRP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s-ES"/>
              </w:rPr>
              <w:t>Gomez-Gomez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 A </w:t>
            </w:r>
            <w:proofErr w:type="spellStart"/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et.al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>.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, 2015</w:t>
            </w:r>
          </w:p>
        </w:tc>
        <w:tc>
          <w:tcPr>
            <w:tcW w:w="1033" w:type="dxa"/>
          </w:tcPr>
          <w:p w14:paraId="390D035C" w14:textId="73B50AC5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346A37C" w14:textId="036B2B25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07FA9555" w14:textId="4162DC6B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333F83B8" w14:textId="08AED4A2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26ACF945" w14:textId="3620039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54E39439" w14:textId="0535E52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39BA257A" w14:textId="7FA4352B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353C79D6" w14:textId="5998C16F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C1AC947" w14:textId="16FEFF66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72C5E738" w14:textId="72E6EC76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8</w:t>
            </w:r>
          </w:p>
        </w:tc>
      </w:tr>
      <w:tr w:rsidR="004A5065" w:rsidRPr="004A5065" w14:paraId="4C07CA9B" w14:textId="2D4436AC" w:rsidTr="00F17325">
        <w:tc>
          <w:tcPr>
            <w:tcW w:w="1391" w:type="dxa"/>
          </w:tcPr>
          <w:p w14:paraId="0F5D3EF2" w14:textId="7218E131" w:rsidR="001464DF" w:rsidRP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s-ES"/>
              </w:rPr>
              <w:t>Bashar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proofErr w:type="gramStart"/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M 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et.al</w:t>
            </w:r>
            <w:proofErr w:type="spellEnd"/>
            <w:proofErr w:type="gramEnd"/>
            <w:r>
              <w:rPr>
                <w:rFonts w:cstheme="minorHAnsi"/>
                <w:bCs/>
                <w:sz w:val="20"/>
                <w:szCs w:val="20"/>
                <w:lang w:val="es-ES"/>
              </w:rPr>
              <w:t>.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, 2001</w:t>
            </w:r>
          </w:p>
        </w:tc>
        <w:tc>
          <w:tcPr>
            <w:tcW w:w="1033" w:type="dxa"/>
          </w:tcPr>
          <w:p w14:paraId="07447753" w14:textId="66A2245A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8A26179" w14:textId="75597432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3882533F" w14:textId="03CBAAC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7AC06E20" w14:textId="3762B369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34DC473" w14:textId="6089A24D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9764F50" w14:textId="1B24580A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ACD7A3D" w14:textId="3760C1DF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7D76F9E" w14:textId="1A6ADA8F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EE1EB2C" w14:textId="62F297A1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2CF22A8B" w14:textId="200A6DD8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9</w:t>
            </w:r>
          </w:p>
        </w:tc>
      </w:tr>
      <w:tr w:rsidR="004A5065" w:rsidRPr="004A5065" w14:paraId="07FE0A71" w14:textId="6156E9F7" w:rsidTr="00F17325">
        <w:tc>
          <w:tcPr>
            <w:tcW w:w="1391" w:type="dxa"/>
          </w:tcPr>
          <w:p w14:paraId="61F46B0E" w14:textId="51A5C30B" w:rsidR="001464DF" w:rsidRPr="004A5065" w:rsidRDefault="001464DF" w:rsidP="002F5EA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sz w:val="20"/>
                <w:szCs w:val="20"/>
                <w:lang w:val="es-ES"/>
              </w:rPr>
              <w:t>Pérez-Navarro L</w:t>
            </w:r>
            <w:r w:rsidR="004A5065" w:rsidRPr="004A5065">
              <w:rPr>
                <w:rFonts w:cstheme="minorHAnsi"/>
                <w:sz w:val="20"/>
                <w:szCs w:val="20"/>
                <w:lang w:val="es-ES"/>
              </w:rPr>
              <w:t>M</w:t>
            </w:r>
            <w:r w:rsidRPr="004A5065">
              <w:rPr>
                <w:rFonts w:cstheme="minorHAnsi"/>
                <w:sz w:val="20"/>
                <w:szCs w:val="20"/>
                <w:lang w:val="es-ES"/>
              </w:rPr>
              <w:t xml:space="preserve"> et al</w:t>
            </w:r>
            <w:r w:rsidR="004A5065" w:rsidRPr="004A5065">
              <w:rPr>
                <w:rFonts w:cstheme="minorHAnsi"/>
                <w:sz w:val="20"/>
                <w:szCs w:val="20"/>
                <w:lang w:val="es-ES"/>
              </w:rPr>
              <w:t>.</w:t>
            </w:r>
            <w:r w:rsidRPr="004A5065">
              <w:rPr>
                <w:rFonts w:cstheme="minorHAnsi"/>
                <w:sz w:val="20"/>
                <w:szCs w:val="20"/>
                <w:lang w:val="es-ES"/>
              </w:rPr>
              <w:t>, 2015</w:t>
            </w:r>
          </w:p>
        </w:tc>
        <w:tc>
          <w:tcPr>
            <w:tcW w:w="1033" w:type="dxa"/>
          </w:tcPr>
          <w:p w14:paraId="78BBF49D" w14:textId="66D25C1B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5DA426E4" w14:textId="2F247829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7D74DC68" w14:textId="25229C81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07386AFC" w14:textId="3BDAD20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A6CF9ED" w14:textId="54B78C10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1BCAB4C" w14:textId="20852CE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E047746" w14:textId="3017C999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2C608B27" w14:textId="1B9DB0DA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0EC71F07" w14:textId="0B964C80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5E5A8FE8" w14:textId="4B24BE6D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9</w:t>
            </w:r>
          </w:p>
        </w:tc>
      </w:tr>
      <w:tr w:rsidR="004A5065" w:rsidRPr="004A5065" w14:paraId="1BD954FF" w14:textId="534F95B1" w:rsidTr="00F17325">
        <w:tc>
          <w:tcPr>
            <w:tcW w:w="1391" w:type="dxa"/>
          </w:tcPr>
          <w:p w14:paraId="37E33BB0" w14:textId="06ED196D" w:rsidR="001464DF" w:rsidRP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s-ES"/>
              </w:rPr>
              <w:t>Baghaei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 xml:space="preserve"> p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 xml:space="preserve"> </w:t>
            </w:r>
            <w:proofErr w:type="spellStart"/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et.al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s-ES"/>
              </w:rPr>
              <w:t>.</w:t>
            </w:r>
            <w:r w:rsidR="001464DF" w:rsidRPr="004A5065">
              <w:rPr>
                <w:rFonts w:cstheme="minorHAnsi"/>
                <w:bCs/>
                <w:sz w:val="20"/>
                <w:szCs w:val="20"/>
                <w:lang w:val="es-ES"/>
              </w:rPr>
              <w:t>, 2009</w:t>
            </w:r>
          </w:p>
        </w:tc>
        <w:tc>
          <w:tcPr>
            <w:tcW w:w="1033" w:type="dxa"/>
          </w:tcPr>
          <w:p w14:paraId="23758FFA" w14:textId="51594839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702136C5" w14:textId="3D83A82B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53F124F" w14:textId="22794C45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FAE4C86" w14:textId="2BE4FA75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7CBA72C3" w14:textId="7CA5F834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7D1AAFD" w14:textId="06165890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61996108" w14:textId="22504EA0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542C67CA" w14:textId="7DE52072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696A233" w14:textId="5A1AAAD3" w:rsidR="001464DF" w:rsidRPr="004A5065" w:rsidRDefault="001464DF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2F2E7C0C" w14:textId="062FE2B9" w:rsidR="001464DF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4A5065">
              <w:rPr>
                <w:rFonts w:cstheme="minorHAnsi"/>
                <w:b/>
                <w:bCs/>
                <w:sz w:val="20"/>
                <w:szCs w:val="20"/>
                <w:lang w:val="es-ES"/>
              </w:rPr>
              <w:t>7</w:t>
            </w:r>
          </w:p>
        </w:tc>
      </w:tr>
      <w:tr w:rsidR="004A5065" w:rsidRPr="004A5065" w14:paraId="12DA236F" w14:textId="77777777" w:rsidTr="00F17325">
        <w:tc>
          <w:tcPr>
            <w:tcW w:w="1391" w:type="dxa"/>
          </w:tcPr>
          <w:p w14:paraId="12BB35FC" w14:textId="36CE3EF2" w:rsidR="004A5065" w:rsidRDefault="004A5065" w:rsidP="002F5EAF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proofErr w:type="spellStart"/>
            <w:r w:rsidRPr="004A5065">
              <w:rPr>
                <w:rFonts w:cstheme="minorHAnsi"/>
                <w:bCs/>
                <w:sz w:val="20"/>
                <w:szCs w:val="20"/>
                <w:lang w:val="es-ES"/>
              </w:rPr>
              <w:t>Suàrez</w:t>
            </w:r>
            <w:proofErr w:type="spellEnd"/>
            <w:r w:rsidRPr="004A5065">
              <w:rPr>
                <w:rFonts w:cstheme="minorHAnsi"/>
                <w:bCs/>
                <w:sz w:val="20"/>
                <w:szCs w:val="20"/>
                <w:lang w:val="es-ES"/>
              </w:rPr>
              <w:t xml:space="preserve">-García J, </w:t>
            </w:r>
            <w:proofErr w:type="spellStart"/>
            <w:r w:rsidRPr="004A5065">
              <w:rPr>
                <w:rFonts w:cstheme="minorHAnsi"/>
                <w:bCs/>
                <w:sz w:val="20"/>
                <w:szCs w:val="20"/>
                <w:lang w:val="es-ES"/>
              </w:rPr>
              <w:t>et.al</w:t>
            </w:r>
            <w:proofErr w:type="spellEnd"/>
            <w:r w:rsidRPr="004A5065">
              <w:rPr>
                <w:rFonts w:cstheme="minorHAnsi"/>
                <w:bCs/>
                <w:sz w:val="20"/>
                <w:szCs w:val="20"/>
                <w:lang w:val="es-ES"/>
              </w:rPr>
              <w:t>, 2009</w:t>
            </w:r>
          </w:p>
        </w:tc>
        <w:tc>
          <w:tcPr>
            <w:tcW w:w="1033" w:type="dxa"/>
          </w:tcPr>
          <w:p w14:paraId="3312B148" w14:textId="5403F4C9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F27DB7D" w14:textId="2151A3C1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71C3D6C" w14:textId="36D29C69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16D518B" w14:textId="48C7365F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19DE1E43" w14:textId="1D7DA644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793B9EDE" w14:textId="78604AAD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0</w:t>
            </w:r>
          </w:p>
        </w:tc>
        <w:tc>
          <w:tcPr>
            <w:tcW w:w="0" w:type="auto"/>
          </w:tcPr>
          <w:p w14:paraId="7F4AA321" w14:textId="211DD618" w:rsidR="004A5065" w:rsidRPr="004A5065" w:rsidRDefault="004A5065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6D612C2F" w14:textId="6BC4FC86" w:rsidR="004A5065" w:rsidRPr="004A5065" w:rsidRDefault="00251BB7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43E90960" w14:textId="7F18865B" w:rsidR="004A5065" w:rsidRPr="004A5065" w:rsidRDefault="00251BB7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1</w:t>
            </w:r>
          </w:p>
        </w:tc>
        <w:tc>
          <w:tcPr>
            <w:tcW w:w="0" w:type="auto"/>
          </w:tcPr>
          <w:p w14:paraId="5E197CEB" w14:textId="6AE73DA1" w:rsidR="004A5065" w:rsidRPr="004A5065" w:rsidRDefault="00251BB7" w:rsidP="002F5EAF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s-ES"/>
              </w:rPr>
              <w:t>7</w:t>
            </w:r>
          </w:p>
        </w:tc>
      </w:tr>
      <w:tr w:rsidR="00F17325" w:rsidRPr="004A5065" w14:paraId="5D29152C" w14:textId="77777777" w:rsidTr="00F17325">
        <w:tc>
          <w:tcPr>
            <w:tcW w:w="1391" w:type="dxa"/>
          </w:tcPr>
          <w:p w14:paraId="05E6FAB9" w14:textId="6F9B8C27" w:rsidR="00F17325" w:rsidRPr="004A5065" w:rsidRDefault="00F17325" w:rsidP="00F17325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Cs/>
                <w:sz w:val="20"/>
                <w:szCs w:val="20"/>
                <w:lang w:val="en-GB"/>
              </w:rPr>
              <w:t>Hafez S.A. et.al, 2013</w:t>
            </w:r>
          </w:p>
        </w:tc>
        <w:tc>
          <w:tcPr>
            <w:tcW w:w="1033" w:type="dxa"/>
          </w:tcPr>
          <w:p w14:paraId="092D394B" w14:textId="3D5C95F3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6FB9A8F" w14:textId="23F166C4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D652F27" w14:textId="7F003EB9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DCE9E6B" w14:textId="47733106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0AA05201" w14:textId="292C89B9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4376AFC1" w14:textId="2CAC502E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3B414C37" w14:textId="698CC39C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315B04C" w14:textId="58391BC6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0219370B" w14:textId="21EB6E8C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 w:rsidRPr="00F17325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C6155E6" w14:textId="5FFCAEC0" w:rsidR="00F17325" w:rsidRDefault="00F17325" w:rsidP="00F17325">
            <w:pPr>
              <w:rPr>
                <w:rFonts w:cstheme="minorHAnsi"/>
                <w:b/>
                <w:bCs/>
                <w:sz w:val="20"/>
                <w:szCs w:val="20"/>
                <w:lang w:val="es-ES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</w:tr>
    </w:tbl>
    <w:p w14:paraId="75F59969" w14:textId="0632FBD6" w:rsidR="006F3E6A" w:rsidRPr="00251BB7" w:rsidRDefault="00251BB7">
      <w:pPr>
        <w:rPr>
          <w:rFonts w:cstheme="minorHAnsi"/>
          <w:b/>
          <w:bCs/>
          <w:sz w:val="20"/>
          <w:szCs w:val="20"/>
        </w:rPr>
      </w:pPr>
      <w:r w:rsidRPr="00DB3988">
        <w:rPr>
          <w:rFonts w:cstheme="minorHAnsi"/>
          <w:i/>
          <w:sz w:val="20"/>
          <w:szCs w:val="20"/>
          <w:u w:val="single"/>
          <w:lang w:val="en-GB"/>
        </w:rPr>
        <w:t>Note</w:t>
      </w:r>
      <w:r w:rsidRPr="00DB3988">
        <w:rPr>
          <w:rFonts w:cstheme="minorHAnsi"/>
          <w:i/>
          <w:sz w:val="20"/>
          <w:szCs w:val="20"/>
          <w:lang w:val="en-GB"/>
        </w:rPr>
        <w:t>: each item account 1 point. (accept the study if total score ≥7)</w:t>
      </w:r>
    </w:p>
    <w:p w14:paraId="6A0B47A4" w14:textId="77777777" w:rsidR="006F3E6A" w:rsidRPr="00251BB7" w:rsidRDefault="006F3E6A">
      <w:pPr>
        <w:rPr>
          <w:rFonts w:cstheme="minorHAnsi"/>
          <w:b/>
          <w:bCs/>
          <w:sz w:val="20"/>
          <w:szCs w:val="20"/>
        </w:rPr>
      </w:pPr>
    </w:p>
    <w:p w14:paraId="4DC855CA" w14:textId="77777777" w:rsidR="006F3E6A" w:rsidRPr="00251BB7" w:rsidRDefault="006F3E6A">
      <w:pPr>
        <w:rPr>
          <w:rFonts w:cstheme="minorHAnsi"/>
          <w:b/>
          <w:bCs/>
          <w:sz w:val="20"/>
          <w:szCs w:val="20"/>
        </w:rPr>
      </w:pPr>
    </w:p>
    <w:p w14:paraId="06A4E4A8" w14:textId="77777777" w:rsidR="001464DF" w:rsidRPr="00251BB7" w:rsidRDefault="001464DF" w:rsidP="002F5EAF">
      <w:pPr>
        <w:jc w:val="center"/>
        <w:rPr>
          <w:rFonts w:cstheme="minorHAnsi"/>
          <w:b/>
          <w:bCs/>
          <w:sz w:val="20"/>
          <w:szCs w:val="20"/>
        </w:rPr>
      </w:pPr>
    </w:p>
    <w:p w14:paraId="5835BD2C" w14:textId="77B91938" w:rsidR="006F3E6A" w:rsidRPr="00251BB7" w:rsidRDefault="00251BB7" w:rsidP="006F3E6A">
      <w:pPr>
        <w:rPr>
          <w:rFonts w:cstheme="minorHAnsi"/>
          <w:sz w:val="20"/>
          <w:szCs w:val="20"/>
          <w:lang w:val="en-GB"/>
        </w:rPr>
      </w:pPr>
      <w:r>
        <w:rPr>
          <w:rFonts w:cstheme="minorHAnsi"/>
          <w:sz w:val="20"/>
          <w:szCs w:val="20"/>
          <w:lang w:val="en-GB"/>
        </w:rPr>
        <w:lastRenderedPageBreak/>
        <w:t xml:space="preserve">Table </w:t>
      </w:r>
      <w:r w:rsidR="009B306F">
        <w:rPr>
          <w:rFonts w:cstheme="minorHAnsi"/>
          <w:sz w:val="20"/>
          <w:szCs w:val="20"/>
          <w:lang w:val="en-GB"/>
        </w:rPr>
        <w:t>S</w:t>
      </w:r>
      <w:r w:rsidR="00694D91">
        <w:rPr>
          <w:rFonts w:cstheme="minorHAnsi"/>
          <w:sz w:val="20"/>
          <w:szCs w:val="20"/>
          <w:lang w:val="en-GB"/>
        </w:rPr>
        <w:t>2 Continued</w:t>
      </w:r>
      <w:r w:rsidRPr="00251BB7">
        <w:rPr>
          <w:rFonts w:cstheme="minorHAnsi"/>
          <w:sz w:val="20"/>
          <w:szCs w:val="20"/>
          <w:lang w:val="en-GB"/>
        </w:rPr>
        <w:t xml:space="preserve">: Methodological quality assessment of </w:t>
      </w:r>
      <w:r w:rsidR="00B50B18">
        <w:rPr>
          <w:rFonts w:cstheme="minorHAnsi"/>
          <w:sz w:val="20"/>
          <w:szCs w:val="20"/>
          <w:lang w:val="en-GB"/>
        </w:rPr>
        <w:t>cohort studies</w:t>
      </w:r>
      <w:r w:rsidRPr="00251BB7">
        <w:rPr>
          <w:rFonts w:cstheme="minorHAnsi"/>
          <w:sz w:val="20"/>
          <w:szCs w:val="20"/>
          <w:lang w:val="en-GB"/>
        </w:rPr>
        <w:t xml:space="preserve"> using Newcastle - Ottawa Scale</w:t>
      </w:r>
      <w:r w:rsidR="0033707C">
        <w:rPr>
          <w:rFonts w:cstheme="minorHAnsi"/>
          <w:sz w:val="20"/>
          <w:szCs w:val="20"/>
          <w:lang w:val="en-GB"/>
        </w:rPr>
        <w:t xml:space="preserve"> (NOS)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1662"/>
        <w:gridCol w:w="1037"/>
        <w:gridCol w:w="1901"/>
        <w:gridCol w:w="1030"/>
        <w:gridCol w:w="1096"/>
        <w:gridCol w:w="1205"/>
        <w:gridCol w:w="1214"/>
        <w:gridCol w:w="1492"/>
        <w:gridCol w:w="1590"/>
        <w:gridCol w:w="1054"/>
        <w:gridCol w:w="684"/>
      </w:tblGrid>
      <w:tr w:rsidR="001B2250" w:rsidRPr="001464DF" w14:paraId="7D94B73D" w14:textId="4C5263B8" w:rsidTr="007C2360">
        <w:tc>
          <w:tcPr>
            <w:tcW w:w="1661" w:type="dxa"/>
            <w:vMerge w:val="restart"/>
          </w:tcPr>
          <w:p w14:paraId="20A733B4" w14:textId="77777777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First author, publication year</w:t>
            </w:r>
          </w:p>
        </w:tc>
        <w:tc>
          <w:tcPr>
            <w:tcW w:w="11619" w:type="dxa"/>
            <w:gridSpan w:val="9"/>
          </w:tcPr>
          <w:p w14:paraId="49773763" w14:textId="77777777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Criteria</w:t>
            </w:r>
          </w:p>
        </w:tc>
        <w:tc>
          <w:tcPr>
            <w:tcW w:w="0" w:type="auto"/>
          </w:tcPr>
          <w:p w14:paraId="0FC8737F" w14:textId="77777777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</w:tr>
      <w:tr w:rsidR="001464DF" w:rsidRPr="00DB3988" w14:paraId="25C0C030" w14:textId="180386F6" w:rsidTr="007C2360">
        <w:tc>
          <w:tcPr>
            <w:tcW w:w="1661" w:type="dxa"/>
            <w:vMerge/>
          </w:tcPr>
          <w:p w14:paraId="4D469D0A" w14:textId="77777777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5062" w:type="dxa"/>
            <w:gridSpan w:val="4"/>
          </w:tcPr>
          <w:p w14:paraId="29036878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</w:t>
            </w:r>
          </w:p>
        </w:tc>
        <w:tc>
          <w:tcPr>
            <w:tcW w:w="0" w:type="auto"/>
            <w:gridSpan w:val="2"/>
          </w:tcPr>
          <w:p w14:paraId="02CB8349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Comparability</w:t>
            </w:r>
          </w:p>
        </w:tc>
        <w:tc>
          <w:tcPr>
            <w:tcW w:w="0" w:type="auto"/>
            <w:gridSpan w:val="3"/>
          </w:tcPr>
          <w:p w14:paraId="54784A21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Exposure</w:t>
            </w:r>
          </w:p>
        </w:tc>
        <w:tc>
          <w:tcPr>
            <w:tcW w:w="0" w:type="auto"/>
          </w:tcPr>
          <w:p w14:paraId="5A5D4B34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</w:p>
        </w:tc>
      </w:tr>
      <w:tr w:rsidR="001464DF" w:rsidRPr="00DB3988" w14:paraId="1406B318" w14:textId="481B00CD" w:rsidTr="007C2360">
        <w:trPr>
          <w:trHeight w:val="214"/>
        </w:trPr>
        <w:tc>
          <w:tcPr>
            <w:tcW w:w="1661" w:type="dxa"/>
            <w:vMerge/>
          </w:tcPr>
          <w:p w14:paraId="6E99C701" w14:textId="77777777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</w:p>
        </w:tc>
        <w:tc>
          <w:tcPr>
            <w:tcW w:w="1027" w:type="dxa"/>
          </w:tcPr>
          <w:p w14:paraId="1C745BD7" w14:textId="6C3B509B" w:rsidR="001B2250" w:rsidRPr="00DB3988" w:rsidRDefault="0033707C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Adequacy of case definition</w:t>
            </w:r>
          </w:p>
        </w:tc>
        <w:tc>
          <w:tcPr>
            <w:tcW w:w="0" w:type="auto"/>
          </w:tcPr>
          <w:p w14:paraId="36F3FEEE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Representativeness of the cases</w:t>
            </w:r>
          </w:p>
        </w:tc>
        <w:tc>
          <w:tcPr>
            <w:tcW w:w="0" w:type="auto"/>
          </w:tcPr>
          <w:p w14:paraId="4987B04D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Selection of Controls</w:t>
            </w:r>
          </w:p>
        </w:tc>
        <w:tc>
          <w:tcPr>
            <w:tcW w:w="0" w:type="auto"/>
          </w:tcPr>
          <w:p w14:paraId="75834A85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Definition of Controls</w:t>
            </w:r>
          </w:p>
        </w:tc>
        <w:tc>
          <w:tcPr>
            <w:tcW w:w="0" w:type="auto"/>
          </w:tcPr>
          <w:p w14:paraId="48CEB445" w14:textId="79D5784F" w:rsidR="001B2250" w:rsidRPr="00DB3988" w:rsidRDefault="0033707C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="001B2250"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tudy controls for most important factor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</w:p>
        </w:tc>
        <w:tc>
          <w:tcPr>
            <w:tcW w:w="0" w:type="auto"/>
          </w:tcPr>
          <w:p w14:paraId="3CE6A0E5" w14:textId="6E776466" w:rsidR="001B2250" w:rsidRPr="00DB3988" w:rsidRDefault="0033707C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S</w:t>
            </w:r>
            <w:r w:rsidR="001B2250"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tudy controls for second important factor</w:t>
            </w: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(s)</w:t>
            </w:r>
          </w:p>
        </w:tc>
        <w:tc>
          <w:tcPr>
            <w:tcW w:w="0" w:type="auto"/>
          </w:tcPr>
          <w:p w14:paraId="76B74542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Ascertainment of exposure</w:t>
            </w:r>
          </w:p>
        </w:tc>
        <w:tc>
          <w:tcPr>
            <w:tcW w:w="0" w:type="auto"/>
          </w:tcPr>
          <w:p w14:paraId="6FE8ED89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Same method of ascertainment for cases and controls</w:t>
            </w:r>
          </w:p>
        </w:tc>
        <w:tc>
          <w:tcPr>
            <w:tcW w:w="0" w:type="auto"/>
          </w:tcPr>
          <w:p w14:paraId="55ED84A6" w14:textId="7777777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Non-Response rate</w:t>
            </w:r>
          </w:p>
        </w:tc>
        <w:tc>
          <w:tcPr>
            <w:tcW w:w="0" w:type="auto"/>
          </w:tcPr>
          <w:p w14:paraId="4EFA9C6D" w14:textId="0992BF20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Total score</w:t>
            </w:r>
          </w:p>
        </w:tc>
      </w:tr>
      <w:tr w:rsidR="001464DF" w:rsidRPr="00DB3988" w14:paraId="3D55E4B7" w14:textId="7F4FE746" w:rsidTr="007C2360">
        <w:tc>
          <w:tcPr>
            <w:tcW w:w="1661" w:type="dxa"/>
          </w:tcPr>
          <w:p w14:paraId="60114A93" w14:textId="5DBAE35F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Magee MJ et.al</w:t>
            </w:r>
            <w:r w:rsidR="001464DF" w:rsidRPr="001464DF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, 2015</w:t>
            </w:r>
          </w:p>
        </w:tc>
        <w:tc>
          <w:tcPr>
            <w:tcW w:w="1027" w:type="dxa"/>
          </w:tcPr>
          <w:p w14:paraId="1266E5B6" w14:textId="5AE9BE8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08737B5" w14:textId="0AA83DA3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E70E443" w14:textId="73513FF2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BF19916" w14:textId="0F0F2DCA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E8AA40E" w14:textId="545C500F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7C4765D" w14:textId="747839B2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76FDC059" w14:textId="434A513B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7FC90C1E" w14:textId="151B301C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EE2C96B" w14:textId="4F115652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76854ED" w14:textId="65B1AEEB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  <w:tr w:rsidR="001464DF" w:rsidRPr="00DB3988" w14:paraId="7C89BDF6" w14:textId="388EE289" w:rsidTr="007C2360">
        <w:tc>
          <w:tcPr>
            <w:tcW w:w="1661" w:type="dxa"/>
          </w:tcPr>
          <w:p w14:paraId="233407F7" w14:textId="76F7498D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Magee MJ et.al</w:t>
            </w:r>
            <w:r w:rsidR="001464DF"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, 2013</w:t>
            </w:r>
          </w:p>
        </w:tc>
        <w:tc>
          <w:tcPr>
            <w:tcW w:w="1027" w:type="dxa"/>
          </w:tcPr>
          <w:p w14:paraId="1E224D26" w14:textId="3E9B773A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4F66A0C" w14:textId="5AF8137B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C4F0D87" w14:textId="5E20A9A1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FC6AC3E" w14:textId="4DA5C768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3CA82D8" w14:textId="6BDFAD0E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B0A546A" w14:textId="7EFEEED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65525F9" w14:textId="151D9895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B9E9587" w14:textId="2B7343F4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DDB2E3E" w14:textId="0002A77C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C9584D3" w14:textId="6C904D6D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  <w:tr w:rsidR="001464DF" w:rsidRPr="00DB3988" w14:paraId="0356FC6B" w14:textId="43B019EB" w:rsidTr="007C2360">
        <w:tc>
          <w:tcPr>
            <w:tcW w:w="1661" w:type="dxa"/>
          </w:tcPr>
          <w:p w14:paraId="702243DD" w14:textId="6DF45AB7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Sali</w:t>
            </w:r>
            <w:r w:rsidR="00F17325">
              <w:rPr>
                <w:rFonts w:cstheme="minorHAnsi"/>
                <w:bCs/>
                <w:sz w:val="20"/>
                <w:szCs w:val="20"/>
                <w:lang w:val="en-GB"/>
              </w:rPr>
              <w:t>n</w:t>
            </w:r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>dri</w:t>
            </w:r>
            <w:proofErr w:type="spellEnd"/>
            <w:r w:rsidRPr="001464DF">
              <w:rPr>
                <w:rFonts w:cstheme="minorHAnsi"/>
                <w:bCs/>
                <w:sz w:val="20"/>
                <w:szCs w:val="20"/>
                <w:lang w:val="en-GB"/>
              </w:rPr>
              <w:t xml:space="preserve"> AD, et.al, 2016</w:t>
            </w:r>
          </w:p>
        </w:tc>
        <w:tc>
          <w:tcPr>
            <w:tcW w:w="1027" w:type="dxa"/>
          </w:tcPr>
          <w:p w14:paraId="6D927BA1" w14:textId="59CCD252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79DC38E" w14:textId="21AD6936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6A63DFFF" w14:textId="1C494394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495296F" w14:textId="41B243EE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9633B1A" w14:textId="6EE4E005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2EDF1BA1" w14:textId="5D73027F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033B865" w14:textId="2033A485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1B35CA6B" w14:textId="783B48BF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79A32889" w14:textId="1562BDB4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55DF2D8D" w14:textId="592C0795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8</w:t>
            </w:r>
          </w:p>
        </w:tc>
      </w:tr>
      <w:tr w:rsidR="001464DF" w:rsidRPr="00DB3988" w14:paraId="3A49DA74" w14:textId="6DE36A9D" w:rsidTr="007C2360">
        <w:tc>
          <w:tcPr>
            <w:tcW w:w="1661" w:type="dxa"/>
          </w:tcPr>
          <w:p w14:paraId="3B1E5709" w14:textId="3E18A59C" w:rsidR="001B2250" w:rsidRPr="001464DF" w:rsidRDefault="004A5065" w:rsidP="00084CF5">
            <w:pPr>
              <w:rPr>
                <w:rFonts w:cstheme="minorHAnsi"/>
                <w:bCs/>
                <w:sz w:val="20"/>
                <w:szCs w:val="20"/>
                <w:lang w:val="en-GB"/>
              </w:rPr>
            </w:pPr>
            <w:proofErr w:type="spellStart"/>
            <w:r>
              <w:rPr>
                <w:rFonts w:cstheme="minorHAnsi"/>
                <w:bCs/>
                <w:sz w:val="20"/>
                <w:szCs w:val="20"/>
                <w:lang w:val="en-GB"/>
              </w:rPr>
              <w:t>C</w:t>
            </w:r>
            <w:r w:rsidR="00F17325">
              <w:rPr>
                <w:rFonts w:cstheme="minorHAnsi"/>
                <w:bCs/>
                <w:sz w:val="20"/>
                <w:szCs w:val="20"/>
                <w:lang w:val="en-GB"/>
              </w:rPr>
              <w:t>arreira</w:t>
            </w:r>
            <w:proofErr w:type="spellEnd"/>
            <w:r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F17325">
              <w:rPr>
                <w:rFonts w:cstheme="minorHAnsi"/>
                <w:bCs/>
                <w:sz w:val="20"/>
                <w:szCs w:val="20"/>
                <w:lang w:val="en-GB"/>
              </w:rPr>
              <w:t>S</w:t>
            </w:r>
            <w:r w:rsidR="00F17325" w:rsidRPr="001464DF">
              <w:rPr>
                <w:rFonts w:cstheme="minorHAnsi"/>
                <w:bCs/>
                <w:sz w:val="20"/>
                <w:szCs w:val="20"/>
                <w:lang w:val="en-GB"/>
              </w:rPr>
              <w:t xml:space="preserve"> </w:t>
            </w:r>
            <w:r w:rsidR="001B2250" w:rsidRPr="001464DF">
              <w:rPr>
                <w:rFonts w:cstheme="minorHAnsi"/>
                <w:bCs/>
                <w:sz w:val="20"/>
                <w:szCs w:val="20"/>
                <w:lang w:val="en-GB"/>
              </w:rPr>
              <w:t>et.al</w:t>
            </w:r>
            <w:r>
              <w:rPr>
                <w:rFonts w:cstheme="minorHAnsi"/>
                <w:bCs/>
                <w:sz w:val="20"/>
                <w:szCs w:val="20"/>
                <w:lang w:val="en-GB"/>
              </w:rPr>
              <w:t>.</w:t>
            </w:r>
            <w:r w:rsidR="001B2250" w:rsidRPr="001464DF">
              <w:rPr>
                <w:rFonts w:cstheme="minorHAnsi"/>
                <w:bCs/>
                <w:sz w:val="20"/>
                <w:szCs w:val="20"/>
                <w:lang w:val="en-GB"/>
              </w:rPr>
              <w:t>, 2012</w:t>
            </w:r>
          </w:p>
        </w:tc>
        <w:tc>
          <w:tcPr>
            <w:tcW w:w="1027" w:type="dxa"/>
          </w:tcPr>
          <w:p w14:paraId="15FDB6A9" w14:textId="1CBD8D49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1552253" w14:textId="2EE1E850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7A129514" w14:textId="713DC767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5EE12AF" w14:textId="283FF782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094F8524" w14:textId="745E76EF" w:rsidR="001B2250" w:rsidRPr="00DB3988" w:rsidRDefault="004A5065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AB36715" w14:textId="61292478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0</w:t>
            </w:r>
          </w:p>
        </w:tc>
        <w:tc>
          <w:tcPr>
            <w:tcW w:w="0" w:type="auto"/>
          </w:tcPr>
          <w:p w14:paraId="5F866286" w14:textId="0268FEB7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17E9CF9" w14:textId="11007445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158E4AF" w14:textId="597940FA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87DF48F" w14:textId="614EE352" w:rsidR="001B2250" w:rsidRPr="00DB3988" w:rsidRDefault="004A5065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7</w:t>
            </w:r>
          </w:p>
        </w:tc>
      </w:tr>
      <w:tr w:rsidR="001464DF" w:rsidRPr="00DB3988" w14:paraId="2F249FFD" w14:textId="231BDE9A" w:rsidTr="007C2360">
        <w:tc>
          <w:tcPr>
            <w:tcW w:w="1661" w:type="dxa"/>
          </w:tcPr>
          <w:p w14:paraId="3E4E558E" w14:textId="066DB95B" w:rsidR="001B2250" w:rsidRPr="001464DF" w:rsidRDefault="001B2250" w:rsidP="00084CF5">
            <w:pPr>
              <w:rPr>
                <w:rFonts w:cstheme="minorHAnsi"/>
                <w:bCs/>
                <w:sz w:val="20"/>
                <w:szCs w:val="20"/>
                <w:lang w:val="es-ES"/>
              </w:rPr>
            </w:pPr>
            <w:proofErr w:type="spellStart"/>
            <w:r w:rsidRPr="001464DF">
              <w:rPr>
                <w:rFonts w:cstheme="minorHAnsi"/>
                <w:sz w:val="20"/>
                <w:szCs w:val="20"/>
                <w:lang w:val="es-ES"/>
              </w:rPr>
              <w:t>Perez</w:t>
            </w:r>
            <w:proofErr w:type="spellEnd"/>
            <w:r w:rsidRPr="001464DF">
              <w:rPr>
                <w:rFonts w:cstheme="minorHAnsi"/>
                <w:sz w:val="20"/>
                <w:szCs w:val="20"/>
                <w:lang w:val="es-ES"/>
              </w:rPr>
              <w:t>-Navarro L.M. et al, 2017</w:t>
            </w:r>
          </w:p>
        </w:tc>
        <w:tc>
          <w:tcPr>
            <w:tcW w:w="1027" w:type="dxa"/>
          </w:tcPr>
          <w:p w14:paraId="5E34F204" w14:textId="3A6C7FC5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30355D98" w14:textId="6F6E8CBE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0A545767" w14:textId="7F1A4F9A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0A9D352" w14:textId="2F6CCD71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E1CE6E0" w14:textId="7C1243AF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5D20367" w14:textId="63BB9665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44D97324" w14:textId="2E858A6B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6522F50E" w14:textId="541BE9A9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09201725" w14:textId="4DDFDA7A" w:rsidR="001B2250" w:rsidRPr="00DB3988" w:rsidRDefault="001B2250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DB3988">
              <w:rPr>
                <w:rFonts w:cstheme="minorHAnsi"/>
                <w:b/>
                <w:bCs/>
                <w:sz w:val="20"/>
                <w:szCs w:val="20"/>
                <w:lang w:val="en-GB"/>
              </w:rPr>
              <w:t>1</w:t>
            </w:r>
          </w:p>
        </w:tc>
        <w:tc>
          <w:tcPr>
            <w:tcW w:w="0" w:type="auto"/>
          </w:tcPr>
          <w:p w14:paraId="7F378CD0" w14:textId="2C310DFF" w:rsidR="001B2250" w:rsidRPr="00DB3988" w:rsidRDefault="001464DF" w:rsidP="00084CF5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  <w:tr w:rsidR="007C2360" w:rsidRPr="00DB3988" w14:paraId="5C0AA208" w14:textId="77777777" w:rsidTr="007C2360">
        <w:tc>
          <w:tcPr>
            <w:tcW w:w="1661" w:type="dxa"/>
          </w:tcPr>
          <w:p w14:paraId="1A04C55A" w14:textId="2358111B" w:rsidR="007C2360" w:rsidRPr="001464DF" w:rsidRDefault="007C2360" w:rsidP="007C2360">
            <w:pPr>
              <w:rPr>
                <w:rFonts w:cstheme="minorHAnsi"/>
                <w:sz w:val="20"/>
                <w:szCs w:val="20"/>
                <w:lang w:val="es-ES"/>
              </w:rPr>
            </w:pPr>
            <w:proofErr w:type="spellStart"/>
            <w:r w:rsidRPr="004B22FD">
              <w:t>Saktiawati</w:t>
            </w:r>
            <w:proofErr w:type="spellEnd"/>
            <w:r w:rsidRPr="004B22FD">
              <w:t xml:space="preserve"> AMI et.al, 2018</w:t>
            </w:r>
          </w:p>
        </w:tc>
        <w:tc>
          <w:tcPr>
            <w:tcW w:w="1027" w:type="dxa"/>
          </w:tcPr>
          <w:p w14:paraId="4413C2F8" w14:textId="049500BE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452B838D" w14:textId="634A3AE2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3162A1CC" w14:textId="31C1E358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2FE5E654" w14:textId="763B6861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21C1E87A" w14:textId="60204108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2700607F" w14:textId="506BAA0B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5482A940" w14:textId="4D67558A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33A3D02C" w14:textId="10497E68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2E75EC3F" w14:textId="6E830524" w:rsidR="007C2360" w:rsidRPr="00DB3988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 w:rsidRPr="004B22FD">
              <w:t>1</w:t>
            </w:r>
          </w:p>
        </w:tc>
        <w:tc>
          <w:tcPr>
            <w:tcW w:w="0" w:type="auto"/>
          </w:tcPr>
          <w:p w14:paraId="7CF4F291" w14:textId="33691A1C" w:rsidR="007C2360" w:rsidRDefault="007C2360" w:rsidP="007C2360">
            <w:pPr>
              <w:rPr>
                <w:rFonts w:cstheme="minorHAnsi"/>
                <w:b/>
                <w:bCs/>
                <w:sz w:val="20"/>
                <w:szCs w:val="20"/>
                <w:lang w:val="en-GB"/>
              </w:rPr>
            </w:pPr>
            <w:r>
              <w:rPr>
                <w:rFonts w:cstheme="minorHAnsi"/>
                <w:b/>
                <w:bCs/>
                <w:sz w:val="20"/>
                <w:szCs w:val="20"/>
                <w:lang w:val="en-GB"/>
              </w:rPr>
              <w:t>9</w:t>
            </w:r>
          </w:p>
        </w:tc>
      </w:tr>
    </w:tbl>
    <w:p w14:paraId="7F4685D1" w14:textId="4898E86A" w:rsidR="006F3E6A" w:rsidRPr="00DB3988" w:rsidRDefault="00251BB7">
      <w:pPr>
        <w:rPr>
          <w:rFonts w:cstheme="minorHAnsi"/>
          <w:sz w:val="20"/>
          <w:szCs w:val="20"/>
        </w:rPr>
      </w:pPr>
      <w:r w:rsidRPr="00DB3988">
        <w:rPr>
          <w:rFonts w:cstheme="minorHAnsi"/>
          <w:bCs/>
          <w:i/>
          <w:sz w:val="20"/>
          <w:szCs w:val="20"/>
          <w:u w:val="single"/>
          <w:lang w:val="en-GB"/>
        </w:rPr>
        <w:t>Note</w:t>
      </w:r>
      <w:r w:rsidRPr="00DB3988">
        <w:rPr>
          <w:rFonts w:cstheme="minorHAnsi"/>
          <w:bCs/>
          <w:i/>
          <w:sz w:val="20"/>
          <w:szCs w:val="20"/>
          <w:lang w:val="en-GB"/>
        </w:rPr>
        <w:t>: each item account 1 point.</w:t>
      </w:r>
      <w:r w:rsidRPr="00DB3988">
        <w:rPr>
          <w:rFonts w:cstheme="minorHAnsi"/>
          <w:sz w:val="20"/>
          <w:szCs w:val="20"/>
        </w:rPr>
        <w:t xml:space="preserve"> </w:t>
      </w:r>
      <w:r w:rsidRPr="00DB3988">
        <w:rPr>
          <w:rFonts w:cstheme="minorHAnsi"/>
          <w:bCs/>
          <w:i/>
          <w:sz w:val="20"/>
          <w:szCs w:val="20"/>
          <w:lang w:val="en-GB"/>
        </w:rPr>
        <w:t>(accept the study if total score ≥7)</w:t>
      </w:r>
    </w:p>
    <w:p w14:paraId="6510DCDC" w14:textId="77777777" w:rsidR="001B2250" w:rsidRDefault="001B2250" w:rsidP="006F3E6A">
      <w:pPr>
        <w:jc w:val="center"/>
        <w:rPr>
          <w:rFonts w:cstheme="minorHAnsi"/>
          <w:b/>
          <w:sz w:val="20"/>
          <w:szCs w:val="20"/>
        </w:rPr>
      </w:pPr>
    </w:p>
    <w:p w14:paraId="32F9A551" w14:textId="77777777" w:rsidR="00251BB7" w:rsidRDefault="00251BB7" w:rsidP="001B2250">
      <w:pPr>
        <w:jc w:val="center"/>
        <w:rPr>
          <w:rFonts w:cstheme="minorHAnsi"/>
          <w:b/>
          <w:sz w:val="20"/>
          <w:szCs w:val="20"/>
        </w:rPr>
      </w:pPr>
    </w:p>
    <w:p w14:paraId="2E47E3A0" w14:textId="77777777" w:rsidR="00251BB7" w:rsidRDefault="00251BB7" w:rsidP="001B2250">
      <w:pPr>
        <w:jc w:val="center"/>
        <w:rPr>
          <w:rFonts w:cstheme="minorHAnsi"/>
          <w:b/>
          <w:sz w:val="20"/>
          <w:szCs w:val="20"/>
        </w:rPr>
      </w:pPr>
    </w:p>
    <w:p w14:paraId="16F44ABE" w14:textId="77777777" w:rsidR="00251BB7" w:rsidRDefault="00251BB7" w:rsidP="001B2250">
      <w:pPr>
        <w:jc w:val="center"/>
        <w:rPr>
          <w:rFonts w:cstheme="minorHAnsi"/>
          <w:b/>
          <w:sz w:val="20"/>
          <w:szCs w:val="20"/>
        </w:rPr>
      </w:pPr>
    </w:p>
    <w:p w14:paraId="34E417CB" w14:textId="77777777" w:rsidR="00251BB7" w:rsidRDefault="00251BB7" w:rsidP="001B2250">
      <w:pPr>
        <w:jc w:val="center"/>
        <w:rPr>
          <w:rFonts w:cstheme="minorHAnsi"/>
          <w:b/>
          <w:sz w:val="20"/>
          <w:szCs w:val="20"/>
        </w:rPr>
      </w:pPr>
    </w:p>
    <w:p w14:paraId="2D718623" w14:textId="77777777" w:rsidR="00251BB7" w:rsidRDefault="00251BB7" w:rsidP="001B2250">
      <w:pPr>
        <w:jc w:val="center"/>
        <w:rPr>
          <w:rFonts w:cstheme="minorHAnsi"/>
          <w:b/>
          <w:sz w:val="20"/>
          <w:szCs w:val="20"/>
        </w:rPr>
      </w:pPr>
    </w:p>
    <w:p w14:paraId="697FD1BD" w14:textId="77777777" w:rsidR="00251BB7" w:rsidRDefault="00251BB7" w:rsidP="00251BB7">
      <w:pPr>
        <w:rPr>
          <w:rFonts w:cstheme="minorHAnsi"/>
          <w:b/>
          <w:sz w:val="20"/>
          <w:szCs w:val="20"/>
        </w:rPr>
      </w:pPr>
    </w:p>
    <w:p w14:paraId="71B4AA74" w14:textId="77777777" w:rsidR="00694D91" w:rsidRDefault="00694D91" w:rsidP="006F3E6A">
      <w:pPr>
        <w:rPr>
          <w:rFonts w:cstheme="minorHAnsi"/>
          <w:sz w:val="20"/>
          <w:szCs w:val="20"/>
        </w:rPr>
      </w:pPr>
    </w:p>
    <w:p w14:paraId="3A829F22" w14:textId="29AA8F4E" w:rsidR="006F3E6A" w:rsidRPr="00251BB7" w:rsidRDefault="00251BB7" w:rsidP="006F3E6A">
      <w:pPr>
        <w:rPr>
          <w:rFonts w:cstheme="minorHAnsi"/>
          <w:sz w:val="20"/>
          <w:szCs w:val="20"/>
        </w:rPr>
      </w:pPr>
      <w:r w:rsidRPr="00251BB7">
        <w:rPr>
          <w:rFonts w:cstheme="minorHAnsi"/>
          <w:sz w:val="20"/>
          <w:szCs w:val="20"/>
        </w:rPr>
        <w:lastRenderedPageBreak/>
        <w:t xml:space="preserve">Table </w:t>
      </w:r>
      <w:r w:rsidR="009B306F">
        <w:rPr>
          <w:rFonts w:cstheme="minorHAnsi"/>
          <w:sz w:val="20"/>
          <w:szCs w:val="20"/>
        </w:rPr>
        <w:t>S</w:t>
      </w:r>
      <w:r w:rsidR="00B9015D">
        <w:rPr>
          <w:rFonts w:cstheme="minorHAnsi"/>
          <w:sz w:val="20"/>
          <w:szCs w:val="20"/>
        </w:rPr>
        <w:t>2</w:t>
      </w:r>
      <w:r w:rsidR="00694D91">
        <w:rPr>
          <w:rFonts w:cstheme="minorHAnsi"/>
          <w:sz w:val="20"/>
          <w:szCs w:val="20"/>
        </w:rPr>
        <w:t xml:space="preserve"> Continued</w:t>
      </w:r>
      <w:r w:rsidRPr="00251BB7">
        <w:rPr>
          <w:rFonts w:cstheme="minorHAnsi"/>
          <w:sz w:val="20"/>
          <w:szCs w:val="20"/>
        </w:rPr>
        <w:t xml:space="preserve">: Methodological quality assessment of cross-sectional studies using </w:t>
      </w:r>
      <w:r w:rsidR="0033707C" w:rsidRPr="00707F1B">
        <w:rPr>
          <w:rFonts w:cstheme="minorHAnsi"/>
          <w:sz w:val="20"/>
          <w:szCs w:val="20"/>
        </w:rPr>
        <w:t>Agency for Healthcare Research &amp; Quality</w:t>
      </w:r>
      <w:r w:rsidR="0033707C" w:rsidRPr="00251BB7">
        <w:rPr>
          <w:rFonts w:cstheme="minorHAnsi"/>
          <w:sz w:val="20"/>
          <w:szCs w:val="20"/>
        </w:rPr>
        <w:t xml:space="preserve"> </w:t>
      </w:r>
      <w:r w:rsidR="0033707C">
        <w:rPr>
          <w:rFonts w:cstheme="minorHAnsi"/>
          <w:sz w:val="20"/>
          <w:szCs w:val="20"/>
        </w:rPr>
        <w:t>(</w:t>
      </w:r>
      <w:r w:rsidR="006F3E6A" w:rsidRPr="00251BB7">
        <w:rPr>
          <w:rFonts w:cstheme="minorHAnsi"/>
          <w:sz w:val="20"/>
          <w:szCs w:val="20"/>
        </w:rPr>
        <w:t>ARHQ</w:t>
      </w:r>
      <w:r w:rsidR="0033707C">
        <w:rPr>
          <w:rFonts w:cstheme="minorHAnsi"/>
          <w:sz w:val="20"/>
          <w:szCs w:val="20"/>
        </w:rPr>
        <w:t>)</w:t>
      </w:r>
      <w:r w:rsidR="006F3E6A" w:rsidRPr="00251BB7">
        <w:rPr>
          <w:rFonts w:cstheme="minorHAnsi"/>
          <w:sz w:val="20"/>
          <w:szCs w:val="20"/>
        </w:rPr>
        <w:t xml:space="preserve"> </w:t>
      </w:r>
      <w:r w:rsidR="0033707C" w:rsidRPr="00251BB7">
        <w:rPr>
          <w:rFonts w:cstheme="minorHAnsi"/>
          <w:sz w:val="20"/>
          <w:szCs w:val="20"/>
        </w:rPr>
        <w:t xml:space="preserve">assessment scale </w:t>
      </w:r>
    </w:p>
    <w:tbl>
      <w:tblPr>
        <w:tblStyle w:val="TableGrid"/>
        <w:tblW w:w="4825" w:type="pct"/>
        <w:tblInd w:w="-601" w:type="dxa"/>
        <w:tblLook w:val="04A0" w:firstRow="1" w:lastRow="0" w:firstColumn="1" w:lastColumn="0" w:noHBand="0" w:noVBand="1"/>
      </w:tblPr>
      <w:tblGrid>
        <w:gridCol w:w="2710"/>
        <w:gridCol w:w="1669"/>
        <w:gridCol w:w="1462"/>
        <w:gridCol w:w="2825"/>
        <w:gridCol w:w="2687"/>
        <w:gridCol w:w="1406"/>
      </w:tblGrid>
      <w:tr w:rsidR="006F3E6A" w:rsidRPr="00251BB7" w14:paraId="36978B5F" w14:textId="77777777" w:rsidTr="00F17325">
        <w:tc>
          <w:tcPr>
            <w:tcW w:w="1062" w:type="pct"/>
            <w:vMerge w:val="restart"/>
          </w:tcPr>
          <w:p w14:paraId="401FA35C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First author, publication year</w:t>
            </w:r>
          </w:p>
        </w:tc>
        <w:tc>
          <w:tcPr>
            <w:tcW w:w="3938" w:type="pct"/>
            <w:gridSpan w:val="5"/>
          </w:tcPr>
          <w:p w14:paraId="18CAC941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Criteria</w:t>
            </w:r>
          </w:p>
        </w:tc>
      </w:tr>
      <w:tr w:rsidR="006F3E6A" w:rsidRPr="00251BB7" w14:paraId="185583C5" w14:textId="77777777" w:rsidTr="00F17325">
        <w:tc>
          <w:tcPr>
            <w:tcW w:w="1062" w:type="pct"/>
            <w:vMerge/>
          </w:tcPr>
          <w:p w14:paraId="6ECA7D4C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</w:p>
        </w:tc>
        <w:tc>
          <w:tcPr>
            <w:tcW w:w="654" w:type="pct"/>
          </w:tcPr>
          <w:p w14:paraId="6935B8E1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Comparability</w:t>
            </w:r>
            <w:r w:rsidR="00084CF5" w:rsidRPr="00251BB7">
              <w:rPr>
                <w:rFonts w:ascii="Times New Roman" w:hAnsi="Times New Roman" w:cs="Times New Roman"/>
                <w:b/>
                <w:bCs/>
                <w:szCs w:val="20"/>
                <w:vertAlign w:val="superscript"/>
                <w:lang w:val="en-GB"/>
              </w:rPr>
              <w:t>1</w:t>
            </w:r>
          </w:p>
        </w:tc>
        <w:tc>
          <w:tcPr>
            <w:tcW w:w="573" w:type="pct"/>
          </w:tcPr>
          <w:p w14:paraId="4D027BB6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Exposure</w:t>
            </w:r>
            <w:r w:rsidR="00084CF5" w:rsidRPr="00251BB7">
              <w:rPr>
                <w:rFonts w:ascii="Times New Roman" w:hAnsi="Times New Roman" w:cs="Times New Roman"/>
                <w:b/>
                <w:bCs/>
                <w:szCs w:val="20"/>
                <w:vertAlign w:val="superscript"/>
                <w:lang w:val="en-GB"/>
              </w:rPr>
              <w:t>2</w:t>
            </w:r>
          </w:p>
        </w:tc>
        <w:tc>
          <w:tcPr>
            <w:tcW w:w="1107" w:type="pct"/>
          </w:tcPr>
          <w:p w14:paraId="7350C523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Outcome measurement</w:t>
            </w:r>
            <w:r w:rsidR="00084CF5" w:rsidRPr="00251BB7">
              <w:rPr>
                <w:rFonts w:ascii="Times New Roman" w:hAnsi="Times New Roman" w:cs="Times New Roman"/>
                <w:b/>
                <w:bCs/>
                <w:szCs w:val="20"/>
                <w:vertAlign w:val="superscript"/>
                <w:lang w:val="en-GB"/>
              </w:rPr>
              <w:t>3</w:t>
            </w:r>
          </w:p>
        </w:tc>
        <w:tc>
          <w:tcPr>
            <w:tcW w:w="1053" w:type="pct"/>
          </w:tcPr>
          <w:p w14:paraId="7CA7CF9D" w14:textId="77777777" w:rsidR="006F3E6A" w:rsidRPr="00251BB7" w:rsidRDefault="006F3E6A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Statistical analysis</w:t>
            </w:r>
            <w:r w:rsidR="00084CF5" w:rsidRPr="00251BB7">
              <w:rPr>
                <w:rFonts w:ascii="Times New Roman" w:hAnsi="Times New Roman" w:cs="Times New Roman"/>
                <w:b/>
                <w:bCs/>
                <w:szCs w:val="20"/>
                <w:vertAlign w:val="superscript"/>
                <w:lang w:val="en-GB"/>
              </w:rPr>
              <w:t>4</w:t>
            </w: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 xml:space="preserve"> </w:t>
            </w:r>
          </w:p>
        </w:tc>
        <w:tc>
          <w:tcPr>
            <w:tcW w:w="551" w:type="pct"/>
          </w:tcPr>
          <w:p w14:paraId="4CD4BCA2" w14:textId="46B02FAF" w:rsidR="006F3E6A" w:rsidRPr="00251BB7" w:rsidRDefault="001B2250" w:rsidP="00084CF5">
            <w:pPr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/>
                <w:bCs/>
                <w:szCs w:val="20"/>
                <w:lang w:val="en-GB"/>
              </w:rPr>
              <w:t>Total score</w:t>
            </w:r>
          </w:p>
        </w:tc>
      </w:tr>
      <w:tr w:rsidR="002F5EAF" w:rsidRPr="00251BB7" w14:paraId="35D8C33E" w14:textId="77777777" w:rsidTr="00F17325">
        <w:trPr>
          <w:trHeight w:val="60"/>
        </w:trPr>
        <w:tc>
          <w:tcPr>
            <w:tcW w:w="1062" w:type="pct"/>
          </w:tcPr>
          <w:p w14:paraId="23ACEC24" w14:textId="735267EE" w:rsidR="002F5EAF" w:rsidRPr="00F17325" w:rsidRDefault="00EE60BD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17325">
              <w:rPr>
                <w:rFonts w:ascii="Times New Roman" w:hAnsi="Times New Roman" w:cs="Times New Roman"/>
                <w:szCs w:val="20"/>
              </w:rPr>
              <w:t xml:space="preserve">Mi </w:t>
            </w:r>
            <w:r w:rsidR="001B2250" w:rsidRPr="00F17325">
              <w:rPr>
                <w:rFonts w:ascii="Times New Roman" w:hAnsi="Times New Roman" w:cs="Times New Roman"/>
                <w:szCs w:val="20"/>
              </w:rPr>
              <w:t xml:space="preserve">F </w:t>
            </w:r>
            <w:r w:rsidRPr="00F17325">
              <w:rPr>
                <w:rFonts w:ascii="Times New Roman" w:hAnsi="Times New Roman" w:cs="Times New Roman"/>
                <w:szCs w:val="20"/>
              </w:rPr>
              <w:t>et al.</w:t>
            </w:r>
            <w:r w:rsidR="00D57C77" w:rsidRPr="00F17325">
              <w:rPr>
                <w:rFonts w:ascii="Times New Roman" w:hAnsi="Times New Roman" w:cs="Times New Roman"/>
                <w:szCs w:val="20"/>
              </w:rPr>
              <w:t>, 2014</w:t>
            </w:r>
          </w:p>
        </w:tc>
        <w:tc>
          <w:tcPr>
            <w:tcW w:w="654" w:type="pct"/>
          </w:tcPr>
          <w:p w14:paraId="3BEBF72C" w14:textId="1AC7B144" w:rsidR="002F5EAF" w:rsidRPr="00F17325" w:rsidRDefault="00F17325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17325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73" w:type="pct"/>
          </w:tcPr>
          <w:p w14:paraId="66762182" w14:textId="433DD61C" w:rsidR="002F5EAF" w:rsidRPr="00F17325" w:rsidRDefault="00D57C77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17325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1107" w:type="pct"/>
          </w:tcPr>
          <w:p w14:paraId="5CF05FDA" w14:textId="364BBA34" w:rsidR="002F5EAF" w:rsidRPr="00F17325" w:rsidRDefault="00D57C77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17325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1053" w:type="pct"/>
          </w:tcPr>
          <w:p w14:paraId="0C9A100E" w14:textId="240EECD1" w:rsidR="002F5EAF" w:rsidRPr="00F17325" w:rsidRDefault="001363E6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17325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51" w:type="pct"/>
          </w:tcPr>
          <w:p w14:paraId="0D66A51B" w14:textId="2872AB44" w:rsidR="002F5EAF" w:rsidRPr="00F17325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F17325"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</w:tr>
      <w:tr w:rsidR="002F5EAF" w:rsidRPr="00251BB7" w14:paraId="11326AC9" w14:textId="77777777" w:rsidTr="00F17325">
        <w:trPr>
          <w:trHeight w:val="281"/>
        </w:trPr>
        <w:tc>
          <w:tcPr>
            <w:tcW w:w="1062" w:type="pct"/>
          </w:tcPr>
          <w:p w14:paraId="10A77A3F" w14:textId="3B69F84B" w:rsidR="002F5EAF" w:rsidRPr="00251BB7" w:rsidRDefault="00295881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proofErr w:type="spellStart"/>
            <w:r w:rsidRPr="00251BB7">
              <w:rPr>
                <w:rFonts w:ascii="Times New Roman" w:hAnsi="Times New Roman" w:cs="Times New Roman"/>
                <w:bCs/>
                <w:szCs w:val="20"/>
              </w:rPr>
              <w:t>Tanrikulu</w:t>
            </w:r>
            <w:proofErr w:type="spellEnd"/>
            <w:r w:rsidRPr="00251BB7">
              <w:rPr>
                <w:rFonts w:ascii="Times New Roman" w:hAnsi="Times New Roman" w:cs="Times New Roman"/>
                <w:bCs/>
                <w:szCs w:val="20"/>
              </w:rPr>
              <w:t xml:space="preserve"> AC</w:t>
            </w:r>
            <w:r w:rsidR="001B2250" w:rsidRPr="00251BB7">
              <w:rPr>
                <w:rFonts w:ascii="Times New Roman" w:hAnsi="Times New Roman" w:cs="Times New Roman"/>
                <w:bCs/>
                <w:szCs w:val="20"/>
              </w:rPr>
              <w:t>.</w:t>
            </w:r>
            <w:r w:rsidRPr="00251BB7">
              <w:rPr>
                <w:rFonts w:ascii="Times New Roman" w:hAnsi="Times New Roman" w:cs="Times New Roman"/>
                <w:bCs/>
                <w:szCs w:val="20"/>
              </w:rPr>
              <w:t>, et.al, 2008</w:t>
            </w:r>
          </w:p>
        </w:tc>
        <w:tc>
          <w:tcPr>
            <w:tcW w:w="654" w:type="pct"/>
          </w:tcPr>
          <w:p w14:paraId="04096E6D" w14:textId="401B38F7" w:rsidR="002F5EAF" w:rsidRPr="00251BB7" w:rsidRDefault="008B64EE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73" w:type="pct"/>
          </w:tcPr>
          <w:p w14:paraId="78DDED2A" w14:textId="6F654527" w:rsidR="002F5EAF" w:rsidRPr="00251BB7" w:rsidRDefault="008B64EE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1107" w:type="pct"/>
          </w:tcPr>
          <w:p w14:paraId="74E04C7B" w14:textId="1B1AD8D0" w:rsidR="002F5EAF" w:rsidRPr="00251BB7" w:rsidRDefault="008B64EE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1053" w:type="pct"/>
          </w:tcPr>
          <w:p w14:paraId="5BE2FDFF" w14:textId="44B92649" w:rsidR="002F5EAF" w:rsidRPr="00251BB7" w:rsidRDefault="00F37486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51" w:type="pct"/>
          </w:tcPr>
          <w:p w14:paraId="2E370E75" w14:textId="58AEBFEF" w:rsidR="002F5EAF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</w:tr>
      <w:tr w:rsidR="001B2250" w:rsidRPr="00251BB7" w14:paraId="75AF33EF" w14:textId="77777777" w:rsidTr="00F17325">
        <w:trPr>
          <w:trHeight w:val="272"/>
        </w:trPr>
        <w:tc>
          <w:tcPr>
            <w:tcW w:w="1062" w:type="pct"/>
          </w:tcPr>
          <w:p w14:paraId="5ADE86E2" w14:textId="6B671F33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de-DE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de-DE"/>
              </w:rPr>
              <w:t>Fisher-Hoch SP et a.l, 2008</w:t>
            </w:r>
          </w:p>
        </w:tc>
        <w:tc>
          <w:tcPr>
            <w:tcW w:w="654" w:type="pct"/>
          </w:tcPr>
          <w:p w14:paraId="25E9687D" w14:textId="061FE0A4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73" w:type="pct"/>
          </w:tcPr>
          <w:p w14:paraId="065A5BD4" w14:textId="0FF99DFE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1107" w:type="pct"/>
          </w:tcPr>
          <w:p w14:paraId="53819461" w14:textId="762EC567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1053" w:type="pct"/>
          </w:tcPr>
          <w:p w14:paraId="2D262834" w14:textId="7B580018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1</w:t>
            </w:r>
          </w:p>
        </w:tc>
        <w:tc>
          <w:tcPr>
            <w:tcW w:w="551" w:type="pct"/>
          </w:tcPr>
          <w:p w14:paraId="2BE11A00" w14:textId="4306069F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>4</w:t>
            </w:r>
          </w:p>
        </w:tc>
      </w:tr>
      <w:tr w:rsidR="002F5EAF" w:rsidRPr="00251BB7" w14:paraId="0821F18C" w14:textId="77777777" w:rsidTr="00F17325">
        <w:trPr>
          <w:trHeight w:val="60"/>
        </w:trPr>
        <w:tc>
          <w:tcPr>
            <w:tcW w:w="1062" w:type="pct"/>
          </w:tcPr>
          <w:p w14:paraId="5637510C" w14:textId="13B3B0DB" w:rsidR="002F5EAF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</w:rPr>
              <w:t xml:space="preserve">Hsu AH </w:t>
            </w:r>
            <w:r w:rsidR="00AF3FCF"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et.al</w:t>
            </w: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.</w:t>
            </w:r>
            <w:r w:rsidR="00AF3FCF"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, 2012</w:t>
            </w:r>
          </w:p>
        </w:tc>
        <w:tc>
          <w:tcPr>
            <w:tcW w:w="654" w:type="pct"/>
          </w:tcPr>
          <w:p w14:paraId="232D23C2" w14:textId="34C63C96" w:rsidR="002F5EAF" w:rsidRPr="00251BB7" w:rsidRDefault="009B3C09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573" w:type="pct"/>
          </w:tcPr>
          <w:p w14:paraId="15C1A09F" w14:textId="340F14DE" w:rsidR="002F5EAF" w:rsidRPr="00251BB7" w:rsidRDefault="009B3C09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1107" w:type="pct"/>
          </w:tcPr>
          <w:p w14:paraId="403BB0C1" w14:textId="41A06256" w:rsidR="002F5EAF" w:rsidRPr="00251BB7" w:rsidRDefault="009B3C09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1053" w:type="pct"/>
          </w:tcPr>
          <w:p w14:paraId="4CF8B068" w14:textId="40E96757" w:rsidR="002F5EAF" w:rsidRPr="00251BB7" w:rsidRDefault="009B3C09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551" w:type="pct"/>
          </w:tcPr>
          <w:p w14:paraId="7B946CE1" w14:textId="5938D096" w:rsidR="002F5EAF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4</w:t>
            </w:r>
          </w:p>
        </w:tc>
      </w:tr>
      <w:tr w:rsidR="001B2250" w:rsidRPr="00251BB7" w14:paraId="3C7AD1F1" w14:textId="77777777" w:rsidTr="00F17325">
        <w:trPr>
          <w:trHeight w:val="60"/>
        </w:trPr>
        <w:tc>
          <w:tcPr>
            <w:tcW w:w="1062" w:type="pct"/>
          </w:tcPr>
          <w:p w14:paraId="6F2B4BFE" w14:textId="4ED4D4A7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Zhang Q et al., 2009</w:t>
            </w:r>
          </w:p>
        </w:tc>
        <w:tc>
          <w:tcPr>
            <w:tcW w:w="654" w:type="pct"/>
          </w:tcPr>
          <w:p w14:paraId="6B0F3938" w14:textId="55EEFD28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573" w:type="pct"/>
          </w:tcPr>
          <w:p w14:paraId="42131367" w14:textId="4C72D65A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1107" w:type="pct"/>
          </w:tcPr>
          <w:p w14:paraId="70DC2C35" w14:textId="6C9606F8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1053" w:type="pct"/>
          </w:tcPr>
          <w:p w14:paraId="4998ECA2" w14:textId="529654D9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551" w:type="pct"/>
          </w:tcPr>
          <w:p w14:paraId="0ABAD49A" w14:textId="6C41F34E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4</w:t>
            </w:r>
          </w:p>
        </w:tc>
      </w:tr>
      <w:tr w:rsidR="001B2250" w:rsidRPr="00251BB7" w14:paraId="450ACEBE" w14:textId="77777777" w:rsidTr="00F17325">
        <w:trPr>
          <w:trHeight w:val="60"/>
        </w:trPr>
        <w:tc>
          <w:tcPr>
            <w:tcW w:w="1062" w:type="pct"/>
          </w:tcPr>
          <w:p w14:paraId="09E2CE86" w14:textId="7E1F2A3F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Chang JT et al., 2011</w:t>
            </w:r>
          </w:p>
        </w:tc>
        <w:tc>
          <w:tcPr>
            <w:tcW w:w="654" w:type="pct"/>
          </w:tcPr>
          <w:p w14:paraId="5D199995" w14:textId="0CA4A3CF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573" w:type="pct"/>
          </w:tcPr>
          <w:p w14:paraId="3A25DE18" w14:textId="232CE57D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1107" w:type="pct"/>
          </w:tcPr>
          <w:p w14:paraId="59C606F3" w14:textId="0C6CA31C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1053" w:type="pct"/>
          </w:tcPr>
          <w:p w14:paraId="1D057604" w14:textId="3EBA3393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1</w:t>
            </w:r>
          </w:p>
        </w:tc>
        <w:tc>
          <w:tcPr>
            <w:tcW w:w="551" w:type="pct"/>
          </w:tcPr>
          <w:p w14:paraId="758D33D8" w14:textId="08597668" w:rsidR="001B2250" w:rsidRPr="00251BB7" w:rsidRDefault="001B2250" w:rsidP="00084CF5">
            <w:pPr>
              <w:rPr>
                <w:rFonts w:ascii="Times New Roman" w:hAnsi="Times New Roman" w:cs="Times New Roman"/>
                <w:bCs/>
                <w:szCs w:val="20"/>
                <w:lang w:val="en-GB"/>
              </w:rPr>
            </w:pPr>
            <w:r w:rsidRPr="00251BB7">
              <w:rPr>
                <w:rFonts w:ascii="Times New Roman" w:hAnsi="Times New Roman" w:cs="Times New Roman"/>
                <w:bCs/>
                <w:szCs w:val="20"/>
                <w:lang w:val="en-GB"/>
              </w:rPr>
              <w:t>4</w:t>
            </w:r>
          </w:p>
        </w:tc>
      </w:tr>
    </w:tbl>
    <w:p w14:paraId="5EAC4E3B" w14:textId="0978E99C" w:rsidR="00251BB7" w:rsidRDefault="00251BB7" w:rsidP="00084CF5">
      <w:pPr>
        <w:rPr>
          <w:rFonts w:cstheme="minorHAnsi"/>
          <w:i/>
          <w:sz w:val="20"/>
          <w:szCs w:val="20"/>
        </w:rPr>
      </w:pPr>
      <w:r w:rsidRPr="00DB3988">
        <w:rPr>
          <w:rFonts w:cstheme="minorHAnsi"/>
          <w:i/>
          <w:sz w:val="20"/>
          <w:szCs w:val="20"/>
        </w:rPr>
        <w:t>Note: Accept the s</w:t>
      </w:r>
      <w:r>
        <w:rPr>
          <w:rFonts w:cstheme="minorHAnsi"/>
          <w:i/>
          <w:sz w:val="20"/>
          <w:szCs w:val="20"/>
        </w:rPr>
        <w:t>tudy if all criteria fulfilled</w:t>
      </w:r>
    </w:p>
    <w:p w14:paraId="1C8437A8" w14:textId="134219DC" w:rsidR="00084CF5" w:rsidRPr="00DB3988" w:rsidRDefault="00251BB7" w:rsidP="00251BB7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DB3988">
        <w:rPr>
          <w:rFonts w:cstheme="minorHAnsi"/>
          <w:i/>
          <w:sz w:val="20"/>
          <w:szCs w:val="20"/>
        </w:rPr>
        <w:t xml:space="preserve"> </w:t>
      </w:r>
      <w:r w:rsidR="00084CF5" w:rsidRPr="00DB3988">
        <w:rPr>
          <w:rFonts w:cstheme="minorHAnsi"/>
          <w:sz w:val="20"/>
          <w:szCs w:val="20"/>
          <w:vertAlign w:val="superscript"/>
          <w:lang w:val="en-GB"/>
        </w:rPr>
        <w:t>1</w:t>
      </w:r>
      <w:r w:rsidR="00084CF5" w:rsidRPr="00DB3988">
        <w:rPr>
          <w:rFonts w:cstheme="minorHAnsi"/>
          <w:sz w:val="20"/>
          <w:szCs w:val="20"/>
          <w:lang w:val="en-GB"/>
        </w:rPr>
        <w:t>Comparability of cohorts on the basis of the design or analysis.</w:t>
      </w:r>
      <w:r w:rsidR="00084CF5" w:rsidRPr="00DB3988">
        <w:rPr>
          <w:rFonts w:cstheme="minorHAnsi"/>
          <w:sz w:val="20"/>
          <w:szCs w:val="20"/>
          <w:lang w:val="en-GB"/>
        </w:rPr>
        <w:tab/>
      </w:r>
    </w:p>
    <w:p w14:paraId="1757F463" w14:textId="43CACBF6" w:rsidR="00084CF5" w:rsidRPr="00DB3988" w:rsidRDefault="00084CF5" w:rsidP="00251BB7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DB3988">
        <w:rPr>
          <w:rFonts w:cstheme="minorHAnsi"/>
          <w:sz w:val="20"/>
          <w:szCs w:val="20"/>
          <w:vertAlign w:val="superscript"/>
          <w:lang w:val="en-GB"/>
        </w:rPr>
        <w:t>2</w:t>
      </w:r>
      <w:r w:rsidRPr="00DB3988">
        <w:rPr>
          <w:rFonts w:cstheme="minorHAnsi"/>
          <w:sz w:val="20"/>
          <w:szCs w:val="20"/>
          <w:lang w:val="en-GB"/>
        </w:rPr>
        <w:t xml:space="preserve">Ascertainment of exposure based on validated measurement tool </w:t>
      </w:r>
      <w:r w:rsidR="0033707C">
        <w:rPr>
          <w:rFonts w:cstheme="minorHAnsi"/>
          <w:sz w:val="20"/>
          <w:szCs w:val="20"/>
          <w:lang w:val="en-GB"/>
        </w:rPr>
        <w:t>or</w:t>
      </w:r>
      <w:r w:rsidRPr="00DB3988">
        <w:rPr>
          <w:rFonts w:cstheme="minorHAnsi"/>
          <w:sz w:val="20"/>
          <w:szCs w:val="20"/>
          <w:lang w:val="en-GB"/>
        </w:rPr>
        <w:t xml:space="preserve"> non-validated measurement tool, but the tool is available or described OR No description of the measurement tool.</w:t>
      </w:r>
      <w:r w:rsidRPr="00DB3988">
        <w:rPr>
          <w:rFonts w:cstheme="minorHAnsi"/>
          <w:sz w:val="20"/>
          <w:szCs w:val="20"/>
          <w:lang w:val="en-GB"/>
        </w:rPr>
        <w:tab/>
      </w:r>
    </w:p>
    <w:p w14:paraId="244730F7" w14:textId="77777777" w:rsidR="00084CF5" w:rsidRPr="00DB3988" w:rsidRDefault="00084CF5" w:rsidP="00251BB7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DB3988">
        <w:rPr>
          <w:rFonts w:cstheme="minorHAnsi"/>
          <w:sz w:val="20"/>
          <w:szCs w:val="20"/>
          <w:vertAlign w:val="superscript"/>
          <w:lang w:val="en-GB"/>
        </w:rPr>
        <w:t>3</w:t>
      </w:r>
      <w:r w:rsidRPr="00DB3988">
        <w:rPr>
          <w:rFonts w:cstheme="minorHAnsi"/>
          <w:sz w:val="20"/>
          <w:szCs w:val="20"/>
          <w:lang w:val="en-GB"/>
        </w:rPr>
        <w:t>Independent blind assessment, record linkage, self-report or no description.</w:t>
      </w:r>
      <w:r w:rsidRPr="00DB3988">
        <w:rPr>
          <w:rFonts w:cstheme="minorHAnsi"/>
          <w:sz w:val="20"/>
          <w:szCs w:val="20"/>
          <w:lang w:val="en-GB"/>
        </w:rPr>
        <w:tab/>
      </w:r>
    </w:p>
    <w:p w14:paraId="5A2E33A5" w14:textId="63FD733E" w:rsidR="006F3E6A" w:rsidRPr="00DB3988" w:rsidRDefault="00084CF5" w:rsidP="00251BB7">
      <w:pPr>
        <w:spacing w:line="240" w:lineRule="auto"/>
        <w:rPr>
          <w:rFonts w:cstheme="minorHAnsi"/>
          <w:sz w:val="20"/>
          <w:szCs w:val="20"/>
          <w:lang w:val="en-GB"/>
        </w:rPr>
      </w:pPr>
      <w:r w:rsidRPr="00DB3988">
        <w:rPr>
          <w:rFonts w:cstheme="minorHAnsi"/>
          <w:sz w:val="20"/>
          <w:szCs w:val="20"/>
          <w:vertAlign w:val="superscript"/>
          <w:lang w:val="en-GB"/>
        </w:rPr>
        <w:t>4</w:t>
      </w:r>
      <w:r w:rsidRPr="00DB3988">
        <w:rPr>
          <w:rFonts w:cstheme="minorHAnsi"/>
          <w:sz w:val="20"/>
          <w:szCs w:val="20"/>
          <w:lang w:val="en-GB"/>
        </w:rPr>
        <w:t xml:space="preserve">The statistical test used to analyse the data is clearly described and appropriate, and the measurement of the association is presented, including confidence intervals and the probability level (p value) </w:t>
      </w:r>
      <w:r w:rsidR="0033707C">
        <w:rPr>
          <w:rFonts w:cstheme="minorHAnsi"/>
          <w:sz w:val="20"/>
          <w:szCs w:val="20"/>
          <w:lang w:val="en-GB"/>
        </w:rPr>
        <w:t>or</w:t>
      </w:r>
      <w:r w:rsidRPr="00DB3988">
        <w:rPr>
          <w:rFonts w:cstheme="minorHAnsi"/>
          <w:sz w:val="20"/>
          <w:szCs w:val="20"/>
          <w:lang w:val="en-GB"/>
        </w:rPr>
        <w:t xml:space="preserve"> </w:t>
      </w:r>
      <w:r w:rsidR="0033707C">
        <w:rPr>
          <w:rFonts w:cstheme="minorHAnsi"/>
          <w:sz w:val="20"/>
          <w:szCs w:val="20"/>
          <w:lang w:val="en-GB"/>
        </w:rPr>
        <w:t>t</w:t>
      </w:r>
      <w:bookmarkStart w:id="0" w:name="_GoBack"/>
      <w:bookmarkEnd w:id="0"/>
      <w:r w:rsidRPr="00DB3988">
        <w:rPr>
          <w:rFonts w:cstheme="minorHAnsi"/>
          <w:sz w:val="20"/>
          <w:szCs w:val="20"/>
          <w:lang w:val="en-GB"/>
        </w:rPr>
        <w:t>he statistical test is not appropriate, not described or incomplete.</w:t>
      </w:r>
    </w:p>
    <w:p w14:paraId="39801875" w14:textId="77777777" w:rsidR="00084CF5" w:rsidRPr="00DB3988" w:rsidRDefault="00084CF5" w:rsidP="00251BB7">
      <w:pPr>
        <w:spacing w:line="240" w:lineRule="auto"/>
        <w:rPr>
          <w:rFonts w:cstheme="minorHAnsi"/>
          <w:sz w:val="20"/>
          <w:szCs w:val="20"/>
          <w:lang w:val="en-GB"/>
        </w:rPr>
      </w:pPr>
    </w:p>
    <w:p w14:paraId="679FFE5B" w14:textId="77777777" w:rsidR="005344B7" w:rsidRPr="00DB3988" w:rsidRDefault="005344B7" w:rsidP="00251BB7">
      <w:pPr>
        <w:spacing w:line="240" w:lineRule="auto"/>
        <w:rPr>
          <w:rFonts w:cstheme="minorHAnsi"/>
          <w:sz w:val="20"/>
          <w:szCs w:val="20"/>
          <w:lang w:val="en-GB"/>
        </w:rPr>
      </w:pPr>
    </w:p>
    <w:sectPr w:rsidR="005344B7" w:rsidRPr="00DB3988" w:rsidSect="002F5EAF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0D942E" w14:textId="77777777" w:rsidR="00FC4D24" w:rsidRDefault="00FC4D24" w:rsidP="006F3E6A">
      <w:pPr>
        <w:spacing w:after="0" w:line="240" w:lineRule="auto"/>
      </w:pPr>
      <w:r>
        <w:separator/>
      </w:r>
    </w:p>
  </w:endnote>
  <w:endnote w:type="continuationSeparator" w:id="0">
    <w:p w14:paraId="1962A86E" w14:textId="77777777" w:rsidR="00FC4D24" w:rsidRDefault="00FC4D24" w:rsidP="006F3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CD596D" w14:textId="77777777" w:rsidR="00FC4D24" w:rsidRDefault="00FC4D24" w:rsidP="006F3E6A">
      <w:pPr>
        <w:spacing w:after="0" w:line="240" w:lineRule="auto"/>
      </w:pPr>
      <w:r>
        <w:separator/>
      </w:r>
    </w:p>
  </w:footnote>
  <w:footnote w:type="continuationSeparator" w:id="0">
    <w:p w14:paraId="30FDE13E" w14:textId="77777777" w:rsidR="00FC4D24" w:rsidRDefault="00FC4D24" w:rsidP="006F3E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czNDA0NDUxNDI2MTBQ0lEKTi0uzszPAykwrAUA6cVGKywAAAA="/>
  </w:docVars>
  <w:rsids>
    <w:rsidRoot w:val="006F3E6A"/>
    <w:rsid w:val="0000110D"/>
    <w:rsid w:val="0000576A"/>
    <w:rsid w:val="0001261F"/>
    <w:rsid w:val="00013642"/>
    <w:rsid w:val="0001600D"/>
    <w:rsid w:val="0002028C"/>
    <w:rsid w:val="00020CFF"/>
    <w:rsid w:val="00025316"/>
    <w:rsid w:val="00030798"/>
    <w:rsid w:val="00040417"/>
    <w:rsid w:val="000408BD"/>
    <w:rsid w:val="00044B62"/>
    <w:rsid w:val="000501F2"/>
    <w:rsid w:val="00050DCB"/>
    <w:rsid w:val="00056DE4"/>
    <w:rsid w:val="000643EB"/>
    <w:rsid w:val="00072590"/>
    <w:rsid w:val="0007379E"/>
    <w:rsid w:val="000830D3"/>
    <w:rsid w:val="00083804"/>
    <w:rsid w:val="00084CF5"/>
    <w:rsid w:val="00087D8F"/>
    <w:rsid w:val="00090BFF"/>
    <w:rsid w:val="000947AE"/>
    <w:rsid w:val="000B2131"/>
    <w:rsid w:val="000B6D8A"/>
    <w:rsid w:val="000C0D73"/>
    <w:rsid w:val="000C3F50"/>
    <w:rsid w:val="000C3F79"/>
    <w:rsid w:val="000C50D8"/>
    <w:rsid w:val="000C55E2"/>
    <w:rsid w:val="000D47F9"/>
    <w:rsid w:val="000E50A6"/>
    <w:rsid w:val="000F226D"/>
    <w:rsid w:val="000F241A"/>
    <w:rsid w:val="000F5391"/>
    <w:rsid w:val="00103BC8"/>
    <w:rsid w:val="0010419C"/>
    <w:rsid w:val="001071E7"/>
    <w:rsid w:val="00107E00"/>
    <w:rsid w:val="001132C7"/>
    <w:rsid w:val="00113A49"/>
    <w:rsid w:val="001317F6"/>
    <w:rsid w:val="00132A9B"/>
    <w:rsid w:val="00132F8E"/>
    <w:rsid w:val="001363E6"/>
    <w:rsid w:val="00144DB3"/>
    <w:rsid w:val="001464DF"/>
    <w:rsid w:val="0015253F"/>
    <w:rsid w:val="00152B0F"/>
    <w:rsid w:val="00154583"/>
    <w:rsid w:val="00162137"/>
    <w:rsid w:val="00164850"/>
    <w:rsid w:val="00170C53"/>
    <w:rsid w:val="00174268"/>
    <w:rsid w:val="00181FC9"/>
    <w:rsid w:val="00184755"/>
    <w:rsid w:val="001911A1"/>
    <w:rsid w:val="00194C7C"/>
    <w:rsid w:val="00195E1A"/>
    <w:rsid w:val="00196BDE"/>
    <w:rsid w:val="00196C4A"/>
    <w:rsid w:val="00197CA6"/>
    <w:rsid w:val="001A6BAE"/>
    <w:rsid w:val="001A6F5F"/>
    <w:rsid w:val="001B2250"/>
    <w:rsid w:val="001B3C38"/>
    <w:rsid w:val="001B3D20"/>
    <w:rsid w:val="001B41C4"/>
    <w:rsid w:val="001B7CA8"/>
    <w:rsid w:val="001C09E6"/>
    <w:rsid w:val="001C57C7"/>
    <w:rsid w:val="001C6A86"/>
    <w:rsid w:val="001D1F72"/>
    <w:rsid w:val="001D634C"/>
    <w:rsid w:val="001D79DD"/>
    <w:rsid w:val="001E7D41"/>
    <w:rsid w:val="001F008A"/>
    <w:rsid w:val="001F0722"/>
    <w:rsid w:val="002005E2"/>
    <w:rsid w:val="002008FC"/>
    <w:rsid w:val="00202845"/>
    <w:rsid w:val="0020482D"/>
    <w:rsid w:val="00217648"/>
    <w:rsid w:val="00226CC8"/>
    <w:rsid w:val="002319EB"/>
    <w:rsid w:val="00242AFD"/>
    <w:rsid w:val="00250170"/>
    <w:rsid w:val="00251BB7"/>
    <w:rsid w:val="00270B0E"/>
    <w:rsid w:val="00270E55"/>
    <w:rsid w:val="002723A4"/>
    <w:rsid w:val="002802DD"/>
    <w:rsid w:val="00280D21"/>
    <w:rsid w:val="00280E1A"/>
    <w:rsid w:val="00282708"/>
    <w:rsid w:val="00292AB3"/>
    <w:rsid w:val="00294259"/>
    <w:rsid w:val="00295881"/>
    <w:rsid w:val="002A2338"/>
    <w:rsid w:val="002A46E5"/>
    <w:rsid w:val="002A5748"/>
    <w:rsid w:val="002A6D61"/>
    <w:rsid w:val="002B044B"/>
    <w:rsid w:val="002B103E"/>
    <w:rsid w:val="002B3C2A"/>
    <w:rsid w:val="002B57EB"/>
    <w:rsid w:val="002B5D2A"/>
    <w:rsid w:val="002C1899"/>
    <w:rsid w:val="002D5304"/>
    <w:rsid w:val="002E12DB"/>
    <w:rsid w:val="002E15F7"/>
    <w:rsid w:val="002E27FE"/>
    <w:rsid w:val="002E2D17"/>
    <w:rsid w:val="002F4475"/>
    <w:rsid w:val="002F5EAF"/>
    <w:rsid w:val="00305C85"/>
    <w:rsid w:val="00316052"/>
    <w:rsid w:val="003207C3"/>
    <w:rsid w:val="00323C15"/>
    <w:rsid w:val="00324AE7"/>
    <w:rsid w:val="003259CB"/>
    <w:rsid w:val="0032607A"/>
    <w:rsid w:val="00327652"/>
    <w:rsid w:val="003336E0"/>
    <w:rsid w:val="00334915"/>
    <w:rsid w:val="0033707C"/>
    <w:rsid w:val="00337658"/>
    <w:rsid w:val="003377EA"/>
    <w:rsid w:val="0034100E"/>
    <w:rsid w:val="00344B90"/>
    <w:rsid w:val="00351845"/>
    <w:rsid w:val="00375018"/>
    <w:rsid w:val="003759AA"/>
    <w:rsid w:val="00382171"/>
    <w:rsid w:val="003828B8"/>
    <w:rsid w:val="003828C9"/>
    <w:rsid w:val="003853BA"/>
    <w:rsid w:val="003A1808"/>
    <w:rsid w:val="003B1C47"/>
    <w:rsid w:val="003B4AE0"/>
    <w:rsid w:val="003B5A2E"/>
    <w:rsid w:val="003C0839"/>
    <w:rsid w:val="003C6232"/>
    <w:rsid w:val="003D15C9"/>
    <w:rsid w:val="003E0547"/>
    <w:rsid w:val="003F0802"/>
    <w:rsid w:val="003F0EED"/>
    <w:rsid w:val="003F1473"/>
    <w:rsid w:val="00404FD0"/>
    <w:rsid w:val="0040775B"/>
    <w:rsid w:val="0041014D"/>
    <w:rsid w:val="00422162"/>
    <w:rsid w:val="004237F0"/>
    <w:rsid w:val="0042512B"/>
    <w:rsid w:val="00430716"/>
    <w:rsid w:val="004321A5"/>
    <w:rsid w:val="00436410"/>
    <w:rsid w:val="00437CF9"/>
    <w:rsid w:val="004407E7"/>
    <w:rsid w:val="00441EE1"/>
    <w:rsid w:val="00443156"/>
    <w:rsid w:val="00446AE9"/>
    <w:rsid w:val="00446C1D"/>
    <w:rsid w:val="0045740B"/>
    <w:rsid w:val="0046186C"/>
    <w:rsid w:val="00467D1D"/>
    <w:rsid w:val="004877F8"/>
    <w:rsid w:val="0049155C"/>
    <w:rsid w:val="004A0669"/>
    <w:rsid w:val="004A1A0D"/>
    <w:rsid w:val="004A279A"/>
    <w:rsid w:val="004A5065"/>
    <w:rsid w:val="004A7E5A"/>
    <w:rsid w:val="004B339A"/>
    <w:rsid w:val="004C11CE"/>
    <w:rsid w:val="004D0690"/>
    <w:rsid w:val="004D4942"/>
    <w:rsid w:val="004D6648"/>
    <w:rsid w:val="004F4939"/>
    <w:rsid w:val="004F763F"/>
    <w:rsid w:val="005008CE"/>
    <w:rsid w:val="00502998"/>
    <w:rsid w:val="0051121A"/>
    <w:rsid w:val="00513DBD"/>
    <w:rsid w:val="005271B6"/>
    <w:rsid w:val="005344B7"/>
    <w:rsid w:val="005406ED"/>
    <w:rsid w:val="005425E2"/>
    <w:rsid w:val="0054371B"/>
    <w:rsid w:val="00562024"/>
    <w:rsid w:val="00564E6E"/>
    <w:rsid w:val="00574142"/>
    <w:rsid w:val="00580116"/>
    <w:rsid w:val="00580CD9"/>
    <w:rsid w:val="0058144E"/>
    <w:rsid w:val="00584BA8"/>
    <w:rsid w:val="00590AC9"/>
    <w:rsid w:val="00596FB6"/>
    <w:rsid w:val="005A1C65"/>
    <w:rsid w:val="005A35AD"/>
    <w:rsid w:val="005A37E8"/>
    <w:rsid w:val="005A48DB"/>
    <w:rsid w:val="005B0665"/>
    <w:rsid w:val="005B681A"/>
    <w:rsid w:val="005C1EEB"/>
    <w:rsid w:val="005C29F1"/>
    <w:rsid w:val="005C40C8"/>
    <w:rsid w:val="005C65A1"/>
    <w:rsid w:val="005C7CE0"/>
    <w:rsid w:val="005D3EEB"/>
    <w:rsid w:val="005D54E9"/>
    <w:rsid w:val="005E319F"/>
    <w:rsid w:val="005E3862"/>
    <w:rsid w:val="005E4B7E"/>
    <w:rsid w:val="005F201E"/>
    <w:rsid w:val="005F4A09"/>
    <w:rsid w:val="005F6615"/>
    <w:rsid w:val="005F7045"/>
    <w:rsid w:val="006006E9"/>
    <w:rsid w:val="00602BC3"/>
    <w:rsid w:val="00604264"/>
    <w:rsid w:val="006256F0"/>
    <w:rsid w:val="00626FEC"/>
    <w:rsid w:val="0063035E"/>
    <w:rsid w:val="006412C3"/>
    <w:rsid w:val="00642D80"/>
    <w:rsid w:val="0064458C"/>
    <w:rsid w:val="00647AD9"/>
    <w:rsid w:val="0065106A"/>
    <w:rsid w:val="006608D5"/>
    <w:rsid w:val="0067171E"/>
    <w:rsid w:val="0067325E"/>
    <w:rsid w:val="00675035"/>
    <w:rsid w:val="00686DAB"/>
    <w:rsid w:val="00694D91"/>
    <w:rsid w:val="0069724D"/>
    <w:rsid w:val="006A2ECB"/>
    <w:rsid w:val="006B185D"/>
    <w:rsid w:val="006B1BFD"/>
    <w:rsid w:val="006B2F5C"/>
    <w:rsid w:val="006B3896"/>
    <w:rsid w:val="006C2206"/>
    <w:rsid w:val="006C284E"/>
    <w:rsid w:val="006C4A4E"/>
    <w:rsid w:val="006D475C"/>
    <w:rsid w:val="006E0967"/>
    <w:rsid w:val="006E3A60"/>
    <w:rsid w:val="006F173C"/>
    <w:rsid w:val="006F3E6A"/>
    <w:rsid w:val="00705AA4"/>
    <w:rsid w:val="00707488"/>
    <w:rsid w:val="00711801"/>
    <w:rsid w:val="0071306E"/>
    <w:rsid w:val="00713CE7"/>
    <w:rsid w:val="00714E3C"/>
    <w:rsid w:val="007169A7"/>
    <w:rsid w:val="00722014"/>
    <w:rsid w:val="00723A31"/>
    <w:rsid w:val="007304E1"/>
    <w:rsid w:val="00737CFC"/>
    <w:rsid w:val="00741713"/>
    <w:rsid w:val="0074225C"/>
    <w:rsid w:val="00743630"/>
    <w:rsid w:val="0075130B"/>
    <w:rsid w:val="00761DAE"/>
    <w:rsid w:val="00767C09"/>
    <w:rsid w:val="0077055A"/>
    <w:rsid w:val="00776E86"/>
    <w:rsid w:val="00783FFC"/>
    <w:rsid w:val="00794E70"/>
    <w:rsid w:val="007A6558"/>
    <w:rsid w:val="007B4E3A"/>
    <w:rsid w:val="007C2360"/>
    <w:rsid w:val="007C6617"/>
    <w:rsid w:val="007D1CDF"/>
    <w:rsid w:val="007D2C91"/>
    <w:rsid w:val="007D4965"/>
    <w:rsid w:val="007D6AB7"/>
    <w:rsid w:val="007F0BC8"/>
    <w:rsid w:val="007F6161"/>
    <w:rsid w:val="007F6CAF"/>
    <w:rsid w:val="00800FA6"/>
    <w:rsid w:val="0081253A"/>
    <w:rsid w:val="00813525"/>
    <w:rsid w:val="00817478"/>
    <w:rsid w:val="0082078A"/>
    <w:rsid w:val="00824E5E"/>
    <w:rsid w:val="00827BB2"/>
    <w:rsid w:val="00832BD8"/>
    <w:rsid w:val="008421AD"/>
    <w:rsid w:val="008423E9"/>
    <w:rsid w:val="00842B2F"/>
    <w:rsid w:val="00844E45"/>
    <w:rsid w:val="00845251"/>
    <w:rsid w:val="00847EC5"/>
    <w:rsid w:val="008513DA"/>
    <w:rsid w:val="00860B49"/>
    <w:rsid w:val="00864831"/>
    <w:rsid w:val="00867CC9"/>
    <w:rsid w:val="00872C63"/>
    <w:rsid w:val="00872D8C"/>
    <w:rsid w:val="00874C07"/>
    <w:rsid w:val="008815E5"/>
    <w:rsid w:val="00885503"/>
    <w:rsid w:val="0088641E"/>
    <w:rsid w:val="00887B8C"/>
    <w:rsid w:val="00894A15"/>
    <w:rsid w:val="008A506F"/>
    <w:rsid w:val="008B035E"/>
    <w:rsid w:val="008B0606"/>
    <w:rsid w:val="008B498A"/>
    <w:rsid w:val="008B5118"/>
    <w:rsid w:val="008B64EE"/>
    <w:rsid w:val="008C1DA5"/>
    <w:rsid w:val="008D5B08"/>
    <w:rsid w:val="008D6115"/>
    <w:rsid w:val="008E0922"/>
    <w:rsid w:val="008E1656"/>
    <w:rsid w:val="008E3ECF"/>
    <w:rsid w:val="008E43B0"/>
    <w:rsid w:val="008E671B"/>
    <w:rsid w:val="008E7E6F"/>
    <w:rsid w:val="008F3C6E"/>
    <w:rsid w:val="00900948"/>
    <w:rsid w:val="00911003"/>
    <w:rsid w:val="00916FB2"/>
    <w:rsid w:val="00921A84"/>
    <w:rsid w:val="009245E3"/>
    <w:rsid w:val="00930D1D"/>
    <w:rsid w:val="00930FD1"/>
    <w:rsid w:val="00934967"/>
    <w:rsid w:val="00934DE2"/>
    <w:rsid w:val="0093501A"/>
    <w:rsid w:val="009430B7"/>
    <w:rsid w:val="0096034D"/>
    <w:rsid w:val="009818CD"/>
    <w:rsid w:val="00983883"/>
    <w:rsid w:val="00985604"/>
    <w:rsid w:val="00986C25"/>
    <w:rsid w:val="00994EB2"/>
    <w:rsid w:val="009A1D50"/>
    <w:rsid w:val="009A4BC6"/>
    <w:rsid w:val="009B055A"/>
    <w:rsid w:val="009B1794"/>
    <w:rsid w:val="009B306F"/>
    <w:rsid w:val="009B3C09"/>
    <w:rsid w:val="009B70F2"/>
    <w:rsid w:val="009B749A"/>
    <w:rsid w:val="009C51E3"/>
    <w:rsid w:val="009C5E20"/>
    <w:rsid w:val="009D59B4"/>
    <w:rsid w:val="009D7C70"/>
    <w:rsid w:val="009E0F57"/>
    <w:rsid w:val="009E2178"/>
    <w:rsid w:val="009E2576"/>
    <w:rsid w:val="009E49D7"/>
    <w:rsid w:val="009E57B3"/>
    <w:rsid w:val="009E58F4"/>
    <w:rsid w:val="009F056F"/>
    <w:rsid w:val="009F0CFE"/>
    <w:rsid w:val="009F16DB"/>
    <w:rsid w:val="009F2CC6"/>
    <w:rsid w:val="009F5635"/>
    <w:rsid w:val="009F58B7"/>
    <w:rsid w:val="00A042FB"/>
    <w:rsid w:val="00A07DB4"/>
    <w:rsid w:val="00A12AFE"/>
    <w:rsid w:val="00A12EA6"/>
    <w:rsid w:val="00A13D98"/>
    <w:rsid w:val="00A21801"/>
    <w:rsid w:val="00A22778"/>
    <w:rsid w:val="00A277C8"/>
    <w:rsid w:val="00A3594A"/>
    <w:rsid w:val="00A40DA0"/>
    <w:rsid w:val="00A43F20"/>
    <w:rsid w:val="00A47BAF"/>
    <w:rsid w:val="00A54740"/>
    <w:rsid w:val="00A5591A"/>
    <w:rsid w:val="00A56B6A"/>
    <w:rsid w:val="00A73977"/>
    <w:rsid w:val="00A746B6"/>
    <w:rsid w:val="00A81797"/>
    <w:rsid w:val="00A865F7"/>
    <w:rsid w:val="00A876FA"/>
    <w:rsid w:val="00A90223"/>
    <w:rsid w:val="00A935ED"/>
    <w:rsid w:val="00AB48BF"/>
    <w:rsid w:val="00AB601D"/>
    <w:rsid w:val="00AC254A"/>
    <w:rsid w:val="00AD22E5"/>
    <w:rsid w:val="00AD38EF"/>
    <w:rsid w:val="00AD73F8"/>
    <w:rsid w:val="00AE331E"/>
    <w:rsid w:val="00AE4B77"/>
    <w:rsid w:val="00AE6D82"/>
    <w:rsid w:val="00AF0BB8"/>
    <w:rsid w:val="00AF20D9"/>
    <w:rsid w:val="00AF2F66"/>
    <w:rsid w:val="00AF3FCF"/>
    <w:rsid w:val="00AF65B2"/>
    <w:rsid w:val="00B10697"/>
    <w:rsid w:val="00B14123"/>
    <w:rsid w:val="00B17BAE"/>
    <w:rsid w:val="00B20173"/>
    <w:rsid w:val="00B27424"/>
    <w:rsid w:val="00B37E28"/>
    <w:rsid w:val="00B4298F"/>
    <w:rsid w:val="00B4502A"/>
    <w:rsid w:val="00B50B18"/>
    <w:rsid w:val="00B50DA8"/>
    <w:rsid w:val="00B525B3"/>
    <w:rsid w:val="00B64B47"/>
    <w:rsid w:val="00B65A1D"/>
    <w:rsid w:val="00B73773"/>
    <w:rsid w:val="00B746EA"/>
    <w:rsid w:val="00B7538B"/>
    <w:rsid w:val="00B9015D"/>
    <w:rsid w:val="00B95832"/>
    <w:rsid w:val="00BA05F6"/>
    <w:rsid w:val="00BB2E89"/>
    <w:rsid w:val="00BB56B4"/>
    <w:rsid w:val="00BC3501"/>
    <w:rsid w:val="00BC35D7"/>
    <w:rsid w:val="00BC7089"/>
    <w:rsid w:val="00BD052B"/>
    <w:rsid w:val="00BD0D35"/>
    <w:rsid w:val="00BD7763"/>
    <w:rsid w:val="00BE010F"/>
    <w:rsid w:val="00BE14AF"/>
    <w:rsid w:val="00BE230A"/>
    <w:rsid w:val="00BE2E5F"/>
    <w:rsid w:val="00BF4E7B"/>
    <w:rsid w:val="00C07C1D"/>
    <w:rsid w:val="00C16BEC"/>
    <w:rsid w:val="00C17C4B"/>
    <w:rsid w:val="00C2385C"/>
    <w:rsid w:val="00C2518D"/>
    <w:rsid w:val="00C329BF"/>
    <w:rsid w:val="00C35775"/>
    <w:rsid w:val="00C37D2C"/>
    <w:rsid w:val="00C420EB"/>
    <w:rsid w:val="00C47A71"/>
    <w:rsid w:val="00C5083A"/>
    <w:rsid w:val="00C54A94"/>
    <w:rsid w:val="00C54E47"/>
    <w:rsid w:val="00C56A7A"/>
    <w:rsid w:val="00C60242"/>
    <w:rsid w:val="00C62AAC"/>
    <w:rsid w:val="00C67F87"/>
    <w:rsid w:val="00C75D8C"/>
    <w:rsid w:val="00C835DC"/>
    <w:rsid w:val="00C95870"/>
    <w:rsid w:val="00CA1388"/>
    <w:rsid w:val="00CA4859"/>
    <w:rsid w:val="00CA5DF0"/>
    <w:rsid w:val="00CB69EF"/>
    <w:rsid w:val="00CD36EC"/>
    <w:rsid w:val="00CD6E82"/>
    <w:rsid w:val="00CD727F"/>
    <w:rsid w:val="00CF0AAE"/>
    <w:rsid w:val="00CF2355"/>
    <w:rsid w:val="00CF57E2"/>
    <w:rsid w:val="00CF61F1"/>
    <w:rsid w:val="00D041F3"/>
    <w:rsid w:val="00D054CE"/>
    <w:rsid w:val="00D1007C"/>
    <w:rsid w:val="00D11A87"/>
    <w:rsid w:val="00D12FDA"/>
    <w:rsid w:val="00D1506C"/>
    <w:rsid w:val="00D27293"/>
    <w:rsid w:val="00D30CD2"/>
    <w:rsid w:val="00D33280"/>
    <w:rsid w:val="00D4034F"/>
    <w:rsid w:val="00D41313"/>
    <w:rsid w:val="00D42D34"/>
    <w:rsid w:val="00D57C77"/>
    <w:rsid w:val="00D61C1C"/>
    <w:rsid w:val="00D63C92"/>
    <w:rsid w:val="00D64290"/>
    <w:rsid w:val="00D66B05"/>
    <w:rsid w:val="00D73946"/>
    <w:rsid w:val="00D74039"/>
    <w:rsid w:val="00D74699"/>
    <w:rsid w:val="00D74C28"/>
    <w:rsid w:val="00D751F7"/>
    <w:rsid w:val="00D75FC5"/>
    <w:rsid w:val="00D80799"/>
    <w:rsid w:val="00D80EFE"/>
    <w:rsid w:val="00D82242"/>
    <w:rsid w:val="00D9056E"/>
    <w:rsid w:val="00DB0FF8"/>
    <w:rsid w:val="00DB3988"/>
    <w:rsid w:val="00DB609C"/>
    <w:rsid w:val="00DB6DF4"/>
    <w:rsid w:val="00DC34FE"/>
    <w:rsid w:val="00DC3880"/>
    <w:rsid w:val="00DC5D4E"/>
    <w:rsid w:val="00DF026E"/>
    <w:rsid w:val="00DF42FA"/>
    <w:rsid w:val="00E04F28"/>
    <w:rsid w:val="00E076D9"/>
    <w:rsid w:val="00E124D9"/>
    <w:rsid w:val="00E23261"/>
    <w:rsid w:val="00E351D2"/>
    <w:rsid w:val="00E41B3B"/>
    <w:rsid w:val="00E4560A"/>
    <w:rsid w:val="00E46481"/>
    <w:rsid w:val="00E62BA8"/>
    <w:rsid w:val="00E6403F"/>
    <w:rsid w:val="00E720A1"/>
    <w:rsid w:val="00E859F6"/>
    <w:rsid w:val="00E91711"/>
    <w:rsid w:val="00EA0267"/>
    <w:rsid w:val="00EA366F"/>
    <w:rsid w:val="00EA4494"/>
    <w:rsid w:val="00EA4694"/>
    <w:rsid w:val="00EA53BC"/>
    <w:rsid w:val="00EA772C"/>
    <w:rsid w:val="00EB0998"/>
    <w:rsid w:val="00EB3409"/>
    <w:rsid w:val="00EB6789"/>
    <w:rsid w:val="00EB68CA"/>
    <w:rsid w:val="00EB72F0"/>
    <w:rsid w:val="00EB7544"/>
    <w:rsid w:val="00EB7E33"/>
    <w:rsid w:val="00EC26FA"/>
    <w:rsid w:val="00EC656F"/>
    <w:rsid w:val="00ED41DB"/>
    <w:rsid w:val="00ED5EB2"/>
    <w:rsid w:val="00ED6698"/>
    <w:rsid w:val="00EE0CC3"/>
    <w:rsid w:val="00EE30A7"/>
    <w:rsid w:val="00EE5BEA"/>
    <w:rsid w:val="00EE60BD"/>
    <w:rsid w:val="00EE7D80"/>
    <w:rsid w:val="00EF42C6"/>
    <w:rsid w:val="00EF5AB6"/>
    <w:rsid w:val="00F01A9C"/>
    <w:rsid w:val="00F0207F"/>
    <w:rsid w:val="00F03D4D"/>
    <w:rsid w:val="00F03E82"/>
    <w:rsid w:val="00F03F04"/>
    <w:rsid w:val="00F10381"/>
    <w:rsid w:val="00F15E87"/>
    <w:rsid w:val="00F17325"/>
    <w:rsid w:val="00F22A51"/>
    <w:rsid w:val="00F23D70"/>
    <w:rsid w:val="00F30533"/>
    <w:rsid w:val="00F37486"/>
    <w:rsid w:val="00F37A15"/>
    <w:rsid w:val="00F43182"/>
    <w:rsid w:val="00F43BFA"/>
    <w:rsid w:val="00F43D96"/>
    <w:rsid w:val="00F467DF"/>
    <w:rsid w:val="00F81166"/>
    <w:rsid w:val="00F96266"/>
    <w:rsid w:val="00FA756B"/>
    <w:rsid w:val="00FB356C"/>
    <w:rsid w:val="00FB6D8A"/>
    <w:rsid w:val="00FB766B"/>
    <w:rsid w:val="00FC1F8B"/>
    <w:rsid w:val="00FC4D24"/>
    <w:rsid w:val="00FC7BE2"/>
    <w:rsid w:val="00FD18BF"/>
    <w:rsid w:val="00FD1E36"/>
    <w:rsid w:val="00FD47C3"/>
    <w:rsid w:val="00FD6355"/>
    <w:rsid w:val="00FD65A5"/>
    <w:rsid w:val="00FD79AD"/>
    <w:rsid w:val="00FE4287"/>
    <w:rsid w:val="00FF109F"/>
    <w:rsid w:val="00FF2F56"/>
    <w:rsid w:val="00FF3AEF"/>
    <w:rsid w:val="00FF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5AB88B"/>
  <w15:docId w15:val="{D17C1AD5-40B2-42CF-987A-CA63854AD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F3E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F3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3E6A"/>
  </w:style>
  <w:style w:type="paragraph" w:styleId="Footer">
    <w:name w:val="footer"/>
    <w:basedOn w:val="Normal"/>
    <w:link w:val="FooterChar"/>
    <w:uiPriority w:val="99"/>
    <w:unhideWhenUsed/>
    <w:rsid w:val="006F3E6A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3E6A"/>
  </w:style>
  <w:style w:type="character" w:styleId="Hyperlink">
    <w:name w:val="Hyperlink"/>
    <w:basedOn w:val="DefaultParagraphFont"/>
    <w:uiPriority w:val="99"/>
    <w:unhideWhenUsed/>
    <w:rsid w:val="00084CF5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1253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81253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81253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253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253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81253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125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25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3</Pages>
  <Words>445</Words>
  <Characters>2541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Universitair Medisch Centrum Groningen</Company>
  <LinksUpToDate>false</LinksUpToDate>
  <CharactersWithSpaces>2981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Habtewold, TD (epi)</dc:creator>
  <cp:lastModifiedBy>Melkamu Merid</cp:lastModifiedBy>
  <cp:revision>12</cp:revision>
  <dcterms:created xsi:type="dcterms:W3CDTF">2018-02-09T11:37:00Z</dcterms:created>
  <dcterms:modified xsi:type="dcterms:W3CDTF">2018-08-11T02:30:00Z</dcterms:modified>
</cp:coreProperties>
</file>