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FE" w:rsidRPr="00AE35DE" w:rsidRDefault="007B0E69" w:rsidP="004531D0">
      <w:pPr>
        <w:pStyle w:val="Heading1"/>
        <w:spacing w:after="120"/>
        <w:rPr>
          <w:rFonts w:ascii="Times New Roman" w:hAnsi="Times New Roman"/>
          <w:lang w:val="en-GB"/>
        </w:rPr>
      </w:pPr>
      <w:r w:rsidRPr="00AE35DE">
        <w:rPr>
          <w:rFonts w:ascii="Times New Roman" w:hAnsi="Times New Roman"/>
          <w:lang w:val="en-GB" w:eastAsia="it-IT"/>
        </w:rPr>
        <w:t>Robust identification of bacterial</w:t>
      </w:r>
      <w:r w:rsidR="000E3FFE" w:rsidRPr="00AE35DE">
        <w:rPr>
          <w:rFonts w:ascii="Times New Roman" w:hAnsi="Times New Roman"/>
          <w:lang w:val="en-GB" w:eastAsia="it-IT"/>
        </w:rPr>
        <w:t xml:space="preserve"> 16S sequences</w:t>
      </w:r>
    </w:p>
    <w:p w:rsidR="00041A91" w:rsidRPr="00AE35DE" w:rsidRDefault="007B0E69" w:rsidP="00F44624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lang w:val="en-GB"/>
        </w:rPr>
        <w:t xml:space="preserve">To robustly identify only bacterial 16S in the </w:t>
      </w:r>
      <w:r w:rsidR="00041A91" w:rsidRPr="00AE35DE">
        <w:rPr>
          <w:lang w:val="en-GB"/>
        </w:rPr>
        <w:t>GreenGenes</w:t>
      </w:r>
      <w:r w:rsidR="00B677A3" w:rsidRPr="00AE35DE">
        <w:rPr>
          <w:lang w:val="en-GB"/>
        </w:rPr>
        <w:t xml:space="preserve"> annotation</w:t>
      </w:r>
      <w:r w:rsidRPr="00AE35DE">
        <w:rPr>
          <w:lang w:val="en-GB"/>
        </w:rPr>
        <w:t xml:space="preserve">, discarding </w:t>
      </w:r>
      <w:r w:rsidR="00041A91" w:rsidRPr="00AE35DE">
        <w:rPr>
          <w:lang w:val="en-GB"/>
        </w:rPr>
        <w:t xml:space="preserve">sequences </w:t>
      </w:r>
      <w:r w:rsidRPr="00AE35DE">
        <w:rPr>
          <w:lang w:val="en-GB"/>
        </w:rPr>
        <w:t xml:space="preserve">possibly </w:t>
      </w:r>
      <w:r w:rsidR="00041A91" w:rsidRPr="00AE35DE">
        <w:rPr>
          <w:lang w:val="en-GB"/>
        </w:rPr>
        <w:t xml:space="preserve">belonging to </w:t>
      </w:r>
      <w:r w:rsidRPr="00AE35DE">
        <w:rPr>
          <w:lang w:val="en-GB"/>
        </w:rPr>
        <w:t xml:space="preserve">archaea, </w:t>
      </w:r>
      <w:r w:rsidR="00041A91" w:rsidRPr="00AE35DE">
        <w:rPr>
          <w:lang w:val="en-GB"/>
        </w:rPr>
        <w:t>eukaryotes or viruses</w:t>
      </w:r>
      <w:r w:rsidRPr="00AE35DE">
        <w:rPr>
          <w:lang w:val="en-GB"/>
        </w:rPr>
        <w:t>,</w:t>
      </w:r>
      <w:r w:rsidR="00041A91" w:rsidRPr="00AE35DE">
        <w:rPr>
          <w:lang w:val="en-GB"/>
        </w:rPr>
        <w:t xml:space="preserve"> we </w:t>
      </w:r>
      <w:r w:rsidRPr="00AE35DE">
        <w:rPr>
          <w:lang w:val="en-GB"/>
        </w:rPr>
        <w:t>leveraged</w:t>
      </w:r>
      <w:r w:rsidR="00041A91" w:rsidRPr="00AE35DE">
        <w:rPr>
          <w:lang w:val="en-GB"/>
        </w:rPr>
        <w:t xml:space="preserve"> on the NCBI taxonomy</w:t>
      </w:r>
      <w:r w:rsidR="00006D38" w:rsidRPr="00AE35DE">
        <w:rPr>
          <w:lang w:val="en-GB"/>
        </w:rPr>
        <w:t xml:space="preserve"> [1]</w:t>
      </w:r>
      <w:r w:rsidRPr="00AE35DE">
        <w:rPr>
          <w:lang w:val="en-GB"/>
        </w:rPr>
        <w:t>.</w:t>
      </w:r>
    </w:p>
    <w:p w:rsidR="00041A91" w:rsidRPr="00AE35DE" w:rsidRDefault="007B0E69" w:rsidP="00F44624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lang w:val="en-GB"/>
        </w:rPr>
        <w:t xml:space="preserve">However, since </w:t>
      </w:r>
      <w:r w:rsidR="00041A91" w:rsidRPr="00AE35DE">
        <w:rPr>
          <w:lang w:val="en-GB"/>
        </w:rPr>
        <w:t xml:space="preserve">domain information is missing from NCBI annotation for around 20% of the sequences (called </w:t>
      </w:r>
      <w:r w:rsidR="00041A91" w:rsidRPr="00AE35DE">
        <w:rPr>
          <w:i/>
          <w:lang w:val="en-GB"/>
        </w:rPr>
        <w:t>unknown</w:t>
      </w:r>
      <w:r w:rsidR="00041A91" w:rsidRPr="00AE35DE">
        <w:rPr>
          <w:lang w:val="en-GB"/>
        </w:rPr>
        <w:t xml:space="preserve"> sequences from here on), we designed an </w:t>
      </w:r>
      <w:r w:rsidR="00041A91" w:rsidRPr="00AE35DE">
        <w:rPr>
          <w:i/>
          <w:lang w:val="en-GB"/>
        </w:rPr>
        <w:t>ad hoc</w:t>
      </w:r>
      <w:r w:rsidR="00041A91" w:rsidRPr="00AE35DE">
        <w:rPr>
          <w:lang w:val="en-GB"/>
        </w:rPr>
        <w:t xml:space="preserve"> procedure to re-annotate each </w:t>
      </w:r>
      <w:r w:rsidR="00F44624" w:rsidRPr="00AE35DE">
        <w:rPr>
          <w:lang w:val="en-GB"/>
        </w:rPr>
        <w:t xml:space="preserve">of these </w:t>
      </w:r>
      <w:r w:rsidR="00041A91" w:rsidRPr="00AE35DE">
        <w:rPr>
          <w:lang w:val="en-GB"/>
        </w:rPr>
        <w:t>sequence</w:t>
      </w:r>
      <w:r w:rsidR="00F44624" w:rsidRPr="00AE35DE">
        <w:rPr>
          <w:lang w:val="en-GB"/>
        </w:rPr>
        <w:t>s</w:t>
      </w:r>
      <w:r w:rsidR="00041A91" w:rsidRPr="00AE35DE">
        <w:rPr>
          <w:lang w:val="en-GB"/>
        </w:rPr>
        <w:t xml:space="preserve">. We compared all 16S sequences with the </w:t>
      </w:r>
      <w:r w:rsidR="00041A91" w:rsidRPr="00AE35DE">
        <w:rPr>
          <w:i/>
          <w:lang w:val="en-GB"/>
        </w:rPr>
        <w:t>Escherichia coli</w:t>
      </w:r>
      <w:r w:rsidR="00041A91" w:rsidRPr="00AE35DE">
        <w:rPr>
          <w:lang w:val="en-GB"/>
        </w:rPr>
        <w:t xml:space="preserve"> 16S (</w:t>
      </w:r>
      <w:r w:rsidRPr="00AE35DE">
        <w:rPr>
          <w:lang w:val="en-GB"/>
        </w:rPr>
        <w:t>Genbank: AX039566.1</w:t>
      </w:r>
      <w:r w:rsidR="00041A91" w:rsidRPr="00AE35DE">
        <w:rPr>
          <w:lang w:val="en-GB"/>
        </w:rPr>
        <w:t xml:space="preserve">), here used as model organism, using the </w:t>
      </w:r>
      <w:r w:rsidR="00041A91" w:rsidRPr="00AE35DE">
        <w:rPr>
          <w:i/>
          <w:lang w:val="en-GB"/>
        </w:rPr>
        <w:t>ssearch36</w:t>
      </w:r>
      <w:r w:rsidR="00041A91" w:rsidRPr="00AE35DE">
        <w:rPr>
          <w:lang w:val="en-GB"/>
        </w:rPr>
        <w:t xml:space="preserve"> function of the fasta-36 package</w:t>
      </w:r>
      <w:r w:rsidR="00006D38" w:rsidRPr="00AE35DE">
        <w:rPr>
          <w:lang w:val="en-GB"/>
        </w:rPr>
        <w:t xml:space="preserve"> [2]</w:t>
      </w:r>
      <w:r w:rsidR="00041A91" w:rsidRPr="00AE35DE">
        <w:rPr>
          <w:lang w:val="en-GB"/>
        </w:rPr>
        <w:t>. We scored each alignment considering the following indices:</w:t>
      </w:r>
    </w:p>
    <w:p w:rsidR="00041A91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Aid:</w:t>
      </w:r>
      <w:r w:rsidRPr="00AE35DE">
        <w:rPr>
          <w:lang w:val="en-GB"/>
        </w:rPr>
        <w:t xml:space="preserve"> per</w:t>
      </w:r>
      <w:bookmarkStart w:id="0" w:name="_GoBack"/>
      <w:bookmarkEnd w:id="0"/>
      <w:r w:rsidRPr="00AE35DE">
        <w:rPr>
          <w:lang w:val="en-GB"/>
        </w:rPr>
        <w:t>centage identity</w:t>
      </w:r>
      <w:r w:rsidR="000E3FFE" w:rsidRPr="00AE35DE">
        <w:rPr>
          <w:lang w:val="en-GB"/>
        </w:rPr>
        <w:t xml:space="preserve">; </w:t>
      </w:r>
      <w:r w:rsidRPr="00AE35DE">
        <w:rPr>
          <w:lang w:val="en-GB"/>
        </w:rPr>
        <w:t xml:space="preserve">see BLAST Glossary </w:t>
      </w:r>
      <w:bookmarkStart w:id="1" w:name="OLE_LINK11"/>
      <w:bookmarkStart w:id="2" w:name="OLE_LINK12"/>
      <w:bookmarkStart w:id="3" w:name="OLE_LINK13"/>
      <w:r w:rsidR="00006D38" w:rsidRPr="00AE35DE">
        <w:rPr>
          <w:lang w:val="en-GB"/>
        </w:rPr>
        <w:t>[3]</w:t>
      </w:r>
      <w:bookmarkEnd w:id="1"/>
      <w:bookmarkEnd w:id="2"/>
      <w:bookmarkEnd w:id="3"/>
      <w:r w:rsidRPr="00AE35DE">
        <w:rPr>
          <w:lang w:val="en-GB"/>
        </w:rPr>
        <w:t>;</w:t>
      </w:r>
    </w:p>
    <w:p w:rsidR="00041A91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Mism:</w:t>
      </w:r>
      <w:r w:rsidRPr="00AE35DE">
        <w:rPr>
          <w:lang w:val="en-GB"/>
        </w:rPr>
        <w:t xml:space="preserve"> number of mismatches;</w:t>
      </w:r>
    </w:p>
    <w:p w:rsidR="00041A91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Gap:</w:t>
      </w:r>
      <w:r w:rsidRPr="00AE35DE">
        <w:rPr>
          <w:lang w:val="en-GB"/>
        </w:rPr>
        <w:t xml:space="preserve"> number of gap nucleotides;</w:t>
      </w:r>
    </w:p>
    <w:p w:rsidR="00041A91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E value:</w:t>
      </w:r>
      <w:r w:rsidR="000E3FFE" w:rsidRPr="00AE35DE">
        <w:rPr>
          <w:lang w:val="en-GB"/>
        </w:rPr>
        <w:t xml:space="preserve"> transformed to log-scale; see BLAST Glossary </w:t>
      </w:r>
      <w:r w:rsidR="00006D38" w:rsidRPr="00AE35DE">
        <w:rPr>
          <w:lang w:val="en-GB"/>
        </w:rPr>
        <w:t>[3]</w:t>
      </w:r>
      <w:r w:rsidR="000E3FFE" w:rsidRPr="00AE35DE">
        <w:rPr>
          <w:lang w:val="en-GB"/>
        </w:rPr>
        <w:t>;</w:t>
      </w:r>
    </w:p>
    <w:p w:rsidR="000E3FFE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Bit score:</w:t>
      </w:r>
      <w:r w:rsidRPr="00AE35DE">
        <w:rPr>
          <w:lang w:val="en-GB"/>
        </w:rPr>
        <w:t xml:space="preserve"> </w:t>
      </w:r>
      <w:r w:rsidR="000E3FFE" w:rsidRPr="00AE35DE">
        <w:rPr>
          <w:lang w:val="en-GB"/>
        </w:rPr>
        <w:t xml:space="preserve">see BLAST Glossary </w:t>
      </w:r>
      <w:r w:rsidR="00006D38" w:rsidRPr="00AE35DE">
        <w:rPr>
          <w:lang w:val="en-GB"/>
        </w:rPr>
        <w:t>[3]</w:t>
      </w:r>
      <w:r w:rsidR="000E3FFE" w:rsidRPr="00AE35DE">
        <w:rPr>
          <w:lang w:val="en-GB"/>
        </w:rPr>
        <w:t>;</w:t>
      </w:r>
    </w:p>
    <w:p w:rsidR="00041A91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Alen1:</w:t>
      </w:r>
      <w:r w:rsidRPr="00AE35DE">
        <w:rPr>
          <w:lang w:val="en-GB"/>
        </w:rPr>
        <w:t xml:space="preserve"> ratio between alignment length and 16S sequence length;</w:t>
      </w:r>
    </w:p>
    <w:p w:rsidR="00041A91" w:rsidRPr="00AE35DE" w:rsidRDefault="00041A91" w:rsidP="004531D0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b/>
          <w:lang w:val="en-GB"/>
        </w:rPr>
        <w:t>Alen2:</w:t>
      </w:r>
      <w:r w:rsidRPr="00AE35DE">
        <w:rPr>
          <w:lang w:val="en-GB"/>
        </w:rPr>
        <w:t xml:space="preserve"> ratio between the portion of 16S sequence aligned and total 16S length.</w:t>
      </w:r>
    </w:p>
    <w:p w:rsidR="00041A91" w:rsidRPr="00AE35DE" w:rsidRDefault="00041A91" w:rsidP="004531D0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lang w:val="en-GB"/>
        </w:rPr>
        <w:t>Secondary alignments with Aid&lt;50% were discarded</w:t>
      </w:r>
      <w:r w:rsidR="007B0E69" w:rsidRPr="00AE35DE">
        <w:rPr>
          <w:lang w:val="en-GB"/>
        </w:rPr>
        <w:t xml:space="preserve">, </w:t>
      </w:r>
      <w:r w:rsidR="00F44624" w:rsidRPr="00AE35DE">
        <w:rPr>
          <w:lang w:val="en-GB"/>
        </w:rPr>
        <w:t>in order</w:t>
      </w:r>
      <w:r w:rsidR="007B0E69" w:rsidRPr="00AE35DE">
        <w:rPr>
          <w:lang w:val="en-GB"/>
        </w:rPr>
        <w:t xml:space="preserve"> to keep only the best alignment for each sequence</w:t>
      </w:r>
      <w:r w:rsidRPr="00AE35DE">
        <w:rPr>
          <w:lang w:val="en-GB"/>
        </w:rPr>
        <w:t xml:space="preserve">. The annotated sequences were used to identify the values of the seven indices defined above that separate Bacteria </w:t>
      </w:r>
      <w:r w:rsidR="000E3FFE" w:rsidRPr="00AE35DE">
        <w:rPr>
          <w:lang w:val="en-GB"/>
        </w:rPr>
        <w:t>from</w:t>
      </w:r>
      <w:r w:rsidRPr="00AE35DE">
        <w:rPr>
          <w:lang w:val="en-GB"/>
        </w:rPr>
        <w:t xml:space="preserve"> Archaea, minimizing false positives (FPs), i.e. Archaea classified as Bacteria, and false negative (FNs), i.e. Bacteria classified as Archaea. In particular, for each index, we identified a condition and a threshold that guarantee </w:t>
      </w:r>
      <w:r w:rsidR="000E3FFE" w:rsidRPr="00AE35DE">
        <w:rPr>
          <w:lang w:val="en-GB"/>
        </w:rPr>
        <w:t>F</w:t>
      </w:r>
      <w:r w:rsidRPr="00AE35DE">
        <w:rPr>
          <w:lang w:val="en-GB"/>
        </w:rPr>
        <w:t xml:space="preserve">Ps=FNs </w:t>
      </w:r>
      <w:r w:rsidR="000E3FFE" w:rsidRPr="00AE35DE">
        <w:rPr>
          <w:lang w:val="en-GB"/>
        </w:rPr>
        <w:t>(Table S1).</w:t>
      </w:r>
    </w:p>
    <w:p w:rsidR="001B4012" w:rsidRPr="00AE35DE" w:rsidRDefault="001B4012" w:rsidP="001B4012">
      <w:pPr>
        <w:spacing w:after="120" w:line="360" w:lineRule="auto"/>
        <w:jc w:val="both"/>
        <w:rPr>
          <w:lang w:val="en-GB"/>
        </w:rPr>
      </w:pPr>
      <w:r w:rsidRPr="00AE35DE">
        <w:rPr>
          <w:b/>
          <w:bCs/>
          <w:lang w:val="en-GB"/>
        </w:rPr>
        <w:t xml:space="preserve">Table </w:t>
      </w:r>
      <w:proofErr w:type="spellStart"/>
      <w:r w:rsidRPr="00AE35DE">
        <w:rPr>
          <w:b/>
          <w:bCs/>
          <w:lang w:val="en-GB"/>
        </w:rPr>
        <w:t>S1</w:t>
      </w:r>
      <w:proofErr w:type="spellEnd"/>
      <w:r w:rsidRPr="00AE35DE">
        <w:rPr>
          <w:b/>
          <w:bCs/>
          <w:lang w:val="en-GB"/>
        </w:rPr>
        <w:t>.</w:t>
      </w:r>
      <w:r w:rsidRPr="00AE35DE">
        <w:rPr>
          <w:lang w:val="en-GB"/>
        </w:rPr>
        <w:t xml:space="preserve"> Index conditions and thresholds for the identification of bacterial 16S.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44"/>
        <w:gridCol w:w="1270"/>
      </w:tblGrid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b/>
                <w:color w:val="000000"/>
                <w:lang w:val="en-GB"/>
              </w:rPr>
            </w:pPr>
            <w:r w:rsidRPr="00AE35DE">
              <w:rPr>
                <w:b/>
                <w:color w:val="000000"/>
                <w:lang w:val="en-GB"/>
              </w:rPr>
              <w:t>Index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b/>
                <w:color w:val="000000"/>
                <w:lang w:val="en-GB"/>
              </w:rPr>
            </w:pPr>
            <w:r w:rsidRPr="00AE35DE">
              <w:rPr>
                <w:b/>
                <w:color w:val="000000"/>
                <w:lang w:val="en-GB"/>
              </w:rPr>
              <w:t>Condition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b/>
                <w:color w:val="000000"/>
                <w:lang w:val="en-GB"/>
              </w:rPr>
            </w:pPr>
            <w:r w:rsidRPr="00AE35DE">
              <w:rPr>
                <w:b/>
                <w:color w:val="000000"/>
                <w:lang w:val="en-GB"/>
              </w:rPr>
              <w:t>Threshold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Aid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greater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64.51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Mism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less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410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Gap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less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87.35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E value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less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-140.4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Bit score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greater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479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Alen1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greater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0.99</w:t>
            </w:r>
          </w:p>
        </w:tc>
      </w:tr>
      <w:tr w:rsidR="001B4012" w:rsidRPr="00AE35DE" w:rsidTr="002B096D">
        <w:trPr>
          <w:jc w:val="center"/>
        </w:trPr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Alen2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263D43">
            <w:pPr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greater</w:t>
            </w:r>
          </w:p>
        </w:tc>
        <w:tc>
          <w:tcPr>
            <w:tcW w:w="0" w:type="auto"/>
            <w:vAlign w:val="bottom"/>
          </w:tcPr>
          <w:p w:rsidR="001B4012" w:rsidRPr="00AE35DE" w:rsidRDefault="001B4012" w:rsidP="001B4012">
            <w:pPr>
              <w:jc w:val="right"/>
              <w:rPr>
                <w:color w:val="000000"/>
                <w:lang w:val="en-GB"/>
              </w:rPr>
            </w:pPr>
            <w:r w:rsidRPr="00AE35DE">
              <w:rPr>
                <w:color w:val="000000"/>
                <w:lang w:val="en-GB"/>
              </w:rPr>
              <w:t>0.95</w:t>
            </w:r>
          </w:p>
        </w:tc>
      </w:tr>
    </w:tbl>
    <w:p w:rsidR="001B4012" w:rsidRPr="00AE35DE" w:rsidRDefault="001B4012" w:rsidP="001B4012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</w:p>
    <w:p w:rsidR="001B4012" w:rsidRPr="00AE35DE" w:rsidRDefault="001B4012" w:rsidP="001B4012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lang w:val="en-GB"/>
        </w:rPr>
        <w:lastRenderedPageBreak/>
        <w:t xml:space="preserve">The identified conditions were then used to classify the unknown sequences: 92% of the unknown sequences satisfied the criteria of </w:t>
      </w:r>
      <w:r w:rsidR="007B0E69" w:rsidRPr="00AE35DE">
        <w:rPr>
          <w:lang w:val="en-GB"/>
        </w:rPr>
        <w:t xml:space="preserve">Supplementary </w:t>
      </w:r>
      <w:r w:rsidRPr="00AE35DE">
        <w:rPr>
          <w:lang w:val="en-GB"/>
        </w:rPr>
        <w:t xml:space="preserve">Table S1 and were assigned to the Bacteria domain. </w:t>
      </w:r>
    </w:p>
    <w:p w:rsidR="009C54D1" w:rsidRPr="00AE35DE" w:rsidRDefault="007B0E69" w:rsidP="009C54D1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  <w:r w:rsidRPr="00AE35DE">
        <w:rPr>
          <w:lang w:val="en-GB"/>
        </w:rPr>
        <w:t xml:space="preserve">Finally, to </w:t>
      </w:r>
      <w:r w:rsidR="001B4012" w:rsidRPr="00AE35DE">
        <w:rPr>
          <w:lang w:val="en-GB"/>
        </w:rPr>
        <w:t xml:space="preserve">select bacteria </w:t>
      </w:r>
      <w:r w:rsidR="00B677A3" w:rsidRPr="00AE35DE">
        <w:rPr>
          <w:lang w:val="en-GB"/>
        </w:rPr>
        <w:t xml:space="preserve">representative </w:t>
      </w:r>
      <w:r w:rsidR="001B4012" w:rsidRPr="00AE35DE">
        <w:rPr>
          <w:lang w:val="en-GB"/>
        </w:rPr>
        <w:t>sequence</w:t>
      </w:r>
      <w:r w:rsidR="00B177F5" w:rsidRPr="00AE35DE">
        <w:rPr>
          <w:lang w:val="en-GB"/>
        </w:rPr>
        <w:t>s</w:t>
      </w:r>
      <w:r w:rsidR="001B4012" w:rsidRPr="00AE35DE">
        <w:rPr>
          <w:lang w:val="en-GB"/>
        </w:rPr>
        <w:t xml:space="preserve"> from the database, we conservatively consider</w:t>
      </w:r>
      <w:r w:rsidRPr="00AE35DE">
        <w:rPr>
          <w:lang w:val="en-GB"/>
        </w:rPr>
        <w:t>ed</w:t>
      </w:r>
      <w:r w:rsidR="001B4012" w:rsidRPr="00AE35DE">
        <w:rPr>
          <w:lang w:val="en-GB"/>
        </w:rPr>
        <w:t xml:space="preserve"> only the sequences annotated as such both in our curated NCBI-based annotation and in the original GreenGenes annotation. This resulted in a set of 4573 representative 16S sequences belonging to the Bacteria domain from the GreenGenes 85% representative set.</w:t>
      </w:r>
    </w:p>
    <w:p w:rsidR="00FC04C9" w:rsidRPr="00AE35DE" w:rsidRDefault="00FC04C9">
      <w:pPr>
        <w:rPr>
          <w:lang w:val="en-GB"/>
        </w:rPr>
      </w:pPr>
    </w:p>
    <w:p w:rsidR="00FC04C9" w:rsidRPr="00AE35DE" w:rsidRDefault="00FC04C9" w:rsidP="00FC04C9">
      <w:pPr>
        <w:pStyle w:val="Heading1"/>
        <w:rPr>
          <w:rFonts w:ascii="Times New Roman" w:hAnsi="Times New Roman"/>
          <w:lang w:val="en-GB"/>
        </w:rPr>
      </w:pPr>
      <w:r w:rsidRPr="00AE35DE">
        <w:rPr>
          <w:rFonts w:ascii="Times New Roman" w:hAnsi="Times New Roman"/>
          <w:lang w:val="en-GB"/>
        </w:rPr>
        <w:t>Reference</w:t>
      </w:r>
    </w:p>
    <w:p w:rsidR="00FC04C9" w:rsidRPr="00AE35DE" w:rsidRDefault="00FC04C9" w:rsidP="00FC04C9">
      <w:pPr>
        <w:pStyle w:val="NormalWeb"/>
        <w:spacing w:before="0" w:beforeAutospacing="0" w:after="0" w:afterAutospacing="0"/>
        <w:rPr>
          <w:lang w:val="en-GB"/>
        </w:rPr>
      </w:pPr>
    </w:p>
    <w:p w:rsidR="00FC04C9" w:rsidRPr="00AE35DE" w:rsidRDefault="00006D38" w:rsidP="00FC04C9">
      <w:pPr>
        <w:pStyle w:val="NormalWeb"/>
        <w:spacing w:before="0" w:beforeAutospacing="0" w:after="0" w:afterAutospacing="0"/>
        <w:rPr>
          <w:lang w:val="en-GB"/>
        </w:rPr>
      </w:pPr>
      <w:r w:rsidRPr="00AE35DE">
        <w:rPr>
          <w:lang w:val="en-GB"/>
        </w:rPr>
        <w:t xml:space="preserve">[1] </w:t>
      </w:r>
      <w:r w:rsidRPr="00292B57">
        <w:rPr>
          <w:lang w:val="en-US"/>
        </w:rPr>
        <w:t>Acland A, Agarwala R, Barrett T, Beck J, Benson DA, Bollin C, Bolton E, Bryant SH, Canese K, Church DM, Clark K.</w:t>
      </w:r>
      <w:r w:rsidRPr="00AE35DE">
        <w:rPr>
          <w:lang w:val="en-GB"/>
        </w:rPr>
        <w:t xml:space="preserve"> </w:t>
      </w:r>
      <w:bookmarkStart w:id="4" w:name="OLE_LINK6"/>
      <w:r w:rsidR="00FC04C9" w:rsidRPr="00AE35DE">
        <w:rPr>
          <w:lang w:val="en-GB"/>
        </w:rPr>
        <w:t>Database resources of the National Center for Biotechnology Information</w:t>
      </w:r>
      <w:bookmarkEnd w:id="4"/>
      <w:r w:rsidR="00FC04C9" w:rsidRPr="00AE35DE">
        <w:rPr>
          <w:lang w:val="en-GB"/>
        </w:rPr>
        <w:t xml:space="preserve">. </w:t>
      </w:r>
      <w:r w:rsidR="00FC04C9" w:rsidRPr="00AE35DE">
        <w:rPr>
          <w:i/>
          <w:lang w:val="en-GB"/>
        </w:rPr>
        <w:t>Nucleic Acids Research</w:t>
      </w:r>
      <w:r w:rsidRPr="00AE35DE">
        <w:rPr>
          <w:lang w:val="en-GB"/>
        </w:rPr>
        <w:t>. 2014;</w:t>
      </w:r>
      <w:r w:rsidR="00FC04C9" w:rsidRPr="00AE35DE">
        <w:rPr>
          <w:lang w:val="en-GB"/>
        </w:rPr>
        <w:t>42(D1)</w:t>
      </w:r>
      <w:r w:rsidRPr="00AE35DE">
        <w:rPr>
          <w:lang w:val="en-GB"/>
        </w:rPr>
        <w:t>:</w:t>
      </w:r>
      <w:r w:rsidR="00FC04C9" w:rsidRPr="00AE35DE">
        <w:rPr>
          <w:lang w:val="en-GB"/>
        </w:rPr>
        <w:t>D7--D17</w:t>
      </w:r>
    </w:p>
    <w:p w:rsidR="00FC04C9" w:rsidRPr="00AE35DE" w:rsidRDefault="00FC04C9" w:rsidP="00FC04C9">
      <w:pPr>
        <w:pStyle w:val="NormalWeb"/>
        <w:spacing w:before="0" w:beforeAutospacing="0" w:after="0" w:afterAutospacing="0"/>
        <w:rPr>
          <w:lang w:val="en-GB"/>
        </w:rPr>
      </w:pPr>
    </w:p>
    <w:p w:rsidR="00FC04C9" w:rsidRPr="00AE35DE" w:rsidRDefault="00006D38" w:rsidP="00006D38">
      <w:pPr>
        <w:autoSpaceDE w:val="0"/>
        <w:autoSpaceDN w:val="0"/>
        <w:adjustRightInd w:val="0"/>
        <w:rPr>
          <w:color w:val="000000"/>
          <w:lang w:val="en-GB"/>
        </w:rPr>
      </w:pPr>
      <w:r w:rsidRPr="00AE35DE">
        <w:rPr>
          <w:lang w:val="en-GB" w:eastAsia="it-IT"/>
        </w:rPr>
        <w:t xml:space="preserve">[2] </w:t>
      </w:r>
      <w:bookmarkStart w:id="5" w:name="OLE_LINK7"/>
      <w:bookmarkStart w:id="6" w:name="OLE_LINK8"/>
      <w:r w:rsidRPr="00AE35DE">
        <w:rPr>
          <w:color w:val="000000"/>
          <w:lang w:val="en-GB"/>
        </w:rPr>
        <w:t xml:space="preserve">Pearson WR, Lipman DJ. Improved tools for biological sequence comparison. </w:t>
      </w:r>
      <w:r w:rsidRPr="00AE35DE">
        <w:rPr>
          <w:lang w:val="en-US"/>
        </w:rPr>
        <w:t>Proc. Natl. Acad. Sci. U.S.A.</w:t>
      </w:r>
      <w:r w:rsidRPr="00AE35DE">
        <w:rPr>
          <w:color w:val="000000"/>
          <w:lang w:val="en-GB"/>
        </w:rPr>
        <w:t xml:space="preserve"> 1988;85(8):2444–2448.</w:t>
      </w:r>
      <w:bookmarkEnd w:id="5"/>
      <w:bookmarkEnd w:id="6"/>
    </w:p>
    <w:p w:rsidR="00006D38" w:rsidRPr="00AE35DE" w:rsidRDefault="00006D38" w:rsidP="00006D38">
      <w:pPr>
        <w:autoSpaceDE w:val="0"/>
        <w:autoSpaceDN w:val="0"/>
        <w:adjustRightInd w:val="0"/>
        <w:rPr>
          <w:lang w:val="en-GB"/>
        </w:rPr>
      </w:pPr>
    </w:p>
    <w:p w:rsidR="00FC04C9" w:rsidRPr="00AE35DE" w:rsidRDefault="00006D38" w:rsidP="00FC04C9">
      <w:pPr>
        <w:autoSpaceDE w:val="0"/>
        <w:autoSpaceDN w:val="0"/>
        <w:adjustRightInd w:val="0"/>
        <w:rPr>
          <w:lang w:val="en-GB"/>
        </w:rPr>
      </w:pPr>
      <w:r w:rsidRPr="00AE35DE">
        <w:rPr>
          <w:lang w:val="en-GB" w:eastAsia="it-IT"/>
        </w:rPr>
        <w:t xml:space="preserve">[3] </w:t>
      </w:r>
      <w:r w:rsidR="00FC04C9" w:rsidRPr="00AE35DE">
        <w:rPr>
          <w:lang w:val="en-GB" w:eastAsia="it-IT"/>
        </w:rPr>
        <w:t>Fassler</w:t>
      </w:r>
      <w:r w:rsidRPr="00AE35DE">
        <w:rPr>
          <w:lang w:val="en-GB" w:eastAsia="it-IT"/>
        </w:rPr>
        <w:t xml:space="preserve"> J,</w:t>
      </w:r>
      <w:r w:rsidR="00FC04C9" w:rsidRPr="00AE35DE">
        <w:rPr>
          <w:lang w:val="en-GB" w:eastAsia="it-IT"/>
        </w:rPr>
        <w:t xml:space="preserve"> Cooper P. Blast glossary.</w:t>
      </w:r>
      <w:r w:rsidRPr="00AE35DE">
        <w:rPr>
          <w:lang w:val="en-GB" w:eastAsia="it-IT"/>
        </w:rPr>
        <w:t xml:space="preserve"> </w:t>
      </w:r>
      <w:proofErr w:type="gramStart"/>
      <w:r w:rsidRPr="00AE35DE">
        <w:rPr>
          <w:lang w:val="en-GB" w:eastAsia="it-IT"/>
        </w:rPr>
        <w:t>2011.</w:t>
      </w:r>
      <w:r w:rsidR="00FC04C9" w:rsidRPr="00AE35DE">
        <w:rPr>
          <w:lang w:val="en-GB" w:eastAsia="it-IT"/>
        </w:rPr>
        <w:t xml:space="preserve"> </w:t>
      </w:r>
      <w:bookmarkStart w:id="7" w:name="OLE_LINK10"/>
      <w:r w:rsidRPr="00AE35DE">
        <w:rPr>
          <w:lang w:val="en-GB"/>
        </w:rPr>
        <w:fldChar w:fldCharType="begin"/>
      </w:r>
      <w:r w:rsidRPr="00AE35DE">
        <w:rPr>
          <w:lang w:val="en-GB"/>
        </w:rPr>
        <w:instrText xml:space="preserve"> HYPERLINK "http://www.ncbi.nlm.nih.gov/books/NBK62051/" </w:instrText>
      </w:r>
      <w:r w:rsidRPr="00AE35DE">
        <w:rPr>
          <w:lang w:val="en-GB"/>
        </w:rPr>
        <w:fldChar w:fldCharType="separate"/>
      </w:r>
      <w:r w:rsidRPr="00AE35DE">
        <w:rPr>
          <w:rStyle w:val="Hyperlink"/>
          <w:lang w:val="en-GB"/>
        </w:rPr>
        <w:t>http://www.ncbi.nlm.nih.gov/books/NBK62051/</w:t>
      </w:r>
      <w:r w:rsidRPr="00AE35DE">
        <w:rPr>
          <w:lang w:val="en-GB"/>
        </w:rPr>
        <w:fldChar w:fldCharType="end"/>
      </w:r>
      <w:r w:rsidRPr="00AE35DE">
        <w:rPr>
          <w:lang w:val="en-GB"/>
        </w:rPr>
        <w:t xml:space="preserve"> </w:t>
      </w:r>
      <w:r w:rsidRPr="00292B57">
        <w:rPr>
          <w:lang w:val="en-US"/>
        </w:rPr>
        <w:t>Accessed 1 Sep 2016.</w:t>
      </w:r>
      <w:proofErr w:type="gramEnd"/>
    </w:p>
    <w:bookmarkEnd w:id="7"/>
    <w:p w:rsidR="00FC04C9" w:rsidRPr="00AE35DE" w:rsidRDefault="00FC04C9" w:rsidP="00FC04C9">
      <w:pPr>
        <w:spacing w:after="120" w:line="360" w:lineRule="auto"/>
        <w:jc w:val="both"/>
        <w:rPr>
          <w:sz w:val="22"/>
          <w:szCs w:val="22"/>
          <w:lang w:val="en-GB"/>
        </w:rPr>
      </w:pPr>
    </w:p>
    <w:p w:rsidR="00FC04C9" w:rsidRPr="00AE35DE" w:rsidRDefault="00FC04C9">
      <w:pPr>
        <w:rPr>
          <w:rFonts w:eastAsia="Times New Roman"/>
          <w:b/>
          <w:bCs/>
          <w:kern w:val="32"/>
          <w:sz w:val="32"/>
          <w:szCs w:val="32"/>
          <w:lang w:val="en-GB"/>
        </w:rPr>
      </w:pPr>
      <w:r w:rsidRPr="00AE35DE">
        <w:rPr>
          <w:lang w:val="en-GB"/>
        </w:rPr>
        <w:br w:type="page"/>
      </w:r>
    </w:p>
    <w:p w:rsidR="009C54D1" w:rsidRPr="00216E6E" w:rsidRDefault="009C54D1" w:rsidP="004531D0">
      <w:pPr>
        <w:pStyle w:val="Heading1"/>
        <w:spacing w:after="120"/>
        <w:rPr>
          <w:rFonts w:ascii="Times New Roman" w:hAnsi="Times New Roman"/>
          <w:lang w:val="en-GB"/>
        </w:rPr>
      </w:pPr>
      <w:r w:rsidRPr="00216E6E">
        <w:rPr>
          <w:rFonts w:ascii="Times New Roman" w:hAnsi="Times New Roman"/>
          <w:lang w:val="en-GB"/>
        </w:rPr>
        <w:lastRenderedPageBreak/>
        <w:t>Experimental performance</w:t>
      </w:r>
    </w:p>
    <w:p w:rsidR="00FC04C9" w:rsidRPr="00216E6E" w:rsidRDefault="009C54D1" w:rsidP="009C54D1">
      <w:pPr>
        <w:pStyle w:val="NormalWeb"/>
        <w:spacing w:before="0" w:beforeAutospacing="0" w:after="120" w:afterAutospacing="0" w:line="360" w:lineRule="auto"/>
        <w:jc w:val="both"/>
        <w:rPr>
          <w:lang w:val="en-GB"/>
        </w:rPr>
      </w:pPr>
      <w:r w:rsidRPr="00216E6E">
        <w:rPr>
          <w:lang w:val="en-GB"/>
        </w:rPr>
        <w:t xml:space="preserve">Performance of the three primer sets was evaluated in a panel of bacteria isolated from clinical specimens, including representatives of common gram-positive and gram-negative human pathogens belonging to different genera </w:t>
      </w:r>
      <w:r w:rsidR="00416401" w:rsidRPr="00216E6E">
        <w:rPr>
          <w:lang w:val="en-GB"/>
        </w:rPr>
        <w:t>and</w:t>
      </w:r>
      <w:r w:rsidRPr="00216E6E">
        <w:rPr>
          <w:lang w:val="en-GB"/>
        </w:rPr>
        <w:t xml:space="preserve"> phyla (Table S2). </w:t>
      </w:r>
    </w:p>
    <w:p w:rsidR="00FC04C9" w:rsidRPr="00216E6E" w:rsidRDefault="00FC04C9" w:rsidP="009C54D1">
      <w:pPr>
        <w:spacing w:after="120" w:line="360" w:lineRule="auto"/>
        <w:jc w:val="both"/>
        <w:rPr>
          <w:b/>
          <w:bCs/>
          <w:lang w:val="en-GB"/>
        </w:rPr>
      </w:pPr>
    </w:p>
    <w:p w:rsidR="00D661C6" w:rsidRPr="00216E6E" w:rsidRDefault="00404FD4" w:rsidP="009C54D1">
      <w:pPr>
        <w:spacing w:after="120" w:line="360" w:lineRule="auto"/>
        <w:jc w:val="both"/>
        <w:rPr>
          <w:lang w:val="en-GB"/>
        </w:rPr>
      </w:pPr>
      <w:r w:rsidRPr="00216E6E">
        <w:rPr>
          <w:b/>
          <w:bCs/>
          <w:lang w:val="en-GB"/>
        </w:rPr>
        <w:t xml:space="preserve">Supplementary </w:t>
      </w:r>
      <w:r w:rsidR="00D661C6" w:rsidRPr="00216E6E">
        <w:rPr>
          <w:b/>
          <w:bCs/>
          <w:lang w:val="en-GB"/>
        </w:rPr>
        <w:t xml:space="preserve">Table </w:t>
      </w:r>
      <w:r w:rsidR="001B4012" w:rsidRPr="00216E6E">
        <w:rPr>
          <w:b/>
          <w:bCs/>
          <w:lang w:val="en-GB"/>
        </w:rPr>
        <w:t>S2</w:t>
      </w:r>
      <w:r w:rsidR="00D661C6" w:rsidRPr="00216E6E">
        <w:rPr>
          <w:b/>
          <w:bCs/>
          <w:lang w:val="en-GB"/>
        </w:rPr>
        <w:t>.</w:t>
      </w:r>
      <w:r w:rsidR="00CD6C76" w:rsidRPr="00216E6E">
        <w:rPr>
          <w:lang w:val="en-GB"/>
        </w:rPr>
        <w:t xml:space="preserve"> B</w:t>
      </w:r>
      <w:r w:rsidR="00D661C6" w:rsidRPr="00216E6E">
        <w:rPr>
          <w:lang w:val="en-GB"/>
        </w:rPr>
        <w:t xml:space="preserve">acteria species amplified by </w:t>
      </w:r>
      <w:r w:rsidR="00D13B54" w:rsidRPr="00216E6E">
        <w:rPr>
          <w:lang w:val="en-GB"/>
        </w:rPr>
        <w:t>real-time</w:t>
      </w:r>
      <w:r w:rsidR="00D661C6" w:rsidRPr="00216E6E">
        <w:rPr>
          <w:lang w:val="en-GB"/>
        </w:rPr>
        <w:t xml:space="preserve"> PCR using the three 16S rRNA primer sets</w:t>
      </w:r>
      <w:r w:rsidR="00416401" w:rsidRPr="00216E6E">
        <w:rPr>
          <w:lang w:val="en-GB"/>
        </w:rPr>
        <w:t xml:space="preserve"> identified by mopo16S and three non-optimized primer sets (Forward: Bact-0008-b-S-2 - Reverse: Bact-0785-a-A-21; Forward: Bact-0347-a-S-19; Reverse: Bact-1028-b-A-19; Forward: Bact-0337-a-S-20; Reverse: Bact-1046-a-A-19).</w:t>
      </w:r>
    </w:p>
    <w:tbl>
      <w:tblPr>
        <w:tblW w:w="0" w:type="auto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"/>
        <w:gridCol w:w="1506"/>
        <w:gridCol w:w="2244"/>
        <w:gridCol w:w="1875"/>
        <w:gridCol w:w="2939"/>
      </w:tblGrid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</w:tcPr>
          <w:p w:rsidR="00416401" w:rsidRPr="00216E6E" w:rsidRDefault="00416401" w:rsidP="00416401">
            <w:pPr>
              <w:outlineLvl w:val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E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Phylum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Actinobacteria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Bifidobacteriaceae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Gardnerella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Gardnerella vaginalis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Actinobacteria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Micrococcaceae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Micrococcus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Micrococcus luteus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Actinobacteria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Micrococcaceae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Rothia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Rothia mucilaginosa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Bacteroidetes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Bacteroides stercoris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Bacteroidetes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Bacteroides fragilis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Bacteroidetes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Bacteroides fragilis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Bacteroidetes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Prevotellaceae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Prevotella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Prevotella timonensis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Fusobacteria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Fusobacteriaceae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Fusobacterium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Fusobacterium nucleatum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Fusobacteria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Fusobacteriaceae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Fusobacterium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Fusobacterium necroforum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Peptostreptococcaceae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Clostridioides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Clostridioides difficile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Bacillaceae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Bacillus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Bacillus licheniformis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Lactobacillaceae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Lactobacillus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Lactobacillus salivarius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 capitis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 aureus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 caprae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 saprophyticus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Staphylococcus epidermidis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Enterococcus faecium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Enterococcus avium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 constellatus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 dysgalactiae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 anginosus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 intermedius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Firmicutes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Streptococcus agalactiae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Serratia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Serratia marcescens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Klebsiella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Klebsiella pneumoniae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Escherichia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Escherichia coli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Proteus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Proteus mirabilis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Raoultella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Raoultella planticola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Escherichia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Escherichia coli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Moraxellaceae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Acinetobacter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Acinetobacter baumannii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Moraxellaceae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Acinetobacter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Acinetobacter lwoffii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Pasteurellaceae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Haemophilus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Haemophilus influenzae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Pseudomonadaceae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Pseudomonas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Pseudomonas aeruginosa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Xanthomonadaceae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Stenotrophomonas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Stenotrophomonas maltophilia</w:t>
            </w:r>
          </w:p>
        </w:tc>
      </w:tr>
      <w:tr w:rsidR="00416401" w:rsidRPr="00216E6E" w:rsidTr="00416401">
        <w:trPr>
          <w:trHeight w:val="345"/>
          <w:tblCellSpacing w:w="0" w:type="dxa"/>
        </w:trPr>
        <w:tc>
          <w:tcPr>
            <w:tcW w:w="394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color w:val="000000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Helicobacteraceae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Helicobacter</w:t>
            </w:r>
          </w:p>
        </w:tc>
        <w:tc>
          <w:tcPr>
            <w:tcW w:w="0" w:type="auto"/>
            <w:vAlign w:val="bottom"/>
          </w:tcPr>
          <w:p w:rsidR="00416401" w:rsidRPr="00216E6E" w:rsidRDefault="00416401" w:rsidP="00416401">
            <w:pPr>
              <w:outlineLvl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16E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Helicobacter pylori</w:t>
            </w:r>
          </w:p>
        </w:tc>
      </w:tr>
    </w:tbl>
    <w:p w:rsidR="00D661C6" w:rsidRPr="00216E6E" w:rsidRDefault="00D661C6" w:rsidP="00041A91">
      <w:pPr>
        <w:spacing w:after="120" w:line="360" w:lineRule="auto"/>
        <w:jc w:val="both"/>
        <w:rPr>
          <w:sz w:val="22"/>
          <w:szCs w:val="22"/>
          <w:lang w:val="en-GB"/>
        </w:rPr>
      </w:pPr>
    </w:p>
    <w:p w:rsidR="001B4012" w:rsidRPr="00216E6E" w:rsidRDefault="001B4012" w:rsidP="00041A91">
      <w:pPr>
        <w:spacing w:after="120" w:line="360" w:lineRule="auto"/>
        <w:jc w:val="both"/>
        <w:rPr>
          <w:lang w:val="en-GB"/>
        </w:rPr>
      </w:pPr>
    </w:p>
    <w:p w:rsidR="000C49BB" w:rsidRPr="00216E6E" w:rsidRDefault="000C49BB" w:rsidP="00041A91">
      <w:pPr>
        <w:spacing w:after="120" w:line="360" w:lineRule="auto"/>
        <w:jc w:val="both"/>
        <w:rPr>
          <w:lang w:val="en-GB"/>
        </w:rPr>
      </w:pPr>
    </w:p>
    <w:p w:rsidR="000C49BB" w:rsidRPr="00216E6E" w:rsidRDefault="000C49BB" w:rsidP="00041A91">
      <w:pPr>
        <w:spacing w:after="120" w:line="360" w:lineRule="auto"/>
        <w:jc w:val="both"/>
        <w:rPr>
          <w:lang w:val="en-GB"/>
        </w:rPr>
      </w:pPr>
    </w:p>
    <w:p w:rsidR="000C49BB" w:rsidRPr="00216E6E" w:rsidRDefault="000C49BB">
      <w:pPr>
        <w:rPr>
          <w:lang w:val="en-GB"/>
        </w:rPr>
      </w:pPr>
      <w:r w:rsidRPr="00216E6E">
        <w:rPr>
          <w:lang w:val="en-GB"/>
        </w:rPr>
        <w:br w:type="page"/>
      </w:r>
    </w:p>
    <w:p w:rsidR="000C49BB" w:rsidRPr="000C49BB" w:rsidRDefault="000C49BB" w:rsidP="000C49BB">
      <w:pPr>
        <w:spacing w:after="120" w:line="360" w:lineRule="auto"/>
        <w:jc w:val="both"/>
        <w:rPr>
          <w:lang w:val="en-US"/>
        </w:rPr>
      </w:pPr>
      <w:r w:rsidRPr="00216E6E">
        <w:rPr>
          <w:lang w:val="en-GB"/>
        </w:rPr>
        <w:lastRenderedPageBreak/>
        <w:t xml:space="preserve">Figure S1: </w:t>
      </w:r>
      <w:r w:rsidRPr="00216E6E">
        <w:rPr>
          <w:lang w:val="en-US"/>
        </w:rPr>
        <w:t>Amplification of 16S rRNA by real-time PCR based on SYBR-Green I fluorescence. Amplification plots (upper panels) and dissociation curves (lower panels) of three representative bacteria samples and three negative controls. Human genomic DNA was included in the negative controls.</w:t>
      </w:r>
      <w:r w:rsidRPr="000C49BB">
        <w:rPr>
          <w:lang w:val="en-US"/>
        </w:rPr>
        <w:t xml:space="preserve"> </w:t>
      </w:r>
    </w:p>
    <w:p w:rsidR="000C49BB" w:rsidRDefault="000C49BB" w:rsidP="00041A91">
      <w:pPr>
        <w:spacing w:after="120" w:line="360" w:lineRule="auto"/>
        <w:jc w:val="both"/>
        <w:rPr>
          <w:lang w:val="en-GB"/>
        </w:rPr>
      </w:pPr>
    </w:p>
    <w:p w:rsidR="000C49BB" w:rsidRDefault="000C49BB" w:rsidP="00041A91">
      <w:pPr>
        <w:spacing w:after="120" w:line="360" w:lineRule="auto"/>
        <w:jc w:val="both"/>
        <w:rPr>
          <w:lang w:val="en-GB"/>
        </w:rPr>
      </w:pPr>
    </w:p>
    <w:p w:rsidR="000C49BB" w:rsidRPr="00AE35DE" w:rsidRDefault="000C49BB" w:rsidP="00041A91">
      <w:pPr>
        <w:spacing w:after="120" w:line="360" w:lineRule="auto"/>
        <w:jc w:val="both"/>
        <w:rPr>
          <w:lang w:val="en-GB"/>
        </w:rPr>
      </w:pPr>
      <w:r w:rsidRPr="000C49BB">
        <w:rPr>
          <w:noProof/>
          <w:lang w:val="en-US" w:eastAsia="en-US"/>
        </w:rPr>
        <w:drawing>
          <wp:inline distT="0" distB="0" distL="0" distR="0">
            <wp:extent cx="5503545" cy="4852670"/>
            <wp:effectExtent l="0" t="0" r="190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9BB" w:rsidRPr="00AE35DE" w:rsidSect="001B40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E20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E770EA"/>
    <w:multiLevelType w:val="hybridMultilevel"/>
    <w:tmpl w:val="2EB40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7"/>
  </w:docVars>
  <w:rsids>
    <w:rsidRoot w:val="00537BAF"/>
    <w:rsid w:val="00006D38"/>
    <w:rsid w:val="00041A91"/>
    <w:rsid w:val="00087D59"/>
    <w:rsid w:val="000A3251"/>
    <w:rsid w:val="000C49BB"/>
    <w:rsid w:val="000E3FFE"/>
    <w:rsid w:val="001B3F7A"/>
    <w:rsid w:val="001B4012"/>
    <w:rsid w:val="001F5D84"/>
    <w:rsid w:val="002103B5"/>
    <w:rsid w:val="00216E6E"/>
    <w:rsid w:val="00263D43"/>
    <w:rsid w:val="00292B57"/>
    <w:rsid w:val="002B096D"/>
    <w:rsid w:val="00305C81"/>
    <w:rsid w:val="00352172"/>
    <w:rsid w:val="00370B98"/>
    <w:rsid w:val="0037427A"/>
    <w:rsid w:val="00377750"/>
    <w:rsid w:val="00393850"/>
    <w:rsid w:val="003D330F"/>
    <w:rsid w:val="003F4E77"/>
    <w:rsid w:val="003F6BD0"/>
    <w:rsid w:val="00404FD4"/>
    <w:rsid w:val="004148D1"/>
    <w:rsid w:val="00416401"/>
    <w:rsid w:val="004531D0"/>
    <w:rsid w:val="004D0520"/>
    <w:rsid w:val="00537BAF"/>
    <w:rsid w:val="006208B2"/>
    <w:rsid w:val="0063345C"/>
    <w:rsid w:val="00655625"/>
    <w:rsid w:val="00672652"/>
    <w:rsid w:val="00705F7A"/>
    <w:rsid w:val="00745104"/>
    <w:rsid w:val="0076003C"/>
    <w:rsid w:val="00763A55"/>
    <w:rsid w:val="0077502F"/>
    <w:rsid w:val="007B0E69"/>
    <w:rsid w:val="008B2FC9"/>
    <w:rsid w:val="008D215E"/>
    <w:rsid w:val="009659AD"/>
    <w:rsid w:val="009C54D1"/>
    <w:rsid w:val="009D3C0F"/>
    <w:rsid w:val="00A058BC"/>
    <w:rsid w:val="00AD6DA0"/>
    <w:rsid w:val="00AE35DE"/>
    <w:rsid w:val="00B02060"/>
    <w:rsid w:val="00B12931"/>
    <w:rsid w:val="00B177F5"/>
    <w:rsid w:val="00B677A3"/>
    <w:rsid w:val="00BD3982"/>
    <w:rsid w:val="00C37410"/>
    <w:rsid w:val="00C649D4"/>
    <w:rsid w:val="00CA626D"/>
    <w:rsid w:val="00CD6C76"/>
    <w:rsid w:val="00D13B54"/>
    <w:rsid w:val="00D26F5E"/>
    <w:rsid w:val="00D661C6"/>
    <w:rsid w:val="00D77AA4"/>
    <w:rsid w:val="00DA0D23"/>
    <w:rsid w:val="00DB3919"/>
    <w:rsid w:val="00DF525F"/>
    <w:rsid w:val="00E16CC3"/>
    <w:rsid w:val="00E266C7"/>
    <w:rsid w:val="00E61576"/>
    <w:rsid w:val="00E8273D"/>
    <w:rsid w:val="00EA6196"/>
    <w:rsid w:val="00F44624"/>
    <w:rsid w:val="00F737E7"/>
    <w:rsid w:val="00F9334F"/>
    <w:rsid w:val="00FC04C9"/>
    <w:rsid w:val="00FD7775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E3F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A91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eading1Char">
    <w:name w:val="Heading 1 Char"/>
    <w:link w:val="Heading1"/>
    <w:rsid w:val="000E3FF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table" w:styleId="TableGrid">
    <w:name w:val="Table Grid"/>
    <w:basedOn w:val="TableNormal"/>
    <w:rsid w:val="000E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77F5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006D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E3F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A91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eading1Char">
    <w:name w:val="Heading 1 Char"/>
    <w:link w:val="Heading1"/>
    <w:rsid w:val="000E3FF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table" w:styleId="TableGrid">
    <w:name w:val="Table Grid"/>
    <w:basedOn w:val="TableNormal"/>
    <w:rsid w:val="000E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77F5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006D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E6568-87B0-4EB2-8F9B-FD0992D2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746</Words>
  <Characters>5536</Characters>
  <Application>Microsoft Office Word</Application>
  <DocSecurity>0</DocSecurity>
  <Lines>291</Lines>
  <Paragraphs>261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DEI - Universita' di Padova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Luisa</dc:creator>
  <cp:keywords/>
  <cp:lastModifiedBy>LTACHADO</cp:lastModifiedBy>
  <cp:revision>11</cp:revision>
  <dcterms:created xsi:type="dcterms:W3CDTF">2018-04-09T10:04:00Z</dcterms:created>
  <dcterms:modified xsi:type="dcterms:W3CDTF">2018-09-11T04:41:00Z</dcterms:modified>
</cp:coreProperties>
</file>