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2B3" w:rsidRDefault="001D72B3" w:rsidP="00242EC6">
      <w:pPr>
        <w:rPr>
          <w:b/>
        </w:rPr>
      </w:pPr>
    </w:p>
    <w:p w:rsidR="001D72B3" w:rsidRPr="003B6641" w:rsidRDefault="001D72B3" w:rsidP="00242EC6">
      <w:pPr>
        <w:rPr>
          <w:b/>
        </w:rPr>
      </w:pPr>
    </w:p>
    <w:p w:rsidR="001D72B3" w:rsidRPr="003B6641" w:rsidRDefault="001D72B3" w:rsidP="008F50E3">
      <w:pPr>
        <w:spacing w:after="120" w:line="480" w:lineRule="auto"/>
        <w:jc w:val="center"/>
        <w:rPr>
          <w:b/>
          <w:sz w:val="24"/>
          <w:szCs w:val="24"/>
          <w:lang w:val="en-CA"/>
        </w:rPr>
      </w:pPr>
      <w:r w:rsidRPr="003B6641">
        <w:rPr>
          <w:b/>
          <w:sz w:val="24"/>
          <w:szCs w:val="24"/>
          <w:lang w:val="en-CA"/>
        </w:rPr>
        <w:t>Supplemental material</w:t>
      </w:r>
    </w:p>
    <w:p w:rsidR="001D72B3" w:rsidRPr="00250E4C" w:rsidRDefault="001D72B3" w:rsidP="005706E2">
      <w:pPr>
        <w:spacing w:after="120" w:line="480" w:lineRule="auto"/>
        <w:rPr>
          <w:sz w:val="24"/>
          <w:szCs w:val="24"/>
          <w:lang w:val="en-CA"/>
        </w:rPr>
      </w:pPr>
      <w:proofErr w:type="gramStart"/>
      <w:r>
        <w:rPr>
          <w:i/>
          <w:sz w:val="24"/>
          <w:szCs w:val="24"/>
          <w:lang w:val="en-CA"/>
        </w:rPr>
        <w:t>Part 2.</w:t>
      </w:r>
      <w:proofErr w:type="gramEnd"/>
      <w:r>
        <w:rPr>
          <w:i/>
          <w:sz w:val="24"/>
          <w:szCs w:val="24"/>
          <w:lang w:val="en-CA"/>
        </w:rPr>
        <w:t xml:space="preserve"> Reliability of </w:t>
      </w:r>
      <w:r w:rsidRPr="00250E4C">
        <w:rPr>
          <w:i/>
          <w:sz w:val="24"/>
          <w:szCs w:val="24"/>
          <w:lang w:val="en-CA"/>
        </w:rPr>
        <w:t xml:space="preserve">the </w:t>
      </w:r>
      <w:r>
        <w:rPr>
          <w:i/>
          <w:sz w:val="24"/>
          <w:szCs w:val="24"/>
          <w:lang w:val="en-CA"/>
        </w:rPr>
        <w:t>t</w:t>
      </w:r>
      <w:r w:rsidRPr="00250E4C">
        <w:rPr>
          <w:i/>
          <w:sz w:val="24"/>
          <w:szCs w:val="24"/>
          <w:lang w:val="en-CA"/>
        </w:rPr>
        <w:t>ime-</w:t>
      </w:r>
      <w:r>
        <w:rPr>
          <w:i/>
          <w:sz w:val="24"/>
          <w:szCs w:val="24"/>
          <w:lang w:val="en-CA"/>
        </w:rPr>
        <w:t>v</w:t>
      </w:r>
      <w:r w:rsidRPr="00250E4C">
        <w:rPr>
          <w:i/>
          <w:sz w:val="24"/>
          <w:szCs w:val="24"/>
          <w:lang w:val="en-CA"/>
        </w:rPr>
        <w:t xml:space="preserve">arying </w:t>
      </w:r>
      <w:r>
        <w:rPr>
          <w:i/>
          <w:sz w:val="24"/>
          <w:szCs w:val="24"/>
          <w:lang w:val="en-CA"/>
        </w:rPr>
        <w:t>v</w:t>
      </w:r>
      <w:r w:rsidRPr="00250E4C">
        <w:rPr>
          <w:i/>
          <w:sz w:val="24"/>
          <w:szCs w:val="24"/>
          <w:lang w:val="en-CA"/>
        </w:rPr>
        <w:t>ariables</w:t>
      </w:r>
    </w:p>
    <w:p w:rsidR="001D72B3" w:rsidRPr="00982C89" w:rsidRDefault="001D72B3" w:rsidP="00242EC6">
      <w:pPr>
        <w:spacing w:line="480" w:lineRule="auto"/>
        <w:rPr>
          <w:sz w:val="24"/>
          <w:szCs w:val="24"/>
          <w:lang w:val="en-CA"/>
        </w:rPr>
      </w:pPr>
      <w:r w:rsidRPr="00297E5C"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 xml:space="preserve">Reliability for </w:t>
      </w:r>
      <w:proofErr w:type="spellStart"/>
      <w:r>
        <w:rPr>
          <w:sz w:val="24"/>
          <w:szCs w:val="24"/>
          <w:lang w:val="en-CA"/>
        </w:rPr>
        <w:t>MoCA</w:t>
      </w:r>
      <w:proofErr w:type="spellEnd"/>
      <w:r>
        <w:rPr>
          <w:sz w:val="24"/>
          <w:szCs w:val="24"/>
          <w:lang w:val="en-CA"/>
        </w:rPr>
        <w:t>, GDS, and LoC was investigated to ensure that change observed in these variables was not confounded by u</w:t>
      </w:r>
      <w:r w:rsidRPr="00297E5C">
        <w:rPr>
          <w:sz w:val="24"/>
          <w:szCs w:val="24"/>
          <w:lang w:val="en-CA"/>
        </w:rPr>
        <w:t>nstable reliability</w:t>
      </w:r>
      <w:r>
        <w:rPr>
          <w:sz w:val="24"/>
          <w:szCs w:val="24"/>
          <w:lang w:val="en-CA"/>
        </w:rPr>
        <w:t>.</w:t>
      </w:r>
      <w:r w:rsidRPr="00297E5C">
        <w:rPr>
          <w:sz w:val="24"/>
          <w:szCs w:val="24"/>
          <w:lang w:val="en-CA"/>
        </w:rPr>
        <w:t xml:space="preserve"> LSA has a complex scoring algorithm</w:t>
      </w:r>
      <w:r>
        <w:rPr>
          <w:sz w:val="24"/>
          <w:szCs w:val="24"/>
          <w:lang w:val="en-CA"/>
        </w:rPr>
        <w:t>. The r</w:t>
      </w:r>
      <w:r w:rsidRPr="00297E5C">
        <w:rPr>
          <w:sz w:val="24"/>
          <w:szCs w:val="24"/>
          <w:lang w:val="en-CA"/>
        </w:rPr>
        <w:t>eli</w:t>
      </w:r>
      <w:r w:rsidRPr="00095FA1">
        <w:rPr>
          <w:sz w:val="24"/>
          <w:szCs w:val="24"/>
          <w:lang w:val="en-CA"/>
        </w:rPr>
        <w:t>ability stud</w:t>
      </w:r>
      <w:r>
        <w:rPr>
          <w:sz w:val="24"/>
          <w:szCs w:val="24"/>
          <w:lang w:val="en-CA"/>
        </w:rPr>
        <w:t xml:space="preserve">y </w:t>
      </w: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ADDIN EN.CITE &lt;EndNote&gt;&lt;Cite&gt;&lt;Author&gt;Baker&lt;/Author&gt;&lt;Year&gt;2003&lt;/Year&gt;&lt;RecNum&gt;4&lt;/RecNum&gt;&lt;DisplayText&gt;[1]&lt;/DisplayText&gt;&lt;record&gt;&lt;rec-number&gt;4&lt;/rec-number&gt;&lt;foreign-keys&gt;&lt;key app="EN" db-id="x9dtaaxafdswsvewwruxft9h9w29zvw229xf"&gt;4&lt;/key&gt;&lt;/foreign-keys&gt;&lt;ref-type name="Journal Article"&gt;17&lt;/ref-type&gt;&lt;contributors&gt;&lt;authors&gt;&lt;author&gt;Baker, Patricia S&lt;/author&gt;&lt;author&gt;Bodner, Eric V&lt;/author&gt;&lt;author&gt;Allman, Richard M&lt;/author&gt;&lt;/authors&gt;&lt;/contributors&gt;&lt;titles&gt;&lt;title&gt;Measuring life‐space mobility in community‐dwelling older adults&lt;/title&gt;&lt;secondary-title&gt;Journal of the American Geriatrics Society&lt;/secondary-title&gt;&lt;/titles&gt;&lt;periodical&gt;&lt;full-title&gt;Journal of the American Geriatrics Society&lt;/full-title&gt;&lt;/periodical&gt;&lt;pages&gt;1610-1614&lt;/pages&gt;&lt;volume&gt;51&lt;/volume&gt;&lt;number&gt;11&lt;/number&gt;&lt;dates&gt;&lt;year&gt;2003&lt;/year&gt;&lt;/dates&gt;&lt;isbn&gt;1532-5415&lt;/isbn&gt;&lt;urls&gt;&lt;/urls&gt;&lt;/record&gt;&lt;/Cite&gt;&lt;/EndNote&gt;</w:instrText>
      </w:r>
      <w:r>
        <w:rPr>
          <w:sz w:val="24"/>
          <w:szCs w:val="24"/>
          <w:lang w:val="en-CA"/>
        </w:rPr>
        <w:fldChar w:fldCharType="separate"/>
      </w:r>
      <w:r>
        <w:rPr>
          <w:noProof/>
          <w:sz w:val="24"/>
          <w:szCs w:val="24"/>
          <w:lang w:val="en-CA"/>
        </w:rPr>
        <w:t>[</w:t>
      </w:r>
      <w:hyperlink w:anchor="_ENREF_1" w:tooltip="Baker, 2003 #4" w:history="1">
        <w:r w:rsidR="008F50E3">
          <w:rPr>
            <w:noProof/>
            <w:sz w:val="24"/>
            <w:szCs w:val="24"/>
            <w:lang w:val="en-CA"/>
          </w:rPr>
          <w:t>1</w:t>
        </w:r>
      </w:hyperlink>
      <w:r>
        <w:rPr>
          <w:noProof/>
          <w:sz w:val="24"/>
          <w:szCs w:val="24"/>
          <w:lang w:val="en-CA"/>
        </w:rPr>
        <w:t>]</w:t>
      </w:r>
      <w:r>
        <w:rPr>
          <w:sz w:val="24"/>
          <w:szCs w:val="24"/>
          <w:lang w:val="en-CA"/>
        </w:rPr>
        <w:fldChar w:fldCharType="end"/>
      </w:r>
      <w:r>
        <w:rPr>
          <w:sz w:val="24"/>
          <w:szCs w:val="24"/>
          <w:lang w:val="en-CA"/>
        </w:rPr>
        <w:t xml:space="preserve"> for</w:t>
      </w:r>
      <w:r w:rsidRPr="00095FA1">
        <w:rPr>
          <w:sz w:val="24"/>
          <w:szCs w:val="24"/>
          <w:lang w:val="en-CA"/>
        </w:rPr>
        <w:t xml:space="preserve"> LSA use</w:t>
      </w:r>
      <w:r>
        <w:rPr>
          <w:sz w:val="24"/>
          <w:szCs w:val="24"/>
          <w:lang w:val="en-CA"/>
        </w:rPr>
        <w:t>s</w:t>
      </w:r>
      <w:r w:rsidRPr="00095FA1">
        <w:rPr>
          <w:sz w:val="24"/>
          <w:szCs w:val="24"/>
          <w:lang w:val="en-CA"/>
        </w:rPr>
        <w:t xml:space="preserve"> </w:t>
      </w:r>
      <w:r>
        <w:rPr>
          <w:sz w:val="24"/>
          <w:szCs w:val="24"/>
          <w:lang w:val="en-CA"/>
        </w:rPr>
        <w:t xml:space="preserve">a </w:t>
      </w:r>
      <w:r w:rsidRPr="00095FA1">
        <w:rPr>
          <w:sz w:val="24"/>
          <w:szCs w:val="24"/>
          <w:lang w:val="en-CA"/>
        </w:rPr>
        <w:t xml:space="preserve">test-retest design, </w:t>
      </w:r>
      <w:r w:rsidRPr="007830D0">
        <w:rPr>
          <w:sz w:val="24"/>
          <w:szCs w:val="24"/>
          <w:lang w:val="en-CA"/>
        </w:rPr>
        <w:t>which w</w:t>
      </w:r>
      <w:r>
        <w:rPr>
          <w:sz w:val="24"/>
          <w:szCs w:val="24"/>
          <w:lang w:val="en-CA"/>
        </w:rPr>
        <w:t>as un</w:t>
      </w:r>
      <w:r w:rsidRPr="008F202A">
        <w:rPr>
          <w:sz w:val="24"/>
          <w:szCs w:val="24"/>
          <w:lang w:val="en-CA"/>
        </w:rPr>
        <w:t>available here</w:t>
      </w:r>
      <w:r>
        <w:rPr>
          <w:sz w:val="24"/>
          <w:szCs w:val="24"/>
          <w:lang w:val="en-CA"/>
        </w:rPr>
        <w:t>. However, the Ba</w:t>
      </w:r>
      <w:r w:rsidRPr="00095FA1">
        <w:rPr>
          <w:sz w:val="24"/>
          <w:szCs w:val="24"/>
          <w:lang w:val="en-CA"/>
        </w:rPr>
        <w:t>ker et al</w:t>
      </w:r>
      <w:r>
        <w:rPr>
          <w:sz w:val="24"/>
          <w:szCs w:val="24"/>
          <w:lang w:val="en-CA"/>
        </w:rPr>
        <w:t xml:space="preserve">. </w:t>
      </w: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ADDIN EN.CITE &lt;EndNote&gt;&lt;Cite&gt;&lt;Author&gt;Baker&lt;/Author&gt;&lt;Year&gt;2003&lt;/Year&gt;&lt;RecNum&gt;4&lt;/RecNum&gt;&lt;DisplayText&gt;[1]&lt;/DisplayText&gt;&lt;record&gt;&lt;rec-number&gt;4&lt;/rec-number&gt;&lt;foreign-keys&gt;&lt;key app="EN" db-id="x9dtaaxafdswsvewwruxft9h9w29zvw229xf"&gt;4&lt;/key&gt;&lt;/foreign-keys&gt;&lt;ref-type name="Journal Article"&gt;17&lt;/ref-type&gt;&lt;contributors&gt;&lt;authors&gt;&lt;author&gt;Baker, Patricia S&lt;/author&gt;&lt;author&gt;Bodner, Eric V&lt;/author&gt;&lt;author&gt;Allman, Richard M&lt;/author&gt;&lt;/authors&gt;&lt;/contributors&gt;&lt;titles&gt;&lt;title&gt;Measuring life‐space mobility in community‐dwelling older adults&lt;/title&gt;&lt;secondary-title&gt;Journal of the American Geriatrics Society&lt;/secondary-title&gt;&lt;/titles&gt;&lt;periodical&gt;&lt;full-title&gt;Journal of the American Geriatrics Society&lt;/full-title&gt;&lt;/periodical&gt;&lt;pages&gt;1610-1614&lt;/pages&gt;&lt;volume&gt;51&lt;/volume&gt;&lt;number&gt;11&lt;/number&gt;&lt;dates&gt;&lt;year&gt;2003&lt;/year&gt;&lt;/dates&gt;&lt;isbn&gt;1532-5415&lt;/isbn&gt;&lt;urls&gt;&lt;/urls&gt;&lt;/record&gt;&lt;/Cite&gt;&lt;/EndNote&gt;</w:instrText>
      </w:r>
      <w:r>
        <w:rPr>
          <w:sz w:val="24"/>
          <w:szCs w:val="24"/>
          <w:lang w:val="en-CA"/>
        </w:rPr>
        <w:fldChar w:fldCharType="separate"/>
      </w:r>
      <w:r>
        <w:rPr>
          <w:noProof/>
          <w:sz w:val="24"/>
          <w:szCs w:val="24"/>
          <w:lang w:val="en-CA"/>
        </w:rPr>
        <w:t>[</w:t>
      </w:r>
      <w:hyperlink w:anchor="_ENREF_1" w:tooltip="Baker, 2003 #4" w:history="1">
        <w:r w:rsidR="008F50E3">
          <w:rPr>
            <w:noProof/>
            <w:sz w:val="24"/>
            <w:szCs w:val="24"/>
            <w:lang w:val="en-CA"/>
          </w:rPr>
          <w:t>1</w:t>
        </w:r>
      </w:hyperlink>
      <w:r>
        <w:rPr>
          <w:noProof/>
          <w:sz w:val="24"/>
          <w:szCs w:val="24"/>
          <w:lang w:val="en-CA"/>
        </w:rPr>
        <w:t>]</w:t>
      </w:r>
      <w:r>
        <w:rPr>
          <w:sz w:val="24"/>
          <w:szCs w:val="24"/>
          <w:lang w:val="en-CA"/>
        </w:rPr>
        <w:fldChar w:fldCharType="end"/>
      </w:r>
      <w:r w:rsidRPr="00095FA1">
        <w:rPr>
          <w:sz w:val="24"/>
          <w:szCs w:val="24"/>
          <w:lang w:val="en-CA"/>
        </w:rPr>
        <w:t xml:space="preserve"> set of validating measures was used to examine stability over time of the association of LSA with physical performance (SP</w:t>
      </w:r>
      <w:r>
        <w:rPr>
          <w:sz w:val="24"/>
          <w:szCs w:val="24"/>
          <w:lang w:val="en-CA"/>
        </w:rPr>
        <w:t>P</w:t>
      </w:r>
      <w:r w:rsidRPr="00095FA1">
        <w:rPr>
          <w:sz w:val="24"/>
          <w:szCs w:val="24"/>
          <w:lang w:val="en-CA"/>
        </w:rPr>
        <w:t>B</w:t>
      </w:r>
      <w:r>
        <w:rPr>
          <w:sz w:val="24"/>
          <w:szCs w:val="24"/>
          <w:lang w:val="en-CA"/>
        </w:rPr>
        <w:t xml:space="preserve"> </w:t>
      </w: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ADDIN EN.CITE &lt;EndNote&gt;&lt;Cite&gt;&lt;Author&gt;Guralnik&lt;/Author&gt;&lt;Year&gt;1994&lt;/Year&gt;&lt;RecNum&gt;72&lt;/RecNum&gt;&lt;DisplayText&gt;[2]&lt;/DisplayText&gt;&lt;record&gt;&lt;rec-number&gt;72&lt;/rec-number&gt;&lt;foreign-keys&gt;&lt;key app="EN" db-id="x9dtaaxafdswsvewwruxft9h9w29zvw229xf"&gt;72&lt;/key&gt;&lt;/foreign-keys&gt;&lt;ref-type name="Journal Article"&gt;17&lt;/ref-type&gt;&lt;contributors&gt;&lt;authors&gt;&lt;author&gt;Guralnik, Jack M&lt;/author&gt;&lt;author&gt;Simonsick, Eleanor M&lt;/author&gt;&lt;author&gt;Ferrucci, Luigi&lt;/author&gt;&lt;author&gt;Glynn, Robert J&lt;/author&gt;&lt;author&gt;Berkman, Lisa F&lt;/author&gt;&lt;author&gt;Blazer, Dan G&lt;/author&gt;&lt;author&gt;Scherr, Paul A&lt;/author&gt;&lt;author&gt;Wallace, Robert B&lt;/author&gt;&lt;/authors&gt;&lt;/contributors&gt;&lt;titles&gt;&lt;title&gt;A short physical performance battery assessing lower extremity function: association with self-reported disability and prediction of mortality and nursing home admission&lt;/title&gt;&lt;secondary-title&gt;Journal of gerontology&lt;/secondary-title&gt;&lt;/titles&gt;&lt;periodical&gt;&lt;full-title&gt;Journal of gerontology&lt;/full-title&gt;&lt;/periodical&gt;&lt;pages&gt;M85-M94&lt;/pages&gt;&lt;volume&gt;49&lt;/volume&gt;&lt;number&gt;2&lt;/number&gt;&lt;dates&gt;&lt;year&gt;1994&lt;/year&gt;&lt;/dates&gt;&lt;isbn&gt;0022-1422&lt;/isbn&gt;&lt;urls&gt;&lt;/urls&gt;&lt;/record&gt;&lt;/Cite&gt;&lt;/EndNote&gt;</w:instrText>
      </w:r>
      <w:r>
        <w:rPr>
          <w:sz w:val="24"/>
          <w:szCs w:val="24"/>
          <w:lang w:val="en-CA"/>
        </w:rPr>
        <w:fldChar w:fldCharType="separate"/>
      </w:r>
      <w:r>
        <w:rPr>
          <w:noProof/>
          <w:sz w:val="24"/>
          <w:szCs w:val="24"/>
          <w:lang w:val="en-CA"/>
        </w:rPr>
        <w:t>[</w:t>
      </w:r>
      <w:hyperlink w:anchor="_ENREF_2" w:tooltip="Guralnik, 1994 #72" w:history="1">
        <w:r w:rsidR="008F50E3">
          <w:rPr>
            <w:noProof/>
            <w:sz w:val="24"/>
            <w:szCs w:val="24"/>
            <w:lang w:val="en-CA"/>
          </w:rPr>
          <w:t>2</w:t>
        </w:r>
      </w:hyperlink>
      <w:r>
        <w:rPr>
          <w:noProof/>
          <w:sz w:val="24"/>
          <w:szCs w:val="24"/>
          <w:lang w:val="en-CA"/>
        </w:rPr>
        <w:t>]</w:t>
      </w:r>
      <w:r>
        <w:rPr>
          <w:sz w:val="24"/>
          <w:szCs w:val="24"/>
          <w:lang w:val="en-CA"/>
        </w:rPr>
        <w:fldChar w:fldCharType="end"/>
      </w:r>
      <w:r w:rsidRPr="00095FA1">
        <w:rPr>
          <w:sz w:val="24"/>
          <w:szCs w:val="24"/>
          <w:lang w:val="en-CA"/>
        </w:rPr>
        <w:t xml:space="preserve">), </w:t>
      </w:r>
      <w:r w:rsidRPr="00982C89">
        <w:rPr>
          <w:sz w:val="24"/>
          <w:szCs w:val="24"/>
          <w:lang w:val="en-CA"/>
        </w:rPr>
        <w:t>SF36 phys</w:t>
      </w:r>
      <w:r>
        <w:rPr>
          <w:sz w:val="24"/>
          <w:szCs w:val="24"/>
          <w:lang w:val="en-CA"/>
        </w:rPr>
        <w:t>ical and mental components</w:t>
      </w:r>
      <w:r w:rsidRPr="00982C89">
        <w:rPr>
          <w:sz w:val="24"/>
          <w:szCs w:val="24"/>
          <w:lang w:val="en-CA"/>
        </w:rPr>
        <w:t>,</w:t>
      </w:r>
      <w:r>
        <w:rPr>
          <w:sz w:val="24"/>
          <w:szCs w:val="24"/>
          <w:lang w:val="en-CA"/>
        </w:rPr>
        <w:t xml:space="preserve"> </w:t>
      </w: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ADDIN EN.CITE &lt;EndNote&gt;&lt;Cite&gt;&lt;Author&gt;Ware Jr&lt;/Author&gt;&lt;Year&gt;1992&lt;/Year&gt;&lt;RecNum&gt;82&lt;/RecNum&gt;&lt;DisplayText&gt;[3]&lt;/DisplayText&gt;&lt;record&gt;&lt;rec-number&gt;82&lt;/rec-number&gt;&lt;foreign-keys&gt;&lt;key app="EN" db-id="x9dtaaxafdswsvewwruxft9h9w29zvw229xf"&gt;82&lt;/key&gt;&lt;/foreign-keys&gt;&lt;ref-type name="Journal Article"&gt;17&lt;/ref-type&gt;&lt;contributors&gt;&lt;authors&gt;&lt;author&gt;Ware Jr, John E&lt;/author&gt;&lt;author&gt;Sherbourne, Cathy Donald&lt;/author&gt;&lt;/authors&gt;&lt;/contributors&gt;&lt;titles&gt;&lt;title&gt;The MOS 36-item short-form health survey (SF-36): I. Conceptual framework and item selection&lt;/title&gt;&lt;secondary-title&gt;Medical care&lt;/secondary-title&gt;&lt;/titles&gt;&lt;periodical&gt;&lt;full-title&gt;Medical care&lt;/full-title&gt;&lt;/periodical&gt;&lt;pages&gt;473-483&lt;/pages&gt;&lt;dates&gt;&lt;year&gt;1992&lt;/year&gt;&lt;/dates&gt;&lt;isbn&gt;0025-7079&lt;/isbn&gt;&lt;urls&gt;&lt;/urls&gt;&lt;/record&gt;&lt;/Cite&gt;&lt;/EndNote&gt;</w:instrText>
      </w:r>
      <w:r>
        <w:rPr>
          <w:sz w:val="24"/>
          <w:szCs w:val="24"/>
          <w:lang w:val="en-CA"/>
        </w:rPr>
        <w:fldChar w:fldCharType="separate"/>
      </w:r>
      <w:r>
        <w:rPr>
          <w:noProof/>
          <w:sz w:val="24"/>
          <w:szCs w:val="24"/>
          <w:lang w:val="en-CA"/>
        </w:rPr>
        <w:t>[</w:t>
      </w:r>
      <w:hyperlink w:anchor="_ENREF_3" w:tooltip="Ware Jr, 1992 #82" w:history="1">
        <w:r w:rsidR="008F50E3">
          <w:rPr>
            <w:noProof/>
            <w:sz w:val="24"/>
            <w:szCs w:val="24"/>
            <w:lang w:val="en-CA"/>
          </w:rPr>
          <w:t>3</w:t>
        </w:r>
      </w:hyperlink>
      <w:r>
        <w:rPr>
          <w:noProof/>
          <w:sz w:val="24"/>
          <w:szCs w:val="24"/>
          <w:lang w:val="en-CA"/>
        </w:rPr>
        <w:t>]</w:t>
      </w:r>
      <w:r>
        <w:rPr>
          <w:sz w:val="24"/>
          <w:szCs w:val="24"/>
          <w:lang w:val="en-CA"/>
        </w:rPr>
        <w:fldChar w:fldCharType="end"/>
      </w:r>
      <w:r w:rsidRPr="00982C89">
        <w:rPr>
          <w:sz w:val="24"/>
          <w:szCs w:val="24"/>
          <w:lang w:val="en-CA"/>
        </w:rPr>
        <w:t xml:space="preserve"> GDS</w:t>
      </w:r>
      <w:r>
        <w:rPr>
          <w:sz w:val="24"/>
          <w:szCs w:val="24"/>
          <w:lang w:val="en-CA"/>
        </w:rPr>
        <w:t xml:space="preserve">, </w:t>
      </w: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ADDIN EN.CITE &lt;EndNote&gt;&lt;Cite&gt;&lt;Author&gt;Yesavage&lt;/Author&gt;&lt;Year&gt;1986&lt;/Year&gt;&lt;RecNum&gt;27&lt;/RecNum&gt;&lt;DisplayText&gt;[4]&lt;/DisplayText&gt;&lt;record&gt;&lt;rec-number&gt;27&lt;/rec-number&gt;&lt;foreign-keys&gt;&lt;key app="EN" db-id="x9dtaaxafdswsvewwruxft9h9w29zvw229xf"&gt;27&lt;/key&gt;&lt;/foreign-keys&gt;&lt;ref-type name="Journal Article"&gt;17&lt;/ref-type&gt;&lt;contributors&gt;&lt;authors&gt;&lt;author&gt;Yesavage, Jerome A&lt;/author&gt;&lt;author&gt;Sheikh, Javaid I&lt;/author&gt;&lt;/authors&gt;&lt;/contributors&gt;&lt;titles&gt;&lt;title&gt;9/Geriatric depression scale (GDS) recent evidence and development of a shorter version&lt;/title&gt;&lt;secondary-title&gt;Clinical gerontologist&lt;/secondary-title&gt;&lt;/titles&gt;&lt;periodical&gt;&lt;full-title&gt;Clinical gerontologist&lt;/full-title&gt;&lt;/periodical&gt;&lt;pages&gt;165-173&lt;/pages&gt;&lt;volume&gt;5&lt;/volume&gt;&lt;number&gt;1-2&lt;/number&gt;&lt;dates&gt;&lt;year&gt;1986&lt;/year&gt;&lt;/dates&gt;&lt;isbn&gt;0731-7115&lt;/isbn&gt;&lt;urls&gt;&lt;/urls&gt;&lt;/record&gt;&lt;/Cite&gt;&lt;/EndNote&gt;</w:instrText>
      </w:r>
      <w:r>
        <w:rPr>
          <w:sz w:val="24"/>
          <w:szCs w:val="24"/>
          <w:lang w:val="en-CA"/>
        </w:rPr>
        <w:fldChar w:fldCharType="separate"/>
      </w:r>
      <w:r>
        <w:rPr>
          <w:noProof/>
          <w:sz w:val="24"/>
          <w:szCs w:val="24"/>
          <w:lang w:val="en-CA"/>
        </w:rPr>
        <w:t>[</w:t>
      </w:r>
      <w:hyperlink w:anchor="_ENREF_4" w:tooltip="Yesavage, 1986 #27" w:history="1">
        <w:r w:rsidR="008F50E3">
          <w:rPr>
            <w:noProof/>
            <w:sz w:val="24"/>
            <w:szCs w:val="24"/>
            <w:lang w:val="en-CA"/>
          </w:rPr>
          <w:t>4</w:t>
        </w:r>
      </w:hyperlink>
      <w:r>
        <w:rPr>
          <w:noProof/>
          <w:sz w:val="24"/>
          <w:szCs w:val="24"/>
          <w:lang w:val="en-CA"/>
        </w:rPr>
        <w:t>]</w:t>
      </w:r>
      <w:r>
        <w:rPr>
          <w:sz w:val="24"/>
          <w:szCs w:val="24"/>
          <w:lang w:val="en-CA"/>
        </w:rPr>
        <w:fldChar w:fldCharType="end"/>
      </w:r>
      <w:r>
        <w:rPr>
          <w:sz w:val="24"/>
          <w:szCs w:val="24"/>
          <w:lang w:val="en-CA"/>
        </w:rPr>
        <w:t xml:space="preserve"> comorbid conditions, </w:t>
      </w: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ADDIN EN.CITE &lt;EndNote&gt;&lt;Cite&gt;&lt;Author&gt;Groll&lt;/Author&gt;&lt;Year&gt;2005&lt;/Year&gt;&lt;RecNum&gt;83&lt;/RecNum&gt;&lt;DisplayText&gt;[5]&lt;/DisplayText&gt;&lt;record&gt;&lt;rec-number&gt;83&lt;/rec-number&gt;&lt;foreign-keys&gt;&lt;key app="EN" db-id="x9dtaaxafdswsvewwruxft9h9w29zvw229xf"&gt;83&lt;/key&gt;&lt;/foreign-keys&gt;&lt;ref-type name="Journal Article"&gt;17&lt;/ref-type&gt;&lt;contributors&gt;&lt;authors&gt;&lt;author&gt;Groll, Dianne L&lt;/author&gt;&lt;author&gt;To, Teresa&lt;/author&gt;&lt;author&gt;Bombardier, Claire&lt;/author&gt;&lt;author&gt;Wright, James G&lt;/author&gt;&lt;/authors&gt;&lt;/contributors&gt;&lt;titles&gt;&lt;title&gt;The development of a comorbidity index with physical function as the outcome&lt;/title&gt;&lt;secondary-title&gt;Journal of clinical epidemiology&lt;/secondary-title&gt;&lt;/titles&gt;&lt;periodical&gt;&lt;full-title&gt;Journal of Clinical Epidemiology&lt;/full-title&gt;&lt;/periodical&gt;&lt;pages&gt;595-602&lt;/pages&gt;&lt;volume&gt;58&lt;/volume&gt;&lt;number&gt;6&lt;/number&gt;&lt;dates&gt;&lt;year&gt;2005&lt;/year&gt;&lt;/dates&gt;&lt;isbn&gt;0895-4356&lt;/isbn&gt;&lt;urls&gt;&lt;/urls&gt;&lt;/record&gt;&lt;/Cite&gt;&lt;/EndNote&gt;</w:instrText>
      </w:r>
      <w:r>
        <w:rPr>
          <w:sz w:val="24"/>
          <w:szCs w:val="24"/>
          <w:lang w:val="en-CA"/>
        </w:rPr>
        <w:fldChar w:fldCharType="separate"/>
      </w:r>
      <w:r>
        <w:rPr>
          <w:noProof/>
          <w:sz w:val="24"/>
          <w:szCs w:val="24"/>
          <w:lang w:val="en-CA"/>
        </w:rPr>
        <w:t>[</w:t>
      </w:r>
      <w:hyperlink w:anchor="_ENREF_5" w:tooltip="Groll, 2005 #83" w:history="1">
        <w:r w:rsidR="008F50E3">
          <w:rPr>
            <w:noProof/>
            <w:sz w:val="24"/>
            <w:szCs w:val="24"/>
            <w:lang w:val="en-CA"/>
          </w:rPr>
          <w:t>5</w:t>
        </w:r>
      </w:hyperlink>
      <w:r>
        <w:rPr>
          <w:noProof/>
          <w:sz w:val="24"/>
          <w:szCs w:val="24"/>
          <w:lang w:val="en-CA"/>
        </w:rPr>
        <w:t>]</w:t>
      </w:r>
      <w:r>
        <w:rPr>
          <w:sz w:val="24"/>
          <w:szCs w:val="24"/>
          <w:lang w:val="en-CA"/>
        </w:rPr>
        <w:fldChar w:fldCharType="end"/>
      </w:r>
      <w:r w:rsidRPr="00982C89">
        <w:rPr>
          <w:sz w:val="24"/>
          <w:szCs w:val="24"/>
          <w:lang w:val="en-CA"/>
        </w:rPr>
        <w:t xml:space="preserve"> self-reported health</w:t>
      </w:r>
      <w:r w:rsidRPr="0019427B">
        <w:rPr>
          <w:sz w:val="24"/>
          <w:szCs w:val="24"/>
          <w:lang w:val="en-CA"/>
        </w:rPr>
        <w:t xml:space="preserve"> </w:t>
      </w:r>
      <w:r w:rsidRPr="00095FA1">
        <w:rPr>
          <w:sz w:val="24"/>
          <w:szCs w:val="24"/>
          <w:lang w:val="en-CA"/>
        </w:rPr>
        <w:t>disability</w:t>
      </w:r>
      <w:r>
        <w:rPr>
          <w:sz w:val="24"/>
          <w:szCs w:val="24"/>
          <w:lang w:val="en-CA"/>
        </w:rPr>
        <w:t>, and a questionnaire based on</w:t>
      </w:r>
      <w:r w:rsidRPr="00982C89">
        <w:rPr>
          <w:sz w:val="24"/>
          <w:szCs w:val="24"/>
          <w:lang w:val="en-CA"/>
        </w:rPr>
        <w:t xml:space="preserve"> activities of daily living (ADL</w:t>
      </w:r>
      <w:r>
        <w:rPr>
          <w:sz w:val="24"/>
          <w:szCs w:val="24"/>
          <w:lang w:val="en-CA"/>
        </w:rPr>
        <w:t xml:space="preserve"> </w:t>
      </w: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ADDIN EN.CITE &lt;EndNote&gt;&lt;Cite&gt;&lt;Author&gt;Katz&lt;/Author&gt;&lt;Year&gt;1963&lt;/Year&gt;&lt;RecNum&gt;80&lt;/RecNum&gt;&lt;DisplayText&gt;[6]&lt;/DisplayText&gt;&lt;record&gt;&lt;rec-number&gt;80&lt;/rec-number&gt;&lt;foreign-keys&gt;&lt;key app="EN" db-id="x9dtaaxafdswsvewwruxft9h9w29zvw229xf"&gt;80&lt;/key&gt;&lt;/foreign-keys&gt;&lt;ref-type name="Journal Article"&gt;17&lt;/ref-type&gt;&lt;contributors&gt;&lt;authors&gt;&lt;author&gt;Katz, Sidney&lt;/author&gt;&lt;author&gt;Ford, Amasa B&lt;/author&gt;&lt;author&gt;Moskowitz, Roland W&lt;/author&gt;&lt;author&gt;Jackson, Beverly A&lt;/author&gt;&lt;author&gt;Jaffe, Marjorie W&lt;/author&gt;&lt;/authors&gt;&lt;/contributors&gt;&lt;titles&gt;&lt;title&gt;Studies of illness in the aged: the index of ADL: a standardized measure of biological and psychosocial function&lt;/title&gt;&lt;secondary-title&gt;Jama&lt;/secondary-title&gt;&lt;/titles&gt;&lt;periodical&gt;&lt;full-title&gt;Jama&lt;/full-title&gt;&lt;/periodical&gt;&lt;pages&gt;914-919&lt;/pages&gt;&lt;volume&gt;185&lt;/volume&gt;&lt;number&gt;12&lt;/number&gt;&lt;dates&gt;&lt;year&gt;1963&lt;/year&gt;&lt;/dates&gt;&lt;isbn&gt;0098-7484&lt;/isbn&gt;&lt;urls&gt;&lt;/urls&gt;&lt;/record&gt;&lt;/Cite&gt;&lt;/EndNote&gt;</w:instrText>
      </w:r>
      <w:r>
        <w:rPr>
          <w:sz w:val="24"/>
          <w:szCs w:val="24"/>
          <w:lang w:val="en-CA"/>
        </w:rPr>
        <w:fldChar w:fldCharType="separate"/>
      </w:r>
      <w:r>
        <w:rPr>
          <w:noProof/>
          <w:sz w:val="24"/>
          <w:szCs w:val="24"/>
          <w:lang w:val="en-CA"/>
        </w:rPr>
        <w:t>[</w:t>
      </w:r>
      <w:hyperlink w:anchor="_ENREF_6" w:tooltip="Katz, 1963 #80" w:history="1">
        <w:r w:rsidR="008F50E3">
          <w:rPr>
            <w:noProof/>
            <w:sz w:val="24"/>
            <w:szCs w:val="24"/>
            <w:lang w:val="en-CA"/>
          </w:rPr>
          <w:t>6</w:t>
        </w:r>
      </w:hyperlink>
      <w:r>
        <w:rPr>
          <w:noProof/>
          <w:sz w:val="24"/>
          <w:szCs w:val="24"/>
          <w:lang w:val="en-CA"/>
        </w:rPr>
        <w:t>]</w:t>
      </w:r>
      <w:r>
        <w:rPr>
          <w:sz w:val="24"/>
          <w:szCs w:val="24"/>
          <w:lang w:val="en-CA"/>
        </w:rPr>
        <w:fldChar w:fldCharType="end"/>
      </w:r>
      <w:r>
        <w:rPr>
          <w:sz w:val="24"/>
          <w:szCs w:val="24"/>
          <w:lang w:val="en-CA"/>
        </w:rPr>
        <w:t>) and</w:t>
      </w:r>
      <w:r w:rsidRPr="00982C89">
        <w:rPr>
          <w:sz w:val="24"/>
          <w:szCs w:val="24"/>
          <w:lang w:val="en-CA"/>
        </w:rPr>
        <w:t xml:space="preserve"> </w:t>
      </w:r>
      <w:r>
        <w:rPr>
          <w:sz w:val="24"/>
          <w:szCs w:val="24"/>
          <w:lang w:val="en-CA"/>
        </w:rPr>
        <w:t>instrumental</w:t>
      </w:r>
      <w:r w:rsidRPr="00982C89">
        <w:rPr>
          <w:sz w:val="24"/>
          <w:szCs w:val="24"/>
          <w:lang w:val="en-CA"/>
        </w:rPr>
        <w:t xml:space="preserve"> activities of daily living (</w:t>
      </w:r>
      <w:r>
        <w:rPr>
          <w:sz w:val="24"/>
          <w:szCs w:val="24"/>
          <w:lang w:val="en-CA"/>
        </w:rPr>
        <w:t>I</w:t>
      </w:r>
      <w:r w:rsidRPr="00982C89">
        <w:rPr>
          <w:sz w:val="24"/>
          <w:szCs w:val="24"/>
          <w:lang w:val="en-CA"/>
        </w:rPr>
        <w:t>ADL</w:t>
      </w:r>
      <w:r>
        <w:rPr>
          <w:sz w:val="24"/>
          <w:szCs w:val="24"/>
          <w:lang w:val="en-CA"/>
        </w:rPr>
        <w:t xml:space="preserve"> </w:t>
      </w: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ADDIN EN.CITE &lt;EndNote&gt;&lt;Cite&gt;&lt;Author&gt;Lawton&lt;/Author&gt;&lt;Year&gt;1969&lt;/Year&gt;&lt;RecNum&gt;81&lt;/RecNum&gt;&lt;DisplayText&gt;[7]&lt;/DisplayText&gt;&lt;record&gt;&lt;rec-number&gt;81&lt;/rec-number&gt;&lt;foreign-keys&gt;&lt;key app="EN" db-id="x9dtaaxafdswsvewwruxft9h9w29zvw229xf"&gt;81&lt;/key&gt;&lt;/foreign-keys&gt;&lt;ref-type name="Journal Article"&gt;17&lt;/ref-type&gt;&lt;contributors&gt;&lt;authors&gt;&lt;author&gt;Lawton, M&lt;/author&gt;&lt;author&gt;Brody, E&lt;/author&gt;&lt;/authors&gt;&lt;/contributors&gt;&lt;titles&gt;&lt;title&gt;Assessment of older people: self-maintaining and instrumental activities of daily living&lt;/title&gt;&lt;secondary-title&gt;The Gerontologist&lt;/secondary-title&gt;&lt;/titles&gt;&lt;periodical&gt;&lt;full-title&gt;The Gerontologist&lt;/full-title&gt;&lt;/periodical&gt;&lt;pages&gt;179-186&lt;/pages&gt;&lt;volume&gt;9&lt;/volume&gt;&lt;number&gt;3&lt;/number&gt;&lt;dates&gt;&lt;year&gt;1969&lt;/year&gt;&lt;/dates&gt;&lt;isbn&gt;0029-6562&lt;/isbn&gt;&lt;urls&gt;&lt;/urls&gt;&lt;/record&gt;&lt;/Cite&gt;&lt;/EndNote&gt;</w:instrText>
      </w:r>
      <w:r>
        <w:rPr>
          <w:sz w:val="24"/>
          <w:szCs w:val="24"/>
          <w:lang w:val="en-CA"/>
        </w:rPr>
        <w:fldChar w:fldCharType="separate"/>
      </w:r>
      <w:r>
        <w:rPr>
          <w:noProof/>
          <w:sz w:val="24"/>
          <w:szCs w:val="24"/>
          <w:lang w:val="en-CA"/>
        </w:rPr>
        <w:t>[</w:t>
      </w:r>
      <w:hyperlink w:anchor="_ENREF_7" w:tooltip="Lawton, 1969 #81" w:history="1">
        <w:r w:rsidR="008F50E3">
          <w:rPr>
            <w:noProof/>
            <w:sz w:val="24"/>
            <w:szCs w:val="24"/>
            <w:lang w:val="en-CA"/>
          </w:rPr>
          <w:t>7</w:t>
        </w:r>
      </w:hyperlink>
      <w:r>
        <w:rPr>
          <w:noProof/>
          <w:sz w:val="24"/>
          <w:szCs w:val="24"/>
          <w:lang w:val="en-CA"/>
        </w:rPr>
        <w:t>]</w:t>
      </w:r>
      <w:r>
        <w:rPr>
          <w:sz w:val="24"/>
          <w:szCs w:val="24"/>
          <w:lang w:val="en-CA"/>
        </w:rPr>
        <w:fldChar w:fldCharType="end"/>
      </w:r>
      <w:r>
        <w:rPr>
          <w:sz w:val="24"/>
          <w:szCs w:val="24"/>
          <w:lang w:val="en-CA"/>
        </w:rPr>
        <w:t>)</w:t>
      </w:r>
      <w:r w:rsidRPr="00982C89">
        <w:rPr>
          <w:sz w:val="24"/>
          <w:szCs w:val="24"/>
          <w:lang w:val="en-CA"/>
        </w:rPr>
        <w:t xml:space="preserve">. Stability of reliability coefficients for gait speed and grip strength </w:t>
      </w:r>
      <w:r>
        <w:rPr>
          <w:sz w:val="24"/>
          <w:szCs w:val="24"/>
          <w:lang w:val="en-CA"/>
        </w:rPr>
        <w:t>was</w:t>
      </w:r>
      <w:r w:rsidRPr="00982C89">
        <w:rPr>
          <w:sz w:val="24"/>
          <w:szCs w:val="24"/>
          <w:lang w:val="en-CA"/>
        </w:rPr>
        <w:t xml:space="preserve"> not assessed; both were measured using standardized performance tests.  </w:t>
      </w:r>
    </w:p>
    <w:p w:rsidR="001D72B3" w:rsidRDefault="001D72B3" w:rsidP="00691CFA">
      <w:pPr>
        <w:spacing w:after="120" w:line="480" w:lineRule="auto"/>
        <w:rPr>
          <w:sz w:val="24"/>
          <w:szCs w:val="24"/>
          <w:lang w:val="en-CA"/>
        </w:rPr>
      </w:pPr>
      <w:r w:rsidRPr="00AF17B8">
        <w:rPr>
          <w:sz w:val="24"/>
          <w:szCs w:val="24"/>
          <w:lang w:val="en-CA"/>
        </w:rPr>
        <w:tab/>
        <w:t>Reliability coefficients varied through</w:t>
      </w:r>
      <w:r>
        <w:rPr>
          <w:sz w:val="24"/>
          <w:szCs w:val="24"/>
          <w:lang w:val="en-CA"/>
        </w:rPr>
        <w:t>out the</w:t>
      </w:r>
      <w:r w:rsidRPr="00AF17B8">
        <w:rPr>
          <w:sz w:val="24"/>
          <w:szCs w:val="24"/>
          <w:lang w:val="en-CA"/>
        </w:rPr>
        <w:t xml:space="preserve"> panels within a range of 0.02 for </w:t>
      </w:r>
      <w:proofErr w:type="spellStart"/>
      <w:r w:rsidRPr="00AF17B8">
        <w:rPr>
          <w:sz w:val="24"/>
          <w:szCs w:val="24"/>
          <w:lang w:val="en-CA"/>
        </w:rPr>
        <w:t>MoCA</w:t>
      </w:r>
      <w:proofErr w:type="spellEnd"/>
      <w:r w:rsidRPr="00AF17B8">
        <w:rPr>
          <w:sz w:val="24"/>
          <w:szCs w:val="24"/>
          <w:lang w:val="en-CA"/>
        </w:rPr>
        <w:t xml:space="preserve"> (T0: 0.78; T1: 0.</w:t>
      </w:r>
      <w:r w:rsidRPr="00E17682">
        <w:rPr>
          <w:sz w:val="24"/>
          <w:szCs w:val="24"/>
          <w:lang w:val="en-CA"/>
        </w:rPr>
        <w:t xml:space="preserve">80; T2: 0.80), 0.03 for GDS (T0: 0.75; T1: 0.78; T2: 0.78), and 0.04 for </w:t>
      </w:r>
      <w:r>
        <w:rPr>
          <w:sz w:val="24"/>
          <w:szCs w:val="24"/>
          <w:lang w:val="en-CA"/>
        </w:rPr>
        <w:t>LoC</w:t>
      </w:r>
      <w:r w:rsidRPr="00E17682">
        <w:rPr>
          <w:sz w:val="24"/>
          <w:szCs w:val="24"/>
          <w:lang w:val="en-CA"/>
        </w:rPr>
        <w:t xml:space="preserve"> (T0: 0.70; T1: 0.73; T2: 0.74). Ranges of variation in correlation of</w:t>
      </w:r>
      <w:r>
        <w:rPr>
          <w:sz w:val="24"/>
          <w:szCs w:val="24"/>
          <w:lang w:val="en-CA"/>
        </w:rPr>
        <w:t xml:space="preserve"> LSA with the Baker et al. </w:t>
      </w: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ADDIN EN.CITE &lt;EndNote&gt;&lt;Cite&gt;&lt;Author&gt;Baker&lt;/Author&gt;&lt;Year&gt;2003&lt;/Year&gt;&lt;RecNum&gt;4&lt;/RecNum&gt;&lt;DisplayText&gt;[1]&lt;/DisplayText&gt;&lt;record&gt;&lt;rec-number&gt;4&lt;/rec-number&gt;&lt;foreign-keys&gt;&lt;key app="EN" db-id="x9dtaaxafdswsvewwruxft9h9w29zvw229xf"&gt;4&lt;/key&gt;&lt;/foreign-keys&gt;&lt;ref-type name="Journal Article"&gt;17&lt;/ref-type&gt;&lt;contributors&gt;&lt;authors&gt;&lt;author&gt;Baker, Patricia S&lt;/author&gt;&lt;author&gt;Bodner, Eric V&lt;/author&gt;&lt;author&gt;Allman, Richard M&lt;/author&gt;&lt;/authors&gt;&lt;/contributors&gt;&lt;titles&gt;&lt;title&gt;Measuring life‐space mobility in community‐dwelling older adults&lt;/title&gt;&lt;secondary-title&gt;Journal of the American Geriatrics Society&lt;/secondary-title&gt;&lt;/titles&gt;&lt;periodical&gt;&lt;full-title&gt;Journal of the American Geriatrics Society&lt;/full-title&gt;&lt;/periodical&gt;&lt;pages&gt;1610-1614&lt;/pages&gt;&lt;volume&gt;51&lt;/volume&gt;&lt;number&gt;11&lt;/number&gt;&lt;dates&gt;&lt;year&gt;2003&lt;/year&gt;&lt;/dates&gt;&lt;isbn&gt;1532-5415&lt;/isbn&gt;&lt;urls&gt;&lt;/urls&gt;&lt;/record&gt;&lt;/Cite&gt;&lt;/EndNote&gt;</w:instrText>
      </w:r>
      <w:r>
        <w:rPr>
          <w:sz w:val="24"/>
          <w:szCs w:val="24"/>
          <w:lang w:val="en-CA"/>
        </w:rPr>
        <w:fldChar w:fldCharType="separate"/>
      </w:r>
      <w:r>
        <w:rPr>
          <w:noProof/>
          <w:sz w:val="24"/>
          <w:szCs w:val="24"/>
          <w:lang w:val="en-CA"/>
        </w:rPr>
        <w:t>[</w:t>
      </w:r>
      <w:hyperlink w:anchor="_ENREF_1" w:tooltip="Baker, 2003 #4" w:history="1">
        <w:r w:rsidR="008F50E3">
          <w:rPr>
            <w:noProof/>
            <w:sz w:val="24"/>
            <w:szCs w:val="24"/>
            <w:lang w:val="en-CA"/>
          </w:rPr>
          <w:t>1</w:t>
        </w:r>
      </w:hyperlink>
      <w:r>
        <w:rPr>
          <w:noProof/>
          <w:sz w:val="24"/>
          <w:szCs w:val="24"/>
          <w:lang w:val="en-CA"/>
        </w:rPr>
        <w:t>]</w:t>
      </w:r>
      <w:r>
        <w:rPr>
          <w:sz w:val="24"/>
          <w:szCs w:val="24"/>
          <w:lang w:val="en-CA"/>
        </w:rPr>
        <w:fldChar w:fldCharType="end"/>
      </w:r>
      <w:r w:rsidRPr="00E17682">
        <w:rPr>
          <w:sz w:val="24"/>
          <w:szCs w:val="24"/>
          <w:lang w:val="en-CA"/>
        </w:rPr>
        <w:t xml:space="preserve"> validating measurements set between panels, were at a low of 0.02 and a high of 0.04 for correlation varying in absolute value from </w:t>
      </w:r>
      <w:r>
        <w:rPr>
          <w:sz w:val="24"/>
          <w:szCs w:val="24"/>
          <w:lang w:val="en-CA"/>
        </w:rPr>
        <w:t>±0.30 to ±0.60. E</w:t>
      </w:r>
      <w:r w:rsidRPr="00E17682">
        <w:rPr>
          <w:sz w:val="24"/>
          <w:szCs w:val="24"/>
          <w:lang w:val="en-CA"/>
        </w:rPr>
        <w:t>stimated correlation in FRéLE w</w:t>
      </w:r>
      <w:r>
        <w:rPr>
          <w:sz w:val="24"/>
          <w:szCs w:val="24"/>
          <w:lang w:val="en-CA"/>
        </w:rPr>
        <w:t>as</w:t>
      </w:r>
      <w:r w:rsidRPr="00E17682">
        <w:rPr>
          <w:sz w:val="24"/>
          <w:szCs w:val="24"/>
          <w:lang w:val="en-CA"/>
        </w:rPr>
        <w:t xml:space="preserve"> in the same range as correlation</w:t>
      </w:r>
      <w:r>
        <w:rPr>
          <w:sz w:val="24"/>
          <w:szCs w:val="24"/>
          <w:lang w:val="en-CA"/>
        </w:rPr>
        <w:t xml:space="preserve"> obtained by Baker et al.</w:t>
      </w:r>
      <w:r w:rsidRPr="00F0324F">
        <w:rPr>
          <w:noProof/>
          <w:sz w:val="24"/>
          <w:szCs w:val="24"/>
          <w:vertAlign w:val="superscript"/>
          <w:lang w:val="en-CA"/>
        </w:rPr>
        <w:t>1</w:t>
      </w:r>
      <w:r w:rsidRPr="00E17682">
        <w:rPr>
          <w:sz w:val="24"/>
          <w:szCs w:val="24"/>
          <w:lang w:val="en-CA"/>
        </w:rPr>
        <w:t xml:space="preserve"> except for BADL (FRéLE: -0.60; Baker et al</w:t>
      </w:r>
      <w:r>
        <w:rPr>
          <w:sz w:val="24"/>
          <w:szCs w:val="24"/>
          <w:lang w:val="en-CA"/>
        </w:rPr>
        <w:t xml:space="preserve">. </w:t>
      </w: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ADDIN EN.CITE &lt;EndNote&gt;&lt;Cite&gt;&lt;Author&gt;Baker&lt;/Author&gt;&lt;Year&gt;2003&lt;/Year&gt;&lt;RecNum&gt;4&lt;/RecNum&gt;&lt;DisplayText&gt;[1]&lt;/DisplayText&gt;&lt;record&gt;&lt;rec-number&gt;4&lt;/rec-number&gt;&lt;foreign-keys&gt;&lt;key app="EN" db-id="x9dtaaxafdswsvewwruxft9h9w29zvw229xf"&gt;4&lt;/key&gt;&lt;/foreign-keys&gt;&lt;ref-type name="Journal Article"&gt;17&lt;/ref-type&gt;&lt;contributors&gt;&lt;authors&gt;&lt;author&gt;Baker, Patricia S&lt;/author&gt;&lt;author&gt;Bodner, Eric V&lt;/author&gt;&lt;author&gt;Allman, Richard M&lt;/author&gt;&lt;/authors&gt;&lt;/contributors&gt;&lt;titles&gt;&lt;title&gt;Measuring life‐space mobility in community‐dwelling older adults&lt;/title&gt;&lt;secondary-title&gt;Journal of the American Geriatrics Society&lt;/secondary-title&gt;&lt;/titles&gt;&lt;periodical&gt;&lt;full-title&gt;Journal of the American Geriatrics Society&lt;/full-title&gt;&lt;/periodical&gt;&lt;pages&gt;1610-1614&lt;/pages&gt;&lt;volume&gt;51&lt;/volume&gt;&lt;number&gt;11&lt;/number&gt;&lt;dates&gt;&lt;year&gt;2003&lt;/year&gt;&lt;/dates&gt;&lt;isbn&gt;1532-5415&lt;/isbn&gt;&lt;urls&gt;&lt;/urls&gt;&lt;/record&gt;&lt;/Cite&gt;&lt;/EndNote&gt;</w:instrText>
      </w:r>
      <w:r>
        <w:rPr>
          <w:sz w:val="24"/>
          <w:szCs w:val="24"/>
          <w:lang w:val="en-CA"/>
        </w:rPr>
        <w:fldChar w:fldCharType="separate"/>
      </w:r>
      <w:r>
        <w:rPr>
          <w:noProof/>
          <w:sz w:val="24"/>
          <w:szCs w:val="24"/>
          <w:lang w:val="en-CA"/>
        </w:rPr>
        <w:t>[</w:t>
      </w:r>
      <w:hyperlink w:anchor="_ENREF_1" w:tooltip="Baker, 2003 #4" w:history="1">
        <w:r w:rsidR="008F50E3">
          <w:rPr>
            <w:noProof/>
            <w:sz w:val="24"/>
            <w:szCs w:val="24"/>
            <w:lang w:val="en-CA"/>
          </w:rPr>
          <w:t>1</w:t>
        </w:r>
      </w:hyperlink>
      <w:r>
        <w:rPr>
          <w:noProof/>
          <w:sz w:val="24"/>
          <w:szCs w:val="24"/>
          <w:lang w:val="en-CA"/>
        </w:rPr>
        <w:t>]</w:t>
      </w:r>
      <w:r>
        <w:rPr>
          <w:sz w:val="24"/>
          <w:szCs w:val="24"/>
          <w:lang w:val="en-CA"/>
        </w:rPr>
        <w:fldChar w:fldCharType="end"/>
      </w:r>
      <w:r w:rsidRPr="00E17682">
        <w:rPr>
          <w:sz w:val="24"/>
          <w:szCs w:val="24"/>
          <w:lang w:val="en-CA"/>
        </w:rPr>
        <w:t>: -0.39) and for comorbid conditions (FRéLE: -0.30; Baker et al</w:t>
      </w:r>
      <w:r>
        <w:rPr>
          <w:sz w:val="24"/>
          <w:szCs w:val="24"/>
          <w:lang w:val="en-CA"/>
        </w:rPr>
        <w:t xml:space="preserve">. </w:t>
      </w: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ADDIN EN.CITE &lt;EndNote&gt;&lt;Cite&gt;&lt;Author&gt;Baker&lt;/Author&gt;&lt;Year&gt;2003&lt;/Year&gt;&lt;RecNum&gt;4&lt;/RecNum&gt;&lt;DisplayText&gt;[1]&lt;/DisplayText&gt;&lt;record&gt;&lt;rec-number&gt;4&lt;/rec-number&gt;&lt;foreign-keys&gt;&lt;key app="EN" db-id="x9dtaaxafdswsvewwruxft9h9w29zvw229xf"&gt;4&lt;/key&gt;&lt;/foreign-keys&gt;&lt;ref-type name="Journal Article"&gt;17&lt;/ref-type&gt;&lt;contributors&gt;&lt;authors&gt;&lt;author&gt;Baker, Patricia S&lt;/author&gt;&lt;author&gt;Bodner, Eric V&lt;/author&gt;&lt;author&gt;Allman, Richard M&lt;/author&gt;&lt;/authors&gt;&lt;/contributors&gt;&lt;titles&gt;&lt;title&gt;Measuring life‐space mobility in community‐dwelling older adults&lt;/title&gt;&lt;secondary-title&gt;Journal of the American Geriatrics Society&lt;/secondary-title&gt;&lt;/titles&gt;&lt;periodical&gt;&lt;full-title&gt;Journal of the American Geriatrics Society&lt;/full-title&gt;&lt;/periodical&gt;&lt;pages&gt;1610-1614&lt;/pages&gt;&lt;volume&gt;51&lt;/volume&gt;&lt;number&gt;11&lt;/number&gt;&lt;dates&gt;&lt;year&gt;2003&lt;/year&gt;&lt;/dates&gt;&lt;isbn&gt;1532-5415&lt;/isbn&gt;&lt;urls&gt;&lt;/urls&gt;&lt;/record&gt;&lt;/Cite&gt;&lt;/EndNote&gt;</w:instrText>
      </w:r>
      <w:r>
        <w:rPr>
          <w:sz w:val="24"/>
          <w:szCs w:val="24"/>
          <w:lang w:val="en-CA"/>
        </w:rPr>
        <w:fldChar w:fldCharType="separate"/>
      </w:r>
      <w:r>
        <w:rPr>
          <w:noProof/>
          <w:sz w:val="24"/>
          <w:szCs w:val="24"/>
          <w:lang w:val="en-CA"/>
        </w:rPr>
        <w:t>[</w:t>
      </w:r>
      <w:hyperlink w:anchor="_ENREF_1" w:tooltip="Baker, 2003 #4" w:history="1">
        <w:r w:rsidR="008F50E3">
          <w:rPr>
            <w:noProof/>
            <w:sz w:val="24"/>
            <w:szCs w:val="24"/>
            <w:lang w:val="en-CA"/>
          </w:rPr>
          <w:t>1</w:t>
        </w:r>
      </w:hyperlink>
      <w:r>
        <w:rPr>
          <w:noProof/>
          <w:sz w:val="24"/>
          <w:szCs w:val="24"/>
          <w:lang w:val="en-CA"/>
        </w:rPr>
        <w:t>]</w:t>
      </w:r>
      <w:r>
        <w:rPr>
          <w:sz w:val="24"/>
          <w:szCs w:val="24"/>
          <w:lang w:val="en-CA"/>
        </w:rPr>
        <w:fldChar w:fldCharType="end"/>
      </w:r>
      <w:r>
        <w:rPr>
          <w:sz w:val="24"/>
          <w:szCs w:val="24"/>
          <w:lang w:val="en-CA"/>
        </w:rPr>
        <w:t>: -0.</w:t>
      </w:r>
      <w:r w:rsidRPr="00E17682">
        <w:rPr>
          <w:sz w:val="24"/>
          <w:szCs w:val="24"/>
          <w:lang w:val="en-CA"/>
        </w:rPr>
        <w:t xml:space="preserve">19). </w:t>
      </w:r>
      <w:r>
        <w:rPr>
          <w:sz w:val="24"/>
          <w:szCs w:val="24"/>
          <w:lang w:val="en-CA"/>
        </w:rPr>
        <w:t xml:space="preserve">Our </w:t>
      </w:r>
      <w:r w:rsidRPr="00E17682">
        <w:rPr>
          <w:sz w:val="24"/>
          <w:szCs w:val="24"/>
          <w:lang w:val="en-CA"/>
        </w:rPr>
        <w:t xml:space="preserve">exploration </w:t>
      </w:r>
      <w:r>
        <w:rPr>
          <w:sz w:val="24"/>
          <w:szCs w:val="24"/>
          <w:lang w:val="en-CA"/>
        </w:rPr>
        <w:t>into the</w:t>
      </w:r>
      <w:r w:rsidRPr="00E17682">
        <w:rPr>
          <w:sz w:val="24"/>
          <w:szCs w:val="24"/>
          <w:lang w:val="en-CA"/>
        </w:rPr>
        <w:t xml:space="preserve"> variability of reliability and of validating measures</w:t>
      </w:r>
      <w:r>
        <w:rPr>
          <w:sz w:val="24"/>
          <w:szCs w:val="24"/>
          <w:lang w:val="en-CA"/>
        </w:rPr>
        <w:t xml:space="preserve"> concludes</w:t>
      </w:r>
      <w:r w:rsidRPr="00E17682">
        <w:rPr>
          <w:sz w:val="24"/>
          <w:szCs w:val="24"/>
          <w:lang w:val="en-CA"/>
        </w:rPr>
        <w:t xml:space="preserve"> that changes in </w:t>
      </w:r>
      <w:proofErr w:type="spellStart"/>
      <w:r w:rsidRPr="00E17682">
        <w:rPr>
          <w:sz w:val="24"/>
          <w:szCs w:val="24"/>
          <w:lang w:val="en-CA"/>
        </w:rPr>
        <w:t>MoCA</w:t>
      </w:r>
      <w:proofErr w:type="spellEnd"/>
      <w:r w:rsidRPr="00E17682">
        <w:rPr>
          <w:sz w:val="24"/>
          <w:szCs w:val="24"/>
          <w:lang w:val="en-CA"/>
        </w:rPr>
        <w:t xml:space="preserve">, GDS, </w:t>
      </w:r>
      <w:r>
        <w:rPr>
          <w:sz w:val="24"/>
          <w:szCs w:val="24"/>
          <w:lang w:val="en-CA"/>
        </w:rPr>
        <w:t>LoC,</w:t>
      </w:r>
      <w:r w:rsidRPr="00E17682">
        <w:rPr>
          <w:sz w:val="24"/>
          <w:szCs w:val="24"/>
          <w:lang w:val="en-CA"/>
        </w:rPr>
        <w:t xml:space="preserve"> and LSA were </w:t>
      </w:r>
      <w:r>
        <w:rPr>
          <w:sz w:val="24"/>
          <w:szCs w:val="24"/>
          <w:lang w:val="en-CA"/>
        </w:rPr>
        <w:t>likely</w:t>
      </w:r>
      <w:r w:rsidRPr="00E17682">
        <w:rPr>
          <w:sz w:val="24"/>
          <w:szCs w:val="24"/>
          <w:lang w:val="en-CA"/>
        </w:rPr>
        <w:t xml:space="preserve"> not attributable to measurement errors.</w:t>
      </w:r>
      <w:r>
        <w:rPr>
          <w:sz w:val="24"/>
          <w:szCs w:val="24"/>
          <w:lang w:val="en-CA"/>
        </w:rPr>
        <w:t xml:space="preserve"> E</w:t>
      </w:r>
      <w:r w:rsidRPr="00E17682">
        <w:rPr>
          <w:sz w:val="24"/>
          <w:szCs w:val="24"/>
          <w:lang w:val="en-CA"/>
        </w:rPr>
        <w:t>vidence o</w:t>
      </w:r>
      <w:r>
        <w:rPr>
          <w:sz w:val="24"/>
          <w:szCs w:val="24"/>
          <w:lang w:val="en-CA"/>
        </w:rPr>
        <w:t xml:space="preserve">f the </w:t>
      </w:r>
      <w:r w:rsidRPr="00E17682">
        <w:rPr>
          <w:sz w:val="24"/>
          <w:szCs w:val="24"/>
          <w:lang w:val="en-CA"/>
        </w:rPr>
        <w:t xml:space="preserve">stability of </w:t>
      </w:r>
      <w:r w:rsidRPr="00E17682">
        <w:rPr>
          <w:sz w:val="24"/>
          <w:szCs w:val="24"/>
          <w:lang w:val="en-CA"/>
        </w:rPr>
        <w:lastRenderedPageBreak/>
        <w:t xml:space="preserve">reliability was </w:t>
      </w:r>
      <w:r>
        <w:rPr>
          <w:sz w:val="24"/>
          <w:szCs w:val="24"/>
          <w:lang w:val="en-CA"/>
        </w:rPr>
        <w:t xml:space="preserve">not </w:t>
      </w:r>
      <w:r w:rsidRPr="00E17682">
        <w:rPr>
          <w:sz w:val="24"/>
          <w:szCs w:val="24"/>
          <w:lang w:val="en-CA"/>
        </w:rPr>
        <w:t xml:space="preserve">available for grip strength </w:t>
      </w:r>
      <w:r>
        <w:rPr>
          <w:sz w:val="24"/>
          <w:szCs w:val="24"/>
          <w:lang w:val="en-CA"/>
        </w:rPr>
        <w:t>or</w:t>
      </w:r>
      <w:r w:rsidRPr="00E17682">
        <w:rPr>
          <w:sz w:val="24"/>
          <w:szCs w:val="24"/>
          <w:lang w:val="en-CA"/>
        </w:rPr>
        <w:t xml:space="preserve"> gait speed, however </w:t>
      </w:r>
      <w:r>
        <w:rPr>
          <w:sz w:val="24"/>
          <w:szCs w:val="24"/>
          <w:lang w:val="en-CA"/>
        </w:rPr>
        <w:t xml:space="preserve">interviewers were systematically </w:t>
      </w:r>
      <w:r w:rsidRPr="00E17682">
        <w:rPr>
          <w:sz w:val="24"/>
          <w:szCs w:val="24"/>
          <w:lang w:val="en-CA"/>
        </w:rPr>
        <w:t>train</w:t>
      </w:r>
      <w:r>
        <w:rPr>
          <w:sz w:val="24"/>
          <w:szCs w:val="24"/>
          <w:lang w:val="en-CA"/>
        </w:rPr>
        <w:t>ed</w:t>
      </w:r>
      <w:r w:rsidRPr="00E17682">
        <w:rPr>
          <w:sz w:val="24"/>
          <w:szCs w:val="24"/>
          <w:lang w:val="en-CA"/>
        </w:rPr>
        <w:t xml:space="preserve"> and retrain</w:t>
      </w:r>
      <w:r>
        <w:rPr>
          <w:sz w:val="24"/>
          <w:szCs w:val="24"/>
          <w:lang w:val="en-CA"/>
        </w:rPr>
        <w:t>ed</w:t>
      </w:r>
      <w:r w:rsidRPr="00E17682">
        <w:rPr>
          <w:sz w:val="24"/>
          <w:szCs w:val="24"/>
          <w:lang w:val="en-CA"/>
        </w:rPr>
        <w:t xml:space="preserve"> </w:t>
      </w:r>
      <w:r>
        <w:rPr>
          <w:sz w:val="24"/>
          <w:szCs w:val="24"/>
          <w:lang w:val="en-CA"/>
        </w:rPr>
        <w:t>before and during</w:t>
      </w:r>
      <w:r w:rsidRPr="00E17682">
        <w:rPr>
          <w:sz w:val="24"/>
          <w:szCs w:val="24"/>
          <w:lang w:val="en-CA"/>
        </w:rPr>
        <w:t xml:space="preserve"> data collection </w:t>
      </w:r>
      <w:r>
        <w:rPr>
          <w:sz w:val="24"/>
          <w:szCs w:val="24"/>
          <w:lang w:val="en-CA"/>
        </w:rPr>
        <w:t>periods</w:t>
      </w:r>
      <w:r w:rsidRPr="00E17682">
        <w:rPr>
          <w:sz w:val="24"/>
          <w:szCs w:val="24"/>
          <w:lang w:val="en-CA"/>
        </w:rPr>
        <w:t xml:space="preserve"> to ensure consistent procedure</w:t>
      </w:r>
      <w:r>
        <w:rPr>
          <w:sz w:val="24"/>
          <w:szCs w:val="24"/>
          <w:lang w:val="en-CA"/>
        </w:rPr>
        <w:t xml:space="preserve"> was followed</w:t>
      </w:r>
      <w:r w:rsidRPr="00E17682">
        <w:rPr>
          <w:sz w:val="24"/>
          <w:szCs w:val="24"/>
          <w:lang w:val="en-CA"/>
        </w:rPr>
        <w:t>.</w:t>
      </w:r>
    </w:p>
    <w:p w:rsidR="001D72B3" w:rsidRDefault="001D72B3" w:rsidP="008D3F69">
      <w:pPr>
        <w:spacing w:line="480" w:lineRule="auto"/>
        <w:rPr>
          <w:sz w:val="24"/>
          <w:szCs w:val="24"/>
          <w:lang w:val="en-US"/>
        </w:rPr>
      </w:pPr>
    </w:p>
    <w:p w:rsidR="004D4590" w:rsidRPr="0020705F" w:rsidRDefault="004D4590" w:rsidP="008D3F69">
      <w:pPr>
        <w:spacing w:line="480" w:lineRule="auto"/>
        <w:rPr>
          <w:sz w:val="24"/>
          <w:szCs w:val="24"/>
          <w:lang w:val="en-US"/>
        </w:rPr>
        <w:sectPr w:rsidR="004D4590" w:rsidRPr="0020705F" w:rsidSect="00956697">
          <w:headerReference w:type="even" r:id="rId8"/>
          <w:headerReference w:type="default" r:id="rId9"/>
          <w:footerReference w:type="default" r:id="rId10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4D4590" w:rsidRPr="0020705F" w:rsidRDefault="004D4590" w:rsidP="004D4590">
      <w:pPr>
        <w:spacing w:line="480" w:lineRule="auto"/>
        <w:jc w:val="center"/>
        <w:rPr>
          <w:sz w:val="24"/>
          <w:szCs w:val="24"/>
          <w:lang w:val="en-US"/>
        </w:rPr>
      </w:pPr>
      <w:r w:rsidRPr="004D4590">
        <w:rPr>
          <w:b/>
          <w:sz w:val="24"/>
          <w:szCs w:val="24"/>
          <w:lang w:val="en-US"/>
        </w:rPr>
        <w:lastRenderedPageBreak/>
        <w:t>References</w:t>
      </w:r>
    </w:p>
    <w:p w:rsidR="008F50E3" w:rsidRPr="008F50E3" w:rsidRDefault="001D72B3" w:rsidP="008F50E3">
      <w:pPr>
        <w:pStyle w:val="EndNoteBibliography"/>
        <w:spacing w:line="480" w:lineRule="auto"/>
        <w:ind w:left="720" w:hanging="720"/>
        <w:rPr>
          <w:sz w:val="24"/>
        </w:rPr>
      </w:pPr>
      <w:r w:rsidRPr="008F50E3">
        <w:rPr>
          <w:sz w:val="24"/>
        </w:rPr>
        <w:fldChar w:fldCharType="begin"/>
      </w:r>
      <w:r w:rsidRPr="008F50E3">
        <w:rPr>
          <w:sz w:val="24"/>
        </w:rPr>
        <w:instrText xml:space="preserve"> ADDIN EN.REFLIST </w:instrText>
      </w:r>
      <w:r w:rsidRPr="008F50E3">
        <w:rPr>
          <w:sz w:val="24"/>
        </w:rPr>
        <w:fldChar w:fldCharType="separate"/>
      </w:r>
      <w:bookmarkStart w:id="0" w:name="_ENREF_1"/>
      <w:r w:rsidR="008F50E3" w:rsidRPr="008F50E3">
        <w:rPr>
          <w:sz w:val="24"/>
        </w:rPr>
        <w:t>1.</w:t>
      </w:r>
      <w:r w:rsidR="008F50E3" w:rsidRPr="008F50E3">
        <w:rPr>
          <w:sz w:val="24"/>
        </w:rPr>
        <w:tab/>
        <w:t xml:space="preserve">Baker PS, Bodner EV, Allman RM: </w:t>
      </w:r>
      <w:r w:rsidR="008F50E3" w:rsidRPr="008F50E3">
        <w:rPr>
          <w:b/>
          <w:sz w:val="24"/>
        </w:rPr>
        <w:t>Measuring life‐space mobility in community‐dwelling older adults</w:t>
      </w:r>
      <w:r w:rsidR="008F50E3" w:rsidRPr="008F50E3">
        <w:rPr>
          <w:sz w:val="24"/>
        </w:rPr>
        <w:t xml:space="preserve">. </w:t>
      </w:r>
      <w:r w:rsidR="008F50E3" w:rsidRPr="008F50E3">
        <w:rPr>
          <w:i/>
          <w:sz w:val="24"/>
        </w:rPr>
        <w:t xml:space="preserve">Journal of the American Geriatrics Society </w:t>
      </w:r>
      <w:r w:rsidR="008F50E3" w:rsidRPr="008F50E3">
        <w:rPr>
          <w:sz w:val="24"/>
        </w:rPr>
        <w:t xml:space="preserve">2003, </w:t>
      </w:r>
      <w:r w:rsidR="008F50E3" w:rsidRPr="008F50E3">
        <w:rPr>
          <w:b/>
          <w:sz w:val="24"/>
        </w:rPr>
        <w:t>51</w:t>
      </w:r>
      <w:r w:rsidR="008F50E3" w:rsidRPr="008F50E3">
        <w:rPr>
          <w:sz w:val="24"/>
        </w:rPr>
        <w:t>(11):1610-1614.</w:t>
      </w:r>
      <w:bookmarkEnd w:id="0"/>
    </w:p>
    <w:p w:rsidR="008F50E3" w:rsidRPr="008F50E3" w:rsidRDefault="008F50E3" w:rsidP="008F50E3">
      <w:pPr>
        <w:pStyle w:val="EndNoteBibliography"/>
        <w:spacing w:line="480" w:lineRule="auto"/>
        <w:ind w:left="720" w:hanging="720"/>
        <w:rPr>
          <w:sz w:val="24"/>
        </w:rPr>
      </w:pPr>
      <w:bookmarkStart w:id="1" w:name="_ENREF_2"/>
      <w:r w:rsidRPr="008F50E3">
        <w:rPr>
          <w:sz w:val="24"/>
        </w:rPr>
        <w:t>2.</w:t>
      </w:r>
      <w:r w:rsidRPr="008F50E3">
        <w:rPr>
          <w:sz w:val="24"/>
        </w:rPr>
        <w:tab/>
        <w:t xml:space="preserve">Guralnik JM, Simonsick EM, Ferrucci L, Glynn RJ, Berkman LF, Blazer DG, Scherr PA, Wallace RB: </w:t>
      </w:r>
      <w:r w:rsidRPr="008F50E3">
        <w:rPr>
          <w:b/>
          <w:sz w:val="24"/>
        </w:rPr>
        <w:t>A short physical performance battery assessing lower extremity function: association with self-reported disability and prediction of mortality and nursing home admission</w:t>
      </w:r>
      <w:r w:rsidRPr="008F50E3">
        <w:rPr>
          <w:sz w:val="24"/>
        </w:rPr>
        <w:t xml:space="preserve">. </w:t>
      </w:r>
      <w:r w:rsidRPr="008F50E3">
        <w:rPr>
          <w:i/>
          <w:sz w:val="24"/>
        </w:rPr>
        <w:t xml:space="preserve">Journal of gerontology </w:t>
      </w:r>
      <w:r w:rsidRPr="008F50E3">
        <w:rPr>
          <w:sz w:val="24"/>
        </w:rPr>
        <w:t xml:space="preserve">1994, </w:t>
      </w:r>
      <w:r w:rsidRPr="008F50E3">
        <w:rPr>
          <w:b/>
          <w:sz w:val="24"/>
        </w:rPr>
        <w:t>49</w:t>
      </w:r>
      <w:r w:rsidRPr="008F50E3">
        <w:rPr>
          <w:sz w:val="24"/>
        </w:rPr>
        <w:t>(2):M85-M94.</w:t>
      </w:r>
      <w:bookmarkEnd w:id="1"/>
    </w:p>
    <w:p w:rsidR="008F50E3" w:rsidRPr="008F50E3" w:rsidRDefault="008F50E3" w:rsidP="008F50E3">
      <w:pPr>
        <w:pStyle w:val="EndNoteBibliography"/>
        <w:spacing w:line="480" w:lineRule="auto"/>
        <w:ind w:left="720" w:hanging="720"/>
        <w:rPr>
          <w:sz w:val="24"/>
        </w:rPr>
      </w:pPr>
      <w:bookmarkStart w:id="2" w:name="_ENREF_3"/>
      <w:r w:rsidRPr="008F50E3">
        <w:rPr>
          <w:sz w:val="24"/>
        </w:rPr>
        <w:t>3.</w:t>
      </w:r>
      <w:r w:rsidRPr="008F50E3">
        <w:rPr>
          <w:sz w:val="24"/>
        </w:rPr>
        <w:tab/>
        <w:t xml:space="preserve">Ware Jr JE, Sherbourne CD: </w:t>
      </w:r>
      <w:r w:rsidRPr="008F50E3">
        <w:rPr>
          <w:b/>
          <w:sz w:val="24"/>
        </w:rPr>
        <w:t>The MOS 36-item short-form health survey (SF-36): I. Conceptual framework and item selection</w:t>
      </w:r>
      <w:r w:rsidRPr="008F50E3">
        <w:rPr>
          <w:sz w:val="24"/>
        </w:rPr>
        <w:t xml:space="preserve">. </w:t>
      </w:r>
      <w:r w:rsidRPr="008F50E3">
        <w:rPr>
          <w:i/>
          <w:sz w:val="24"/>
        </w:rPr>
        <w:t xml:space="preserve">Medical care </w:t>
      </w:r>
      <w:r w:rsidRPr="008F50E3">
        <w:rPr>
          <w:sz w:val="24"/>
        </w:rPr>
        <w:t>1992:473-483.</w:t>
      </w:r>
      <w:bookmarkEnd w:id="2"/>
    </w:p>
    <w:p w:rsidR="008F50E3" w:rsidRPr="008F50E3" w:rsidRDefault="008F50E3" w:rsidP="008F50E3">
      <w:pPr>
        <w:pStyle w:val="EndNoteBibliography"/>
        <w:spacing w:line="480" w:lineRule="auto"/>
        <w:ind w:left="720" w:hanging="720"/>
        <w:rPr>
          <w:sz w:val="24"/>
        </w:rPr>
      </w:pPr>
      <w:bookmarkStart w:id="3" w:name="_ENREF_4"/>
      <w:r w:rsidRPr="008F50E3">
        <w:rPr>
          <w:sz w:val="24"/>
        </w:rPr>
        <w:t>4.</w:t>
      </w:r>
      <w:r w:rsidRPr="008F50E3">
        <w:rPr>
          <w:sz w:val="24"/>
        </w:rPr>
        <w:tab/>
        <w:t xml:space="preserve">Yesavage JA, Sheikh JI: </w:t>
      </w:r>
      <w:r w:rsidRPr="008F50E3">
        <w:rPr>
          <w:b/>
          <w:sz w:val="24"/>
        </w:rPr>
        <w:t>9/Geriatric depression scale (GDS) recent evidence and development of a shorter version</w:t>
      </w:r>
      <w:r w:rsidRPr="008F50E3">
        <w:rPr>
          <w:sz w:val="24"/>
        </w:rPr>
        <w:t xml:space="preserve">. </w:t>
      </w:r>
      <w:r w:rsidRPr="008F50E3">
        <w:rPr>
          <w:i/>
          <w:sz w:val="24"/>
        </w:rPr>
        <w:t xml:space="preserve">Clinical gerontologist </w:t>
      </w:r>
      <w:r w:rsidRPr="008F50E3">
        <w:rPr>
          <w:sz w:val="24"/>
        </w:rPr>
        <w:t xml:space="preserve">1986, </w:t>
      </w:r>
      <w:r w:rsidRPr="008F50E3">
        <w:rPr>
          <w:b/>
          <w:sz w:val="24"/>
        </w:rPr>
        <w:t>5</w:t>
      </w:r>
      <w:r w:rsidRPr="008F50E3">
        <w:rPr>
          <w:sz w:val="24"/>
        </w:rPr>
        <w:t>(1-2):165-173.</w:t>
      </w:r>
      <w:bookmarkEnd w:id="3"/>
    </w:p>
    <w:p w:rsidR="008F50E3" w:rsidRPr="008F50E3" w:rsidRDefault="008F50E3" w:rsidP="008F50E3">
      <w:pPr>
        <w:pStyle w:val="EndNoteBibliography"/>
        <w:spacing w:line="480" w:lineRule="auto"/>
        <w:ind w:left="720" w:hanging="720"/>
        <w:rPr>
          <w:sz w:val="24"/>
        </w:rPr>
      </w:pPr>
      <w:bookmarkStart w:id="4" w:name="_ENREF_5"/>
      <w:r w:rsidRPr="008F50E3">
        <w:rPr>
          <w:sz w:val="24"/>
        </w:rPr>
        <w:t>5.</w:t>
      </w:r>
      <w:r w:rsidRPr="008F50E3">
        <w:rPr>
          <w:sz w:val="24"/>
        </w:rPr>
        <w:tab/>
        <w:t xml:space="preserve">Groll DL, To T, Bombardier C, Wright JG: </w:t>
      </w:r>
      <w:r w:rsidRPr="008F50E3">
        <w:rPr>
          <w:b/>
          <w:sz w:val="24"/>
        </w:rPr>
        <w:t>The development of a comorbidity index with physical function as the outcome</w:t>
      </w:r>
      <w:r w:rsidRPr="008F50E3">
        <w:rPr>
          <w:sz w:val="24"/>
        </w:rPr>
        <w:t xml:space="preserve">. </w:t>
      </w:r>
      <w:r w:rsidRPr="008F50E3">
        <w:rPr>
          <w:i/>
          <w:sz w:val="24"/>
        </w:rPr>
        <w:t xml:space="preserve">Journal of clinical epidemiology </w:t>
      </w:r>
      <w:r w:rsidRPr="008F50E3">
        <w:rPr>
          <w:sz w:val="24"/>
        </w:rPr>
        <w:t xml:space="preserve">2005, </w:t>
      </w:r>
      <w:r w:rsidRPr="008F50E3">
        <w:rPr>
          <w:b/>
          <w:sz w:val="24"/>
        </w:rPr>
        <w:t>58</w:t>
      </w:r>
      <w:r w:rsidRPr="008F50E3">
        <w:rPr>
          <w:sz w:val="24"/>
        </w:rPr>
        <w:t>(6):595-602.</w:t>
      </w:r>
      <w:bookmarkEnd w:id="4"/>
    </w:p>
    <w:p w:rsidR="008F50E3" w:rsidRPr="008F50E3" w:rsidRDefault="008F50E3" w:rsidP="008F50E3">
      <w:pPr>
        <w:pStyle w:val="EndNoteBibliography"/>
        <w:spacing w:line="480" w:lineRule="auto"/>
        <w:ind w:left="720" w:hanging="720"/>
        <w:rPr>
          <w:sz w:val="24"/>
        </w:rPr>
      </w:pPr>
      <w:bookmarkStart w:id="5" w:name="_ENREF_6"/>
      <w:r w:rsidRPr="008F50E3">
        <w:rPr>
          <w:sz w:val="24"/>
        </w:rPr>
        <w:t>6.</w:t>
      </w:r>
      <w:r w:rsidRPr="008F50E3">
        <w:rPr>
          <w:sz w:val="24"/>
        </w:rPr>
        <w:tab/>
        <w:t xml:space="preserve">Katz S, Ford AB, Moskowitz RW, Jackson BA, Jaffe MW: </w:t>
      </w:r>
      <w:r w:rsidRPr="008F50E3">
        <w:rPr>
          <w:b/>
          <w:sz w:val="24"/>
        </w:rPr>
        <w:t>Studies of illness in the aged: the index of ADL: a standardized measure of biological and psychosocial function</w:t>
      </w:r>
      <w:r w:rsidRPr="008F50E3">
        <w:rPr>
          <w:sz w:val="24"/>
        </w:rPr>
        <w:t xml:space="preserve">. </w:t>
      </w:r>
      <w:r w:rsidRPr="008F50E3">
        <w:rPr>
          <w:i/>
          <w:sz w:val="24"/>
        </w:rPr>
        <w:t xml:space="preserve">Jama </w:t>
      </w:r>
      <w:r w:rsidRPr="008F50E3">
        <w:rPr>
          <w:sz w:val="24"/>
        </w:rPr>
        <w:t xml:space="preserve">1963, </w:t>
      </w:r>
      <w:r w:rsidRPr="008F50E3">
        <w:rPr>
          <w:b/>
          <w:sz w:val="24"/>
        </w:rPr>
        <w:t>185</w:t>
      </w:r>
      <w:r w:rsidRPr="008F50E3">
        <w:rPr>
          <w:sz w:val="24"/>
        </w:rPr>
        <w:t>(12):914-919.</w:t>
      </w:r>
      <w:bookmarkEnd w:id="5"/>
    </w:p>
    <w:p w:rsidR="008F50E3" w:rsidRPr="008F50E3" w:rsidRDefault="008F50E3" w:rsidP="008F50E3">
      <w:pPr>
        <w:pStyle w:val="EndNoteBibliography"/>
        <w:spacing w:line="480" w:lineRule="auto"/>
        <w:ind w:left="720" w:hanging="720"/>
        <w:rPr>
          <w:sz w:val="24"/>
        </w:rPr>
      </w:pPr>
      <w:bookmarkStart w:id="6" w:name="_ENREF_7"/>
      <w:r w:rsidRPr="008F50E3">
        <w:rPr>
          <w:sz w:val="24"/>
        </w:rPr>
        <w:lastRenderedPageBreak/>
        <w:t>7.</w:t>
      </w:r>
      <w:r w:rsidRPr="008F50E3">
        <w:rPr>
          <w:sz w:val="24"/>
        </w:rPr>
        <w:tab/>
        <w:t xml:space="preserve">Lawton M, Brody E: </w:t>
      </w:r>
      <w:r w:rsidRPr="008F50E3">
        <w:rPr>
          <w:b/>
          <w:sz w:val="24"/>
        </w:rPr>
        <w:t>Assessment of older people: self-maintaining and instrumental activities of daily living</w:t>
      </w:r>
      <w:r w:rsidRPr="008F50E3">
        <w:rPr>
          <w:sz w:val="24"/>
        </w:rPr>
        <w:t xml:space="preserve">. </w:t>
      </w:r>
      <w:r w:rsidRPr="008F50E3">
        <w:rPr>
          <w:i/>
          <w:sz w:val="24"/>
        </w:rPr>
        <w:t xml:space="preserve">The Gerontologist </w:t>
      </w:r>
      <w:r w:rsidRPr="008F50E3">
        <w:rPr>
          <w:sz w:val="24"/>
        </w:rPr>
        <w:t xml:space="preserve">1969, </w:t>
      </w:r>
      <w:r w:rsidRPr="008F50E3">
        <w:rPr>
          <w:b/>
          <w:sz w:val="24"/>
        </w:rPr>
        <w:t>9</w:t>
      </w:r>
      <w:r w:rsidRPr="008F50E3">
        <w:rPr>
          <w:sz w:val="24"/>
        </w:rPr>
        <w:t>(3):179-186.</w:t>
      </w:r>
      <w:bookmarkEnd w:id="6"/>
    </w:p>
    <w:p w:rsidR="00821316" w:rsidRPr="00E048D7" w:rsidRDefault="001D72B3" w:rsidP="008F50E3">
      <w:pPr>
        <w:spacing w:line="480" w:lineRule="auto"/>
        <w:rPr>
          <w:sz w:val="24"/>
          <w:szCs w:val="24"/>
        </w:rPr>
      </w:pPr>
      <w:r w:rsidRPr="008F50E3">
        <w:rPr>
          <w:sz w:val="24"/>
          <w:szCs w:val="24"/>
        </w:rPr>
        <w:fldChar w:fldCharType="end"/>
      </w:r>
      <w:bookmarkStart w:id="7" w:name="_GoBack"/>
      <w:bookmarkEnd w:id="7"/>
    </w:p>
    <w:sectPr w:rsidR="00821316" w:rsidRPr="00E048D7" w:rsidSect="008D3F69">
      <w:pgSz w:w="12240" w:h="15840"/>
      <w:pgMar w:top="1440" w:right="1797" w:bottom="1440" w:left="179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397" w:rsidRDefault="00D87397">
      <w:r>
        <w:separator/>
      </w:r>
    </w:p>
  </w:endnote>
  <w:endnote w:type="continuationSeparator" w:id="0">
    <w:p w:rsidR="00D87397" w:rsidRDefault="00D87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97B" w:rsidRDefault="004D4590">
    <w:pPr>
      <w:pStyle w:val="Pieddepag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F50E3">
      <w:rPr>
        <w:noProof/>
      </w:rPr>
      <w:t>4</w:t>
    </w:r>
    <w:r>
      <w:rPr>
        <w:noProof/>
      </w:rPr>
      <w:fldChar w:fldCharType="end"/>
    </w:r>
  </w:p>
  <w:p w:rsidR="001C397B" w:rsidRDefault="00D8739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397" w:rsidRDefault="00D87397">
      <w:r>
        <w:separator/>
      </w:r>
    </w:p>
  </w:footnote>
  <w:footnote w:type="continuationSeparator" w:id="0">
    <w:p w:rsidR="00D87397" w:rsidRDefault="00D873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34B" w:rsidRDefault="004D4590" w:rsidP="008D3F69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5B534B" w:rsidRDefault="00D87397" w:rsidP="008D3F6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34B" w:rsidRPr="000B1B7A" w:rsidRDefault="004D4590">
    <w:pPr>
      <w:pStyle w:val="En-tte"/>
      <w:jc w:val="right"/>
      <w:rPr>
        <w:lang w:val="en-US"/>
      </w:rPr>
    </w:pPr>
    <w:r>
      <w:rPr>
        <w:sz w:val="24"/>
        <w:szCs w:val="24"/>
        <w:lang w:val="en-US"/>
      </w:rPr>
      <w:t>Cognitive Function and Life-Space Mobility</w:t>
    </w:r>
    <w:r w:rsidR="008F50E3">
      <w:rPr>
        <w:sz w:val="24"/>
        <w:szCs w:val="24"/>
        <w:lang w:val="en-US"/>
      </w:rPr>
      <w:t xml:space="preserve"> – Supplemental Part 2</w:t>
    </w:r>
  </w:p>
  <w:p w:rsidR="005B534B" w:rsidRPr="002B00FC" w:rsidRDefault="00D87397" w:rsidP="008D3F69">
    <w:pPr>
      <w:pStyle w:val="En-tte"/>
      <w:rPr>
        <w:sz w:val="24"/>
        <w:lang w:val="en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15D4F"/>
    <w:multiLevelType w:val="hybridMultilevel"/>
    <w:tmpl w:val="DF6A7696"/>
    <w:lvl w:ilvl="0" w:tplc="322C31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C000F">
      <w:start w:val="1"/>
      <w:numFmt w:val="decimal"/>
      <w:lvlText w:val="%2."/>
      <w:lvlJc w:val="left"/>
      <w:pPr>
        <w:ind w:left="177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C036E5"/>
    <w:multiLevelType w:val="hybridMultilevel"/>
    <w:tmpl w:val="30E8B15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90444"/>
    <w:multiLevelType w:val="hybridMultilevel"/>
    <w:tmpl w:val="A5A4333C"/>
    <w:lvl w:ilvl="0" w:tplc="D3469C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B4F14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34D6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1C32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28FC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28E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E861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302A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6E94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BFA6398"/>
    <w:multiLevelType w:val="hybridMultilevel"/>
    <w:tmpl w:val="10A85562"/>
    <w:lvl w:ilvl="0" w:tplc="0C0C000F">
      <w:start w:val="1"/>
      <w:numFmt w:val="decimal"/>
      <w:lvlText w:val="%1."/>
      <w:lvlJc w:val="left"/>
      <w:pPr>
        <w:ind w:left="1068" w:hanging="360"/>
      </w:p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B7B2CC2"/>
    <w:multiLevelType w:val="hybridMultilevel"/>
    <w:tmpl w:val="B2283838"/>
    <w:lvl w:ilvl="0" w:tplc="322C31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1DE0A47"/>
    <w:multiLevelType w:val="hybridMultilevel"/>
    <w:tmpl w:val="317E38FA"/>
    <w:lvl w:ilvl="0" w:tplc="97BA22FA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146" w:hanging="360"/>
      </w:pPr>
    </w:lvl>
    <w:lvl w:ilvl="2" w:tplc="040C001B" w:tentative="1">
      <w:start w:val="1"/>
      <w:numFmt w:val="lowerRoman"/>
      <w:lvlText w:val="%3."/>
      <w:lvlJc w:val="right"/>
      <w:pPr>
        <w:ind w:left="1866" w:hanging="180"/>
      </w:pPr>
    </w:lvl>
    <w:lvl w:ilvl="3" w:tplc="040C000F" w:tentative="1">
      <w:start w:val="1"/>
      <w:numFmt w:val="decimal"/>
      <w:lvlText w:val="%4."/>
      <w:lvlJc w:val="left"/>
      <w:pPr>
        <w:ind w:left="2586" w:hanging="360"/>
      </w:pPr>
    </w:lvl>
    <w:lvl w:ilvl="4" w:tplc="040C0019" w:tentative="1">
      <w:start w:val="1"/>
      <w:numFmt w:val="lowerLetter"/>
      <w:lvlText w:val="%5."/>
      <w:lvlJc w:val="left"/>
      <w:pPr>
        <w:ind w:left="3306" w:hanging="360"/>
      </w:pPr>
    </w:lvl>
    <w:lvl w:ilvl="5" w:tplc="040C001B" w:tentative="1">
      <w:start w:val="1"/>
      <w:numFmt w:val="lowerRoman"/>
      <w:lvlText w:val="%6."/>
      <w:lvlJc w:val="right"/>
      <w:pPr>
        <w:ind w:left="4026" w:hanging="180"/>
      </w:pPr>
    </w:lvl>
    <w:lvl w:ilvl="6" w:tplc="040C000F" w:tentative="1">
      <w:start w:val="1"/>
      <w:numFmt w:val="decimal"/>
      <w:lvlText w:val="%7."/>
      <w:lvlJc w:val="left"/>
      <w:pPr>
        <w:ind w:left="4746" w:hanging="360"/>
      </w:pPr>
    </w:lvl>
    <w:lvl w:ilvl="7" w:tplc="040C0019" w:tentative="1">
      <w:start w:val="1"/>
      <w:numFmt w:val="lowerLetter"/>
      <w:lvlText w:val="%8."/>
      <w:lvlJc w:val="left"/>
      <w:pPr>
        <w:ind w:left="5466" w:hanging="360"/>
      </w:pPr>
    </w:lvl>
    <w:lvl w:ilvl="8" w:tplc="040C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>
    <w:nsid w:val="62D55C56"/>
    <w:multiLevelType w:val="hybridMultilevel"/>
    <w:tmpl w:val="582C0294"/>
    <w:lvl w:ilvl="0" w:tplc="65D07B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CC1D9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402C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AC75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7E3A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362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9CB0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BE4E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1428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5E0062D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2B42182"/>
    <w:multiLevelType w:val="hybridMultilevel"/>
    <w:tmpl w:val="3162C51C"/>
    <w:lvl w:ilvl="0" w:tplc="8DAED89A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8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MC Geriatrics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x9dtaaxafdswsvewwruxft9h9w29zvw229xf&quot;&gt;Mobilite_Cognition&lt;record-ids&gt;&lt;item&gt;4&lt;/item&gt;&lt;item&gt;27&lt;/item&gt;&lt;item&gt;72&lt;/item&gt;&lt;item&gt;80&lt;/item&gt;&lt;item&gt;81&lt;/item&gt;&lt;item&gt;82&lt;/item&gt;&lt;item&gt;83&lt;/item&gt;&lt;/record-ids&gt;&lt;/item&gt;&lt;/Libraries&gt;"/>
  </w:docVars>
  <w:rsids>
    <w:rsidRoot w:val="001D72B3"/>
    <w:rsid w:val="001B45AC"/>
    <w:rsid w:val="001D72B3"/>
    <w:rsid w:val="0023269E"/>
    <w:rsid w:val="004D4590"/>
    <w:rsid w:val="005D320C"/>
    <w:rsid w:val="00645046"/>
    <w:rsid w:val="006C25A8"/>
    <w:rsid w:val="00821316"/>
    <w:rsid w:val="008F50E3"/>
    <w:rsid w:val="00CF3450"/>
    <w:rsid w:val="00D87397"/>
    <w:rsid w:val="00DD7878"/>
    <w:rsid w:val="00E0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4"/>
        <w:lang w:val="fr-CA" w:eastAsia="en-US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2B3"/>
    <w:pPr>
      <w:spacing w:before="0"/>
    </w:pPr>
    <w:rPr>
      <w:rFonts w:eastAsia="Times New Roman"/>
      <w:sz w:val="20"/>
      <w:szCs w:val="20"/>
      <w:lang w:eastAsia="fr-CA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1D72B3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1D72B3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1D72B3"/>
    <w:rPr>
      <w:rFonts w:eastAsia="Times New Roman"/>
      <w:sz w:val="20"/>
      <w:szCs w:val="20"/>
      <w:lang w:eastAsia="fr-CA"/>
    </w:rPr>
  </w:style>
  <w:style w:type="paragraph" w:styleId="Pieddepage">
    <w:name w:val="footer"/>
    <w:basedOn w:val="Normal"/>
    <w:link w:val="PieddepageCar"/>
    <w:uiPriority w:val="99"/>
    <w:rsid w:val="001D72B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1D72B3"/>
    <w:rPr>
      <w:rFonts w:eastAsia="Times New Roman"/>
      <w:sz w:val="20"/>
      <w:szCs w:val="20"/>
      <w:lang w:eastAsia="fr-CA"/>
    </w:rPr>
  </w:style>
  <w:style w:type="character" w:styleId="Numrodepage">
    <w:name w:val="page number"/>
    <w:basedOn w:val="Policepardfaut"/>
    <w:rsid w:val="001D72B3"/>
  </w:style>
  <w:style w:type="table" w:styleId="Grilledutableau">
    <w:name w:val="Table Grid"/>
    <w:basedOn w:val="TableauNormal"/>
    <w:rsid w:val="001D72B3"/>
    <w:pPr>
      <w:spacing w:before="0"/>
    </w:pPr>
    <w:rPr>
      <w:rFonts w:eastAsia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semiHidden/>
    <w:rsid w:val="001D72B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semiHidden/>
    <w:rsid w:val="001D72B3"/>
    <w:rPr>
      <w:rFonts w:ascii="Tahoma" w:eastAsia="Times New Roman" w:hAnsi="Tahoma" w:cs="Tahoma"/>
      <w:sz w:val="16"/>
      <w:szCs w:val="16"/>
      <w:lang w:eastAsia="fr-CA"/>
    </w:rPr>
  </w:style>
  <w:style w:type="character" w:styleId="Marquedecommentaire">
    <w:name w:val="annotation reference"/>
    <w:uiPriority w:val="99"/>
    <w:rsid w:val="001D72B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sid w:val="001D72B3"/>
  </w:style>
  <w:style w:type="character" w:customStyle="1" w:styleId="CommentaireCar">
    <w:name w:val="Commentaire Car"/>
    <w:link w:val="Commentaire"/>
    <w:uiPriority w:val="99"/>
    <w:rsid w:val="001D72B3"/>
    <w:rPr>
      <w:rFonts w:eastAsia="Times New Roman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semiHidden/>
    <w:rsid w:val="001D72B3"/>
    <w:rPr>
      <w:b/>
      <w:bCs/>
    </w:rPr>
  </w:style>
  <w:style w:type="character" w:customStyle="1" w:styleId="ObjetducommentaireCar">
    <w:name w:val="Objet du commentaire Car"/>
    <w:link w:val="Objetducommentaire"/>
    <w:semiHidden/>
    <w:rsid w:val="001D72B3"/>
    <w:rPr>
      <w:rFonts w:eastAsia="Times New Roman"/>
      <w:b/>
      <w:bCs/>
      <w:sz w:val="20"/>
      <w:szCs w:val="20"/>
      <w:lang w:eastAsia="fr-CA"/>
    </w:rPr>
  </w:style>
  <w:style w:type="character" w:styleId="Numrodeligne">
    <w:name w:val="line number"/>
    <w:basedOn w:val="Policepardfaut"/>
    <w:rsid w:val="001D72B3"/>
  </w:style>
  <w:style w:type="paragraph" w:styleId="Rvision">
    <w:name w:val="Revision"/>
    <w:hidden/>
    <w:uiPriority w:val="99"/>
    <w:semiHidden/>
    <w:rsid w:val="001D72B3"/>
    <w:pPr>
      <w:spacing w:before="0"/>
    </w:pPr>
    <w:rPr>
      <w:rFonts w:eastAsia="Times New Roman"/>
      <w:sz w:val="20"/>
      <w:szCs w:val="20"/>
      <w:lang w:eastAsia="fr-CA"/>
    </w:rPr>
  </w:style>
  <w:style w:type="paragraph" w:styleId="Paragraphedeliste">
    <w:name w:val="List Paragraph"/>
    <w:basedOn w:val="Normal"/>
    <w:uiPriority w:val="34"/>
    <w:qFormat/>
    <w:rsid w:val="001D72B3"/>
    <w:pPr>
      <w:ind w:left="720"/>
      <w:contextualSpacing/>
    </w:pPr>
  </w:style>
  <w:style w:type="character" w:customStyle="1" w:styleId="EndNoteBibliographyCar">
    <w:name w:val="EndNote Bibliography Car"/>
    <w:link w:val="EndNoteBibliography"/>
    <w:locked/>
    <w:rsid w:val="001D72B3"/>
    <w:rPr>
      <w:noProof/>
      <w:sz w:val="20"/>
      <w:lang w:val="en-US"/>
    </w:rPr>
  </w:style>
  <w:style w:type="paragraph" w:customStyle="1" w:styleId="EndNoteBibliography">
    <w:name w:val="EndNote Bibliography"/>
    <w:basedOn w:val="Normal"/>
    <w:link w:val="EndNoteBibliographyCar"/>
    <w:rsid w:val="001D72B3"/>
    <w:pPr>
      <w:spacing w:before="240"/>
    </w:pPr>
    <w:rPr>
      <w:rFonts w:eastAsia="Calibri"/>
      <w:noProof/>
      <w:szCs w:val="24"/>
      <w:lang w:val="en-US" w:eastAsia="en-US"/>
    </w:rPr>
  </w:style>
  <w:style w:type="character" w:customStyle="1" w:styleId="apple-converted-space">
    <w:name w:val="apple-converted-space"/>
    <w:basedOn w:val="Policepardfaut"/>
    <w:rsid w:val="001D72B3"/>
  </w:style>
  <w:style w:type="character" w:customStyle="1" w:styleId="country">
    <w:name w:val="country"/>
    <w:basedOn w:val="Policepardfaut"/>
    <w:rsid w:val="001D72B3"/>
  </w:style>
  <w:style w:type="character" w:customStyle="1" w:styleId="nowrap">
    <w:name w:val="nowrap"/>
    <w:basedOn w:val="Policepardfaut"/>
    <w:rsid w:val="001D72B3"/>
  </w:style>
  <w:style w:type="character" w:customStyle="1" w:styleId="hps">
    <w:name w:val="hps"/>
    <w:basedOn w:val="Policepardfaut"/>
    <w:rsid w:val="001D72B3"/>
  </w:style>
  <w:style w:type="paragraph" w:styleId="NormalWeb">
    <w:name w:val="Normal (Web)"/>
    <w:basedOn w:val="Normal"/>
    <w:uiPriority w:val="99"/>
    <w:semiHidden/>
    <w:unhideWhenUsed/>
    <w:rsid w:val="001D72B3"/>
    <w:pPr>
      <w:spacing w:before="100" w:beforeAutospacing="1" w:after="100" w:afterAutospacing="1"/>
    </w:pPr>
    <w:rPr>
      <w:sz w:val="24"/>
      <w:szCs w:val="24"/>
      <w:lang w:val="en-CA" w:eastAsia="en-CA"/>
    </w:rPr>
  </w:style>
  <w:style w:type="character" w:styleId="Accentuation">
    <w:name w:val="Emphasis"/>
    <w:uiPriority w:val="20"/>
    <w:qFormat/>
    <w:rsid w:val="001D72B3"/>
    <w:rPr>
      <w:i/>
      <w:iCs/>
    </w:rPr>
  </w:style>
  <w:style w:type="paragraph" w:customStyle="1" w:styleId="xmsonormal">
    <w:name w:val="x_msonormal"/>
    <w:basedOn w:val="Normal"/>
    <w:rsid w:val="001D72B3"/>
    <w:pPr>
      <w:spacing w:before="100" w:beforeAutospacing="1" w:after="100" w:afterAutospacing="1"/>
    </w:pPr>
    <w:rPr>
      <w:sz w:val="24"/>
      <w:szCs w:val="24"/>
    </w:rPr>
  </w:style>
  <w:style w:type="character" w:customStyle="1" w:styleId="current-selection">
    <w:name w:val="current-selection"/>
    <w:basedOn w:val="Policepardfaut"/>
    <w:rsid w:val="001D72B3"/>
  </w:style>
  <w:style w:type="character" w:customStyle="1" w:styleId="fs10">
    <w:name w:val="fs10"/>
    <w:basedOn w:val="Policepardfaut"/>
    <w:rsid w:val="001D72B3"/>
  </w:style>
  <w:style w:type="character" w:customStyle="1" w:styleId="a">
    <w:name w:val="_"/>
    <w:basedOn w:val="Policepardfaut"/>
    <w:rsid w:val="001D72B3"/>
  </w:style>
  <w:style w:type="character" w:styleId="Lienhypertextesuivivisit">
    <w:name w:val="FollowedHyperlink"/>
    <w:uiPriority w:val="99"/>
    <w:semiHidden/>
    <w:unhideWhenUsed/>
    <w:rsid w:val="001D72B3"/>
    <w:rPr>
      <w:color w:val="800080"/>
      <w:u w:val="single"/>
    </w:rPr>
  </w:style>
  <w:style w:type="paragraph" w:customStyle="1" w:styleId="EndNoteBibliographyTitle">
    <w:name w:val="EndNote Bibliography Title"/>
    <w:basedOn w:val="Normal"/>
    <w:link w:val="EndNoteBibliographyTitleCar"/>
    <w:rsid w:val="001D72B3"/>
    <w:pPr>
      <w:jc w:val="center"/>
    </w:pPr>
    <w:rPr>
      <w:noProof/>
    </w:rPr>
  </w:style>
  <w:style w:type="character" w:customStyle="1" w:styleId="EndNoteBibliographyTitleCar">
    <w:name w:val="EndNote Bibliography Title Car"/>
    <w:link w:val="EndNoteBibliographyTitle"/>
    <w:rsid w:val="001D72B3"/>
    <w:rPr>
      <w:rFonts w:eastAsia="Times New Roman"/>
      <w:noProof/>
      <w:sz w:val="20"/>
      <w:szCs w:val="20"/>
      <w:lang w:eastAsia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fr-CA" w:eastAsia="en-US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2B3"/>
    <w:pPr>
      <w:spacing w:before="0"/>
    </w:pPr>
    <w:rPr>
      <w:rFonts w:eastAsia="Times New Roman"/>
      <w:sz w:val="20"/>
      <w:szCs w:val="20"/>
      <w:lang w:eastAsia="fr-CA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1D72B3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1D72B3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1D72B3"/>
    <w:rPr>
      <w:rFonts w:eastAsia="Times New Roman"/>
      <w:sz w:val="20"/>
      <w:szCs w:val="20"/>
      <w:lang w:eastAsia="fr-CA"/>
    </w:rPr>
  </w:style>
  <w:style w:type="paragraph" w:styleId="Pieddepage">
    <w:name w:val="footer"/>
    <w:basedOn w:val="Normal"/>
    <w:link w:val="PieddepageCar"/>
    <w:uiPriority w:val="99"/>
    <w:rsid w:val="001D72B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1D72B3"/>
    <w:rPr>
      <w:rFonts w:eastAsia="Times New Roman"/>
      <w:sz w:val="20"/>
      <w:szCs w:val="20"/>
      <w:lang w:eastAsia="fr-CA"/>
    </w:rPr>
  </w:style>
  <w:style w:type="character" w:styleId="Numrodepage">
    <w:name w:val="page number"/>
    <w:basedOn w:val="Policepardfaut"/>
    <w:rsid w:val="001D72B3"/>
  </w:style>
  <w:style w:type="table" w:styleId="Grilledutableau">
    <w:name w:val="Table Grid"/>
    <w:basedOn w:val="TableauNormal"/>
    <w:rsid w:val="001D72B3"/>
    <w:pPr>
      <w:spacing w:before="0"/>
    </w:pPr>
    <w:rPr>
      <w:rFonts w:eastAsia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semiHidden/>
    <w:rsid w:val="001D72B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semiHidden/>
    <w:rsid w:val="001D72B3"/>
    <w:rPr>
      <w:rFonts w:ascii="Tahoma" w:eastAsia="Times New Roman" w:hAnsi="Tahoma" w:cs="Tahoma"/>
      <w:sz w:val="16"/>
      <w:szCs w:val="16"/>
      <w:lang w:eastAsia="fr-CA"/>
    </w:rPr>
  </w:style>
  <w:style w:type="character" w:styleId="Marquedecommentaire">
    <w:name w:val="annotation reference"/>
    <w:uiPriority w:val="99"/>
    <w:rsid w:val="001D72B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sid w:val="001D72B3"/>
  </w:style>
  <w:style w:type="character" w:customStyle="1" w:styleId="CommentaireCar">
    <w:name w:val="Commentaire Car"/>
    <w:link w:val="Commentaire"/>
    <w:uiPriority w:val="99"/>
    <w:rsid w:val="001D72B3"/>
    <w:rPr>
      <w:rFonts w:eastAsia="Times New Roman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semiHidden/>
    <w:rsid w:val="001D72B3"/>
    <w:rPr>
      <w:b/>
      <w:bCs/>
    </w:rPr>
  </w:style>
  <w:style w:type="character" w:customStyle="1" w:styleId="ObjetducommentaireCar">
    <w:name w:val="Objet du commentaire Car"/>
    <w:link w:val="Objetducommentaire"/>
    <w:semiHidden/>
    <w:rsid w:val="001D72B3"/>
    <w:rPr>
      <w:rFonts w:eastAsia="Times New Roman"/>
      <w:b/>
      <w:bCs/>
      <w:sz w:val="20"/>
      <w:szCs w:val="20"/>
      <w:lang w:eastAsia="fr-CA"/>
    </w:rPr>
  </w:style>
  <w:style w:type="character" w:styleId="Numrodeligne">
    <w:name w:val="line number"/>
    <w:basedOn w:val="Policepardfaut"/>
    <w:rsid w:val="001D72B3"/>
  </w:style>
  <w:style w:type="paragraph" w:styleId="Rvision">
    <w:name w:val="Revision"/>
    <w:hidden/>
    <w:uiPriority w:val="99"/>
    <w:semiHidden/>
    <w:rsid w:val="001D72B3"/>
    <w:pPr>
      <w:spacing w:before="0"/>
    </w:pPr>
    <w:rPr>
      <w:rFonts w:eastAsia="Times New Roman"/>
      <w:sz w:val="20"/>
      <w:szCs w:val="20"/>
      <w:lang w:eastAsia="fr-CA"/>
    </w:rPr>
  </w:style>
  <w:style w:type="paragraph" w:styleId="Paragraphedeliste">
    <w:name w:val="List Paragraph"/>
    <w:basedOn w:val="Normal"/>
    <w:uiPriority w:val="34"/>
    <w:qFormat/>
    <w:rsid w:val="001D72B3"/>
    <w:pPr>
      <w:ind w:left="720"/>
      <w:contextualSpacing/>
    </w:pPr>
  </w:style>
  <w:style w:type="character" w:customStyle="1" w:styleId="EndNoteBibliographyCar">
    <w:name w:val="EndNote Bibliography Car"/>
    <w:link w:val="EndNoteBibliography"/>
    <w:locked/>
    <w:rsid w:val="001D72B3"/>
    <w:rPr>
      <w:noProof/>
      <w:sz w:val="20"/>
      <w:lang w:val="en-US"/>
    </w:rPr>
  </w:style>
  <w:style w:type="paragraph" w:customStyle="1" w:styleId="EndNoteBibliography">
    <w:name w:val="EndNote Bibliography"/>
    <w:basedOn w:val="Normal"/>
    <w:link w:val="EndNoteBibliographyCar"/>
    <w:rsid w:val="001D72B3"/>
    <w:pPr>
      <w:spacing w:before="240"/>
    </w:pPr>
    <w:rPr>
      <w:rFonts w:eastAsia="Calibri"/>
      <w:noProof/>
      <w:szCs w:val="24"/>
      <w:lang w:val="en-US" w:eastAsia="en-US"/>
    </w:rPr>
  </w:style>
  <w:style w:type="character" w:customStyle="1" w:styleId="apple-converted-space">
    <w:name w:val="apple-converted-space"/>
    <w:basedOn w:val="Policepardfaut"/>
    <w:rsid w:val="001D72B3"/>
  </w:style>
  <w:style w:type="character" w:customStyle="1" w:styleId="country">
    <w:name w:val="country"/>
    <w:basedOn w:val="Policepardfaut"/>
    <w:rsid w:val="001D72B3"/>
  </w:style>
  <w:style w:type="character" w:customStyle="1" w:styleId="nowrap">
    <w:name w:val="nowrap"/>
    <w:basedOn w:val="Policepardfaut"/>
    <w:rsid w:val="001D72B3"/>
  </w:style>
  <w:style w:type="character" w:customStyle="1" w:styleId="hps">
    <w:name w:val="hps"/>
    <w:basedOn w:val="Policepardfaut"/>
    <w:rsid w:val="001D72B3"/>
  </w:style>
  <w:style w:type="paragraph" w:styleId="NormalWeb">
    <w:name w:val="Normal (Web)"/>
    <w:basedOn w:val="Normal"/>
    <w:uiPriority w:val="99"/>
    <w:semiHidden/>
    <w:unhideWhenUsed/>
    <w:rsid w:val="001D72B3"/>
    <w:pPr>
      <w:spacing w:before="100" w:beforeAutospacing="1" w:after="100" w:afterAutospacing="1"/>
    </w:pPr>
    <w:rPr>
      <w:sz w:val="24"/>
      <w:szCs w:val="24"/>
      <w:lang w:val="en-CA" w:eastAsia="en-CA"/>
    </w:rPr>
  </w:style>
  <w:style w:type="character" w:styleId="Accentuation">
    <w:name w:val="Emphasis"/>
    <w:uiPriority w:val="20"/>
    <w:qFormat/>
    <w:rsid w:val="001D72B3"/>
    <w:rPr>
      <w:i/>
      <w:iCs/>
    </w:rPr>
  </w:style>
  <w:style w:type="paragraph" w:customStyle="1" w:styleId="xmsonormal">
    <w:name w:val="x_msonormal"/>
    <w:basedOn w:val="Normal"/>
    <w:rsid w:val="001D72B3"/>
    <w:pPr>
      <w:spacing w:before="100" w:beforeAutospacing="1" w:after="100" w:afterAutospacing="1"/>
    </w:pPr>
    <w:rPr>
      <w:sz w:val="24"/>
      <w:szCs w:val="24"/>
    </w:rPr>
  </w:style>
  <w:style w:type="character" w:customStyle="1" w:styleId="current-selection">
    <w:name w:val="current-selection"/>
    <w:basedOn w:val="Policepardfaut"/>
    <w:rsid w:val="001D72B3"/>
  </w:style>
  <w:style w:type="character" w:customStyle="1" w:styleId="fs10">
    <w:name w:val="fs10"/>
    <w:basedOn w:val="Policepardfaut"/>
    <w:rsid w:val="001D72B3"/>
  </w:style>
  <w:style w:type="character" w:customStyle="1" w:styleId="a">
    <w:name w:val="_"/>
    <w:basedOn w:val="Policepardfaut"/>
    <w:rsid w:val="001D72B3"/>
  </w:style>
  <w:style w:type="character" w:styleId="Lienhypertextesuivivisit">
    <w:name w:val="FollowedHyperlink"/>
    <w:uiPriority w:val="99"/>
    <w:semiHidden/>
    <w:unhideWhenUsed/>
    <w:rsid w:val="001D72B3"/>
    <w:rPr>
      <w:color w:val="800080"/>
      <w:u w:val="single"/>
    </w:rPr>
  </w:style>
  <w:style w:type="paragraph" w:customStyle="1" w:styleId="EndNoteBibliographyTitle">
    <w:name w:val="EndNote Bibliography Title"/>
    <w:basedOn w:val="Normal"/>
    <w:link w:val="EndNoteBibliographyTitleCar"/>
    <w:rsid w:val="001D72B3"/>
    <w:pPr>
      <w:jc w:val="center"/>
    </w:pPr>
    <w:rPr>
      <w:noProof/>
    </w:rPr>
  </w:style>
  <w:style w:type="character" w:customStyle="1" w:styleId="EndNoteBibliographyTitleCar">
    <w:name w:val="EndNote Bibliography Title Car"/>
    <w:link w:val="EndNoteBibliographyTitle"/>
    <w:rsid w:val="001D72B3"/>
    <w:rPr>
      <w:rFonts w:eastAsia="Times New Roman"/>
      <w:noProof/>
      <w:sz w:val="20"/>
      <w:szCs w:val="20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7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2064</Words>
  <Characters>11356</Characters>
  <Application>Microsoft Office Word</Application>
  <DocSecurity>0</DocSecurity>
  <Lines>94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Anonyme</dc:creator>
  <cp:lastModifiedBy>Anonyme</cp:lastModifiedBy>
  <cp:revision>3</cp:revision>
  <dcterms:created xsi:type="dcterms:W3CDTF">2018-04-07T12:25:00Z</dcterms:created>
  <dcterms:modified xsi:type="dcterms:W3CDTF">2018-04-07T12:30:00Z</dcterms:modified>
</cp:coreProperties>
</file>