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2"/>
        <w:gridCol w:w="2551"/>
        <w:gridCol w:w="2552"/>
      </w:tblGrid>
      <w:tr w:rsidR="00C55BB7" w:rsidTr="00C55BB7">
        <w:tc>
          <w:tcPr>
            <w:tcW w:w="1555" w:type="dxa"/>
            <w:shd w:val="clear" w:color="auto" w:fill="000000" w:themeFill="text1"/>
          </w:tcPr>
          <w:p w:rsidR="00C55BB7" w:rsidRPr="00C55BB7" w:rsidRDefault="00C55BB7" w:rsidP="00C55BB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55BB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Dates</w:t>
            </w:r>
          </w:p>
        </w:tc>
        <w:tc>
          <w:tcPr>
            <w:tcW w:w="7795" w:type="dxa"/>
            <w:gridSpan w:val="3"/>
            <w:shd w:val="clear" w:color="auto" w:fill="000000" w:themeFill="text1"/>
          </w:tcPr>
          <w:p w:rsidR="00C55BB7" w:rsidRPr="00C55BB7" w:rsidRDefault="00C55BB7" w:rsidP="00C55BB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55BB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Relevant Past Medical History and Interventions</w:t>
            </w:r>
          </w:p>
        </w:tc>
      </w:tr>
      <w:tr w:rsidR="00C55BB7" w:rsidTr="00C55BB7">
        <w:tc>
          <w:tcPr>
            <w:tcW w:w="1555" w:type="dxa"/>
          </w:tcPr>
          <w:p w:rsidR="00C55BB7" w:rsidRDefault="00641E1D">
            <w:r>
              <w:t xml:space="preserve">8 </w:t>
            </w:r>
            <w:r w:rsidR="005B235C">
              <w:t>February 2016</w:t>
            </w:r>
          </w:p>
        </w:tc>
        <w:tc>
          <w:tcPr>
            <w:tcW w:w="7795" w:type="dxa"/>
            <w:gridSpan w:val="3"/>
          </w:tcPr>
          <w:p w:rsidR="00C55BB7" w:rsidRDefault="005B235C" w:rsidP="005B235C">
            <w:r w:rsidRPr="00194E8A">
              <w:rPr>
                <w:spacing w:val="-2"/>
                <w:szCs w:val="22"/>
              </w:rPr>
              <w:t xml:space="preserve">A 35-year-old man was diagnosed with CML in the chronic phase during his annual checkup at a primary hospital, and the diagnosis was confirmed with a cytogenetic study, which demonstrated </w:t>
            </w:r>
            <w:bookmarkStart w:id="0" w:name="_Hlk514103399"/>
            <w:r w:rsidRPr="00194E8A">
              <w:rPr>
                <w:spacing w:val="-2"/>
                <w:szCs w:val="22"/>
              </w:rPr>
              <w:t>46</w:t>
            </w:r>
            <w:proofErr w:type="gramStart"/>
            <w:r w:rsidRPr="00194E8A">
              <w:rPr>
                <w:spacing w:val="-2"/>
                <w:szCs w:val="22"/>
              </w:rPr>
              <w:t>,XY,t</w:t>
            </w:r>
            <w:proofErr w:type="gramEnd"/>
            <w:r w:rsidRPr="00194E8A">
              <w:rPr>
                <w:spacing w:val="-2"/>
                <w:szCs w:val="22"/>
              </w:rPr>
              <w:t>(9;22)</w:t>
            </w:r>
            <w:bookmarkEnd w:id="0"/>
            <w:r w:rsidRPr="00194E8A">
              <w:rPr>
                <w:spacing w:val="-2"/>
                <w:szCs w:val="22"/>
              </w:rPr>
              <w:t xml:space="preserve"> and was positive for the </w:t>
            </w:r>
            <w:r w:rsidRPr="00194E8A">
              <w:rPr>
                <w:i/>
                <w:spacing w:val="-2"/>
                <w:szCs w:val="22"/>
              </w:rPr>
              <w:t>BCR-ABL</w:t>
            </w:r>
            <w:r w:rsidRPr="00194E8A">
              <w:rPr>
                <w:spacing w:val="-2"/>
                <w:szCs w:val="22"/>
              </w:rPr>
              <w:t xml:space="preserve"> fusion gene. </w:t>
            </w:r>
          </w:p>
        </w:tc>
      </w:tr>
      <w:tr w:rsidR="005B235C" w:rsidTr="00C55BB7">
        <w:tc>
          <w:tcPr>
            <w:tcW w:w="1555" w:type="dxa"/>
          </w:tcPr>
          <w:p w:rsidR="005B235C" w:rsidRPr="002C2019" w:rsidRDefault="00641E1D">
            <w:r w:rsidRPr="002C2019">
              <w:t xml:space="preserve">11 </w:t>
            </w:r>
            <w:r w:rsidR="005B235C" w:rsidRPr="002C2019">
              <w:t>July 2016</w:t>
            </w:r>
          </w:p>
        </w:tc>
        <w:tc>
          <w:tcPr>
            <w:tcW w:w="7795" w:type="dxa"/>
            <w:gridSpan w:val="3"/>
          </w:tcPr>
          <w:p w:rsidR="005B235C" w:rsidRPr="002C2019" w:rsidRDefault="005B235C" w:rsidP="00343AEF">
            <w:pPr>
              <w:rPr>
                <w:spacing w:val="-2"/>
                <w:szCs w:val="22"/>
              </w:rPr>
            </w:pPr>
            <w:r w:rsidRPr="002C2019">
              <w:rPr>
                <w:spacing w:val="-2"/>
                <w:szCs w:val="22"/>
              </w:rPr>
              <w:t xml:space="preserve">He was referred to our hospital to receive definitive treatment of 400 mg/day of </w:t>
            </w:r>
            <w:proofErr w:type="spellStart"/>
            <w:r w:rsidRPr="002C2019">
              <w:rPr>
                <w:spacing w:val="-2"/>
                <w:szCs w:val="22"/>
              </w:rPr>
              <w:t>imatinib</w:t>
            </w:r>
            <w:proofErr w:type="spellEnd"/>
            <w:r w:rsidRPr="002C2019">
              <w:rPr>
                <w:spacing w:val="-2"/>
                <w:szCs w:val="22"/>
              </w:rPr>
              <w:t xml:space="preserve">. After receiving </w:t>
            </w:r>
            <w:proofErr w:type="spellStart"/>
            <w:r w:rsidRPr="002C2019">
              <w:rPr>
                <w:spacing w:val="-2"/>
                <w:szCs w:val="22"/>
              </w:rPr>
              <w:t>imatinib</w:t>
            </w:r>
            <w:proofErr w:type="spellEnd"/>
            <w:r w:rsidRPr="002C2019">
              <w:rPr>
                <w:spacing w:val="-2"/>
                <w:szCs w:val="22"/>
              </w:rPr>
              <w:t xml:space="preserve">, his treatment response was monitored by a real-time quantitative polymerase chain reaction (RQ-PCR) for the </w:t>
            </w:r>
            <w:r w:rsidRPr="002C2019">
              <w:rPr>
                <w:i/>
                <w:spacing w:val="-2"/>
                <w:szCs w:val="22"/>
              </w:rPr>
              <w:t>BCR-ABL</w:t>
            </w:r>
            <w:r w:rsidRPr="002C2019">
              <w:rPr>
                <w:spacing w:val="-2"/>
                <w:szCs w:val="22"/>
              </w:rPr>
              <w:t xml:space="preserve"> gene (</w:t>
            </w:r>
            <w:r w:rsidRPr="002C2019">
              <w:rPr>
                <w:rStyle w:val="st"/>
              </w:rPr>
              <w:t>International Scale</w:t>
            </w:r>
            <w:r w:rsidRPr="002C2019">
              <w:rPr>
                <w:spacing w:val="-2"/>
                <w:szCs w:val="22"/>
              </w:rPr>
              <w:t xml:space="preserve">: IS unit) method, and the results showed an optimal response was achieved at 3 and 6 months, according to the 2013 European </w:t>
            </w:r>
            <w:proofErr w:type="spellStart"/>
            <w:r w:rsidRPr="002C2019">
              <w:rPr>
                <w:spacing w:val="-2"/>
                <w:szCs w:val="22"/>
              </w:rPr>
              <w:t>LeukemiaNet</w:t>
            </w:r>
            <w:proofErr w:type="spellEnd"/>
            <w:r w:rsidRPr="002C2019">
              <w:rPr>
                <w:spacing w:val="-2"/>
                <w:szCs w:val="22"/>
              </w:rPr>
              <w:t xml:space="preserve"> recommendations, with RQ-PCRs for the </w:t>
            </w:r>
            <w:r w:rsidRPr="002C2019">
              <w:rPr>
                <w:i/>
                <w:spacing w:val="-2"/>
                <w:szCs w:val="22"/>
              </w:rPr>
              <w:t>BCR-ABL</w:t>
            </w:r>
            <w:r w:rsidRPr="002C2019">
              <w:rPr>
                <w:spacing w:val="-2"/>
                <w:szCs w:val="22"/>
              </w:rPr>
              <w:t xml:space="preserve"> gene (IS unit) of 1.527% and 0.896%, respectively. During the treatment, the patient showed good compliance, and he did not use any herbs or other medications</w:t>
            </w:r>
          </w:p>
        </w:tc>
      </w:tr>
      <w:tr w:rsidR="005B235C" w:rsidTr="00C55BB7">
        <w:tc>
          <w:tcPr>
            <w:tcW w:w="1555" w:type="dxa"/>
            <w:shd w:val="clear" w:color="auto" w:fill="000000" w:themeFill="text1"/>
          </w:tcPr>
          <w:p w:rsidR="005B235C" w:rsidRPr="002C2019" w:rsidRDefault="005B235C" w:rsidP="005B235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C201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Dates</w:t>
            </w:r>
          </w:p>
        </w:tc>
        <w:tc>
          <w:tcPr>
            <w:tcW w:w="2692" w:type="dxa"/>
            <w:shd w:val="clear" w:color="auto" w:fill="000000" w:themeFill="text1"/>
          </w:tcPr>
          <w:p w:rsidR="005B235C" w:rsidRPr="002C2019" w:rsidRDefault="005B235C" w:rsidP="005B235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C201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Summaries from Initial and Follow-up Visits</w:t>
            </w:r>
          </w:p>
        </w:tc>
        <w:tc>
          <w:tcPr>
            <w:tcW w:w="2551" w:type="dxa"/>
            <w:shd w:val="clear" w:color="auto" w:fill="000000" w:themeFill="text1"/>
          </w:tcPr>
          <w:p w:rsidR="005B235C" w:rsidRPr="002C2019" w:rsidRDefault="005B235C" w:rsidP="005B235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C201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Diagnostic </w:t>
            </w:r>
            <w:proofErr w:type="spellStart"/>
            <w:r w:rsidRPr="002C201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Testings</w:t>
            </w:r>
            <w:proofErr w:type="spellEnd"/>
          </w:p>
          <w:p w:rsidR="005B235C" w:rsidRPr="002C2019" w:rsidRDefault="005B235C" w:rsidP="005B235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C201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(including dates)</w:t>
            </w:r>
          </w:p>
        </w:tc>
        <w:tc>
          <w:tcPr>
            <w:tcW w:w="2552" w:type="dxa"/>
            <w:shd w:val="clear" w:color="auto" w:fill="000000" w:themeFill="text1"/>
          </w:tcPr>
          <w:p w:rsidR="005B235C" w:rsidRPr="00C55BB7" w:rsidRDefault="005B235C" w:rsidP="005B235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55BB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Interventions</w:t>
            </w:r>
          </w:p>
        </w:tc>
      </w:tr>
      <w:tr w:rsidR="005B235C" w:rsidTr="00C55BB7">
        <w:tc>
          <w:tcPr>
            <w:tcW w:w="1555" w:type="dxa"/>
          </w:tcPr>
          <w:p w:rsidR="005B235C" w:rsidRPr="002C2019" w:rsidRDefault="00641E1D" w:rsidP="00641E1D">
            <w:r w:rsidRPr="002C2019">
              <w:t>21 February 2017</w:t>
            </w:r>
          </w:p>
          <w:p w:rsidR="00F877DB" w:rsidRPr="002C2019" w:rsidRDefault="00F877DB" w:rsidP="00641E1D">
            <w:r w:rsidRPr="002C2019">
              <w:t>(T = 0 month)</w:t>
            </w:r>
          </w:p>
        </w:tc>
        <w:tc>
          <w:tcPr>
            <w:tcW w:w="2692" w:type="dxa"/>
          </w:tcPr>
          <w:p w:rsidR="005B235C" w:rsidRPr="002C2019" w:rsidRDefault="00641E1D" w:rsidP="005B235C">
            <w:r w:rsidRPr="002C2019">
              <w:t>T</w:t>
            </w:r>
            <w:r w:rsidRPr="002C2019">
              <w:rPr>
                <w:spacing w:val="-2"/>
                <w:szCs w:val="22"/>
              </w:rPr>
              <w:t xml:space="preserve">he patient was admitted to our hospital with fever and severe pain in both knees and the ankles for 5 days. A physical examination showed symmetrical </w:t>
            </w:r>
            <w:proofErr w:type="spellStart"/>
            <w:r w:rsidRPr="002C2019">
              <w:rPr>
                <w:spacing w:val="-2"/>
                <w:szCs w:val="22"/>
              </w:rPr>
              <w:t>oligoarthritis</w:t>
            </w:r>
            <w:proofErr w:type="spellEnd"/>
            <w:r w:rsidRPr="002C2019">
              <w:rPr>
                <w:spacing w:val="-2"/>
                <w:szCs w:val="22"/>
              </w:rPr>
              <w:t xml:space="preserve"> in the knees and ankles.</w:t>
            </w:r>
          </w:p>
        </w:tc>
        <w:tc>
          <w:tcPr>
            <w:tcW w:w="2551" w:type="dxa"/>
          </w:tcPr>
          <w:p w:rsidR="005B235C" w:rsidRPr="002C2019" w:rsidRDefault="005B235C" w:rsidP="00343AEF">
            <w:r w:rsidRPr="002C2019">
              <w:t xml:space="preserve">The investigations for diagnosis of </w:t>
            </w:r>
            <w:r w:rsidR="00343AEF" w:rsidRPr="002C2019">
              <w:t>leukemic arthritis</w:t>
            </w:r>
            <w:r w:rsidR="00EE4A7A" w:rsidRPr="002C2019">
              <w:t xml:space="preserve"> with CML blast phase</w:t>
            </w:r>
            <w:r w:rsidR="00343AEF" w:rsidRPr="002C2019">
              <w:t xml:space="preserve"> </w:t>
            </w:r>
            <w:r w:rsidRPr="002C2019">
              <w:t>consisted of:</w:t>
            </w:r>
          </w:p>
          <w:p w:rsidR="005B235C" w:rsidRPr="002C2019" w:rsidRDefault="005B235C" w:rsidP="005B235C">
            <w:pPr>
              <w:pStyle w:val="a4"/>
              <w:numPr>
                <w:ilvl w:val="0"/>
                <w:numId w:val="1"/>
              </w:numPr>
            </w:pPr>
            <w:r w:rsidRPr="002C2019">
              <w:t>Complete blood count and blood smear (</w:t>
            </w:r>
            <w:r w:rsidR="00641E1D" w:rsidRPr="002C2019">
              <w:t>21 February 2017</w:t>
            </w:r>
            <w:r w:rsidRPr="002C2019">
              <w:t xml:space="preserve">)  </w:t>
            </w:r>
          </w:p>
          <w:p w:rsidR="00EE4A7A" w:rsidRPr="002C2019" w:rsidRDefault="00EE4A7A" w:rsidP="005B235C">
            <w:pPr>
              <w:pStyle w:val="a4"/>
              <w:numPr>
                <w:ilvl w:val="0"/>
                <w:numId w:val="1"/>
              </w:numPr>
            </w:pPr>
            <w:r w:rsidRPr="002C2019">
              <w:rPr>
                <w:spacing w:val="-2"/>
                <w:szCs w:val="22"/>
              </w:rPr>
              <w:t>Bone scintigraphy</w:t>
            </w:r>
            <w:r w:rsidRPr="002C2019">
              <w:t xml:space="preserve"> (23 February 2017)   </w:t>
            </w:r>
          </w:p>
          <w:p w:rsidR="0095742C" w:rsidRPr="002C2019" w:rsidRDefault="00EE4A7A" w:rsidP="005B235C">
            <w:pPr>
              <w:pStyle w:val="a4"/>
              <w:numPr>
                <w:ilvl w:val="0"/>
                <w:numId w:val="1"/>
              </w:numPr>
            </w:pPr>
            <w:r w:rsidRPr="002C2019">
              <w:rPr>
                <w:spacing w:val="-2"/>
                <w:szCs w:val="22"/>
              </w:rPr>
              <w:t xml:space="preserve">Synovial fluid analysis </w:t>
            </w:r>
            <w:r w:rsidRPr="002C2019">
              <w:t>(23 February 2017)</w:t>
            </w:r>
            <w:r w:rsidR="005B235C" w:rsidRPr="002C2019">
              <w:t xml:space="preserve"> </w:t>
            </w:r>
          </w:p>
          <w:p w:rsidR="0095742C" w:rsidRPr="002C2019" w:rsidRDefault="0095742C" w:rsidP="00442F57">
            <w:pPr>
              <w:pStyle w:val="a4"/>
              <w:numPr>
                <w:ilvl w:val="0"/>
                <w:numId w:val="1"/>
              </w:numPr>
            </w:pPr>
            <w:r w:rsidRPr="002C2019">
              <w:rPr>
                <w:spacing w:val="-2"/>
                <w:szCs w:val="22"/>
              </w:rPr>
              <w:t xml:space="preserve">RQ-PCR for </w:t>
            </w:r>
            <w:r w:rsidRPr="002C2019">
              <w:rPr>
                <w:i/>
                <w:spacing w:val="-2"/>
                <w:szCs w:val="22"/>
              </w:rPr>
              <w:t>BCR-ABL/ABL</w:t>
            </w:r>
            <w:r w:rsidRPr="002C2019">
              <w:t xml:space="preserve"> (23 February 2017)   </w:t>
            </w:r>
          </w:p>
          <w:p w:rsidR="005B235C" w:rsidRPr="002C2019" w:rsidRDefault="0095742C" w:rsidP="00442F57">
            <w:pPr>
              <w:pStyle w:val="a4"/>
              <w:numPr>
                <w:ilvl w:val="0"/>
                <w:numId w:val="1"/>
              </w:numPr>
            </w:pPr>
            <w:r w:rsidRPr="002C2019">
              <w:rPr>
                <w:spacing w:val="-2"/>
                <w:szCs w:val="22"/>
              </w:rPr>
              <w:t xml:space="preserve">Mutation testing in the </w:t>
            </w:r>
            <w:r w:rsidRPr="002C2019">
              <w:rPr>
                <w:i/>
                <w:spacing w:val="-2"/>
                <w:szCs w:val="22"/>
              </w:rPr>
              <w:t>BCR-ABL</w:t>
            </w:r>
            <w:r w:rsidRPr="002C2019">
              <w:rPr>
                <w:spacing w:val="-2"/>
                <w:szCs w:val="22"/>
              </w:rPr>
              <w:t xml:space="preserve"> gene</w:t>
            </w:r>
            <w:r w:rsidRPr="002C2019">
              <w:t xml:space="preserve"> (23 February 2017)   </w:t>
            </w:r>
          </w:p>
          <w:p w:rsidR="005B235C" w:rsidRPr="002C2019" w:rsidRDefault="005B235C" w:rsidP="005B235C">
            <w:pPr>
              <w:pStyle w:val="a4"/>
              <w:numPr>
                <w:ilvl w:val="0"/>
                <w:numId w:val="1"/>
              </w:numPr>
            </w:pPr>
            <w:r w:rsidRPr="002C2019">
              <w:t>Bone marrow study (</w:t>
            </w:r>
            <w:r w:rsidR="00641E1D" w:rsidRPr="002C2019">
              <w:t>23 February 2017</w:t>
            </w:r>
            <w:r w:rsidRPr="002C2019">
              <w:t xml:space="preserve">)   </w:t>
            </w:r>
          </w:p>
        </w:tc>
        <w:tc>
          <w:tcPr>
            <w:tcW w:w="2552" w:type="dxa"/>
          </w:tcPr>
          <w:p w:rsidR="005B235C" w:rsidRDefault="005B235C" w:rsidP="005B235C">
            <w:r>
              <w:t xml:space="preserve">- </w:t>
            </w:r>
            <w:r w:rsidR="00EE4A7A">
              <w:rPr>
                <w:spacing w:val="-2"/>
                <w:szCs w:val="22"/>
              </w:rPr>
              <w:t>S</w:t>
            </w:r>
            <w:r w:rsidR="00EE4A7A" w:rsidRPr="00194E8A">
              <w:rPr>
                <w:spacing w:val="-2"/>
                <w:szCs w:val="22"/>
              </w:rPr>
              <w:t>ynovial fluid</w:t>
            </w:r>
            <w:r w:rsidR="00EE4A7A">
              <w:rPr>
                <w:spacing w:val="-2"/>
                <w:szCs w:val="22"/>
              </w:rPr>
              <w:t xml:space="preserve"> analysis </w:t>
            </w:r>
            <w:r>
              <w:t>(</w:t>
            </w:r>
            <w:r w:rsidR="00EE4A7A">
              <w:t>23 February 2017</w:t>
            </w:r>
            <w:r>
              <w:t>)</w:t>
            </w:r>
          </w:p>
          <w:p w:rsidR="005B235C" w:rsidRDefault="005B235C" w:rsidP="005B235C">
            <w:r>
              <w:t xml:space="preserve">- </w:t>
            </w:r>
            <w:r w:rsidRPr="001A5B1A">
              <w:t xml:space="preserve">Bone marrow </w:t>
            </w:r>
            <w:r>
              <w:t>study</w:t>
            </w:r>
            <w:r w:rsidRPr="001A5B1A">
              <w:t xml:space="preserve"> (</w:t>
            </w:r>
            <w:r w:rsidR="00EE4A7A">
              <w:t>23 February 2017</w:t>
            </w:r>
            <w:r w:rsidRPr="001A5B1A">
              <w:t xml:space="preserve">)   </w:t>
            </w:r>
          </w:p>
        </w:tc>
      </w:tr>
      <w:tr w:rsidR="005B235C" w:rsidTr="00C55BB7">
        <w:tc>
          <w:tcPr>
            <w:tcW w:w="1555" w:type="dxa"/>
          </w:tcPr>
          <w:p w:rsidR="005B235C" w:rsidRPr="002C2019" w:rsidRDefault="00EE4A7A" w:rsidP="005B235C">
            <w:r w:rsidRPr="002C2019">
              <w:t>26 February 2017</w:t>
            </w:r>
          </w:p>
          <w:p w:rsidR="00DB2E61" w:rsidRPr="002C2019" w:rsidRDefault="00DB2E61" w:rsidP="005B235C">
            <w:r w:rsidRPr="002C2019">
              <w:t>(T = 0 month)</w:t>
            </w:r>
          </w:p>
        </w:tc>
        <w:tc>
          <w:tcPr>
            <w:tcW w:w="2692" w:type="dxa"/>
          </w:tcPr>
          <w:p w:rsidR="005B235C" w:rsidRPr="002C2019" w:rsidRDefault="005B235C" w:rsidP="00641E1D">
            <w:r w:rsidRPr="002C2019">
              <w:t xml:space="preserve">Starting chemotherapy treatment </w:t>
            </w:r>
            <w:r w:rsidR="00343AEF" w:rsidRPr="002C2019">
              <w:t>(7+3 induction</w:t>
            </w:r>
            <w:r w:rsidRPr="002C2019">
              <w:t xml:space="preserve"> regimen</w:t>
            </w:r>
            <w:r w:rsidR="00641E1D" w:rsidRPr="002C2019">
              <w:t xml:space="preserve"> conjunction with 600 mg/day of </w:t>
            </w:r>
            <w:proofErr w:type="spellStart"/>
            <w:r w:rsidR="00641E1D" w:rsidRPr="002C2019">
              <w:t>imatinib</w:t>
            </w:r>
            <w:proofErr w:type="spellEnd"/>
            <w:r w:rsidRPr="002C2019">
              <w:t xml:space="preserve">) for </w:t>
            </w:r>
            <w:r w:rsidR="00343AEF" w:rsidRPr="002C2019">
              <w:t>blast crisis of CML</w:t>
            </w:r>
          </w:p>
        </w:tc>
        <w:tc>
          <w:tcPr>
            <w:tcW w:w="2551" w:type="dxa"/>
          </w:tcPr>
          <w:p w:rsidR="005B235C" w:rsidRPr="002C2019" w:rsidRDefault="005B235C" w:rsidP="005B235C">
            <w:r w:rsidRPr="002C2019">
              <w:t>-</w:t>
            </w:r>
          </w:p>
        </w:tc>
        <w:tc>
          <w:tcPr>
            <w:tcW w:w="2552" w:type="dxa"/>
          </w:tcPr>
          <w:p w:rsidR="00641E1D" w:rsidRDefault="00EE4A7A" w:rsidP="005B235C">
            <w:r>
              <w:t xml:space="preserve">- </w:t>
            </w:r>
            <w:r w:rsidR="00641E1D">
              <w:t>7+3 induction</w:t>
            </w:r>
            <w:r w:rsidR="005B235C">
              <w:t xml:space="preserve"> regimen consisted</w:t>
            </w:r>
            <w:r w:rsidR="005B235C" w:rsidRPr="001A5B1A">
              <w:t xml:space="preserve"> of </w:t>
            </w:r>
          </w:p>
          <w:p w:rsidR="00641E1D" w:rsidRDefault="00641E1D" w:rsidP="005B235C">
            <w:r w:rsidRPr="00194E8A">
              <w:rPr>
                <w:spacing w:val="-2"/>
                <w:szCs w:val="22"/>
              </w:rPr>
              <w:t xml:space="preserve">200 mg of </w:t>
            </w:r>
            <w:proofErr w:type="spellStart"/>
            <w:r w:rsidRPr="00194E8A">
              <w:rPr>
                <w:spacing w:val="-2"/>
                <w:szCs w:val="22"/>
              </w:rPr>
              <w:t>cytarabine</w:t>
            </w:r>
            <w:proofErr w:type="spellEnd"/>
            <w:r w:rsidRPr="00194E8A">
              <w:rPr>
                <w:spacing w:val="-2"/>
                <w:szCs w:val="22"/>
              </w:rPr>
              <w:t xml:space="preserve"> intravenously on days 1–7, plus 15 mg of </w:t>
            </w:r>
            <w:proofErr w:type="spellStart"/>
            <w:r w:rsidRPr="00194E8A">
              <w:rPr>
                <w:spacing w:val="-2"/>
                <w:szCs w:val="22"/>
              </w:rPr>
              <w:t>idarubicin</w:t>
            </w:r>
            <w:proofErr w:type="spellEnd"/>
            <w:r w:rsidRPr="00194E8A">
              <w:rPr>
                <w:spacing w:val="-2"/>
                <w:szCs w:val="22"/>
              </w:rPr>
              <w:t xml:space="preserve"> intravenously on days 1–3</w:t>
            </w:r>
          </w:p>
          <w:p w:rsidR="00EE4A7A" w:rsidRDefault="00EE4A7A" w:rsidP="00EE4A7A">
            <w:r>
              <w:t xml:space="preserve">- 600 mg/day of </w:t>
            </w:r>
            <w:proofErr w:type="spellStart"/>
            <w:r>
              <w:t>imatinib</w:t>
            </w:r>
            <w:proofErr w:type="spellEnd"/>
          </w:p>
          <w:p w:rsidR="005B235C" w:rsidRDefault="005B235C" w:rsidP="005B235C"/>
        </w:tc>
      </w:tr>
      <w:tr w:rsidR="005B235C" w:rsidTr="00C55BB7">
        <w:tc>
          <w:tcPr>
            <w:tcW w:w="1555" w:type="dxa"/>
          </w:tcPr>
          <w:p w:rsidR="005B235C" w:rsidRPr="002C2019" w:rsidRDefault="00FB1B3E" w:rsidP="00FB1B3E">
            <w:r w:rsidRPr="002C2019">
              <w:t>24 March 2017</w:t>
            </w:r>
          </w:p>
          <w:p w:rsidR="00F877DB" w:rsidRPr="002C2019" w:rsidRDefault="00F877DB" w:rsidP="00FB1B3E">
            <w:r w:rsidRPr="002C2019">
              <w:t>(T = 1 month)</w:t>
            </w:r>
          </w:p>
        </w:tc>
        <w:tc>
          <w:tcPr>
            <w:tcW w:w="2692" w:type="dxa"/>
          </w:tcPr>
          <w:p w:rsidR="005B235C" w:rsidRPr="002C2019" w:rsidRDefault="00FB1B3E" w:rsidP="005B235C">
            <w:r w:rsidRPr="002C2019">
              <w:rPr>
                <w:spacing w:val="-2"/>
                <w:szCs w:val="22"/>
              </w:rPr>
              <w:t>He achieved a complete hematological remission</w:t>
            </w:r>
            <w:r w:rsidRPr="002C2019">
              <w:t>.</w:t>
            </w:r>
          </w:p>
        </w:tc>
        <w:tc>
          <w:tcPr>
            <w:tcW w:w="2551" w:type="dxa"/>
          </w:tcPr>
          <w:p w:rsidR="005B235C" w:rsidRPr="002C2019" w:rsidRDefault="005B235C" w:rsidP="005B235C">
            <w:r w:rsidRPr="002C2019">
              <w:t>- Bone marrow study (</w:t>
            </w:r>
            <w:r w:rsidR="00FB1B3E" w:rsidRPr="002C2019">
              <w:t>24 March 2017</w:t>
            </w:r>
            <w:r w:rsidRPr="002C2019">
              <w:t xml:space="preserve">)     </w:t>
            </w:r>
          </w:p>
        </w:tc>
        <w:tc>
          <w:tcPr>
            <w:tcW w:w="2552" w:type="dxa"/>
          </w:tcPr>
          <w:p w:rsidR="005B235C" w:rsidRPr="001A5B1A" w:rsidRDefault="005B235C" w:rsidP="005B235C">
            <w:r w:rsidRPr="00ED5558">
              <w:t>- Bo</w:t>
            </w:r>
            <w:r>
              <w:t>ne marrow</w:t>
            </w:r>
            <w:r w:rsidRPr="00167A27">
              <w:t xml:space="preserve"> study </w:t>
            </w:r>
            <w:r>
              <w:t>(</w:t>
            </w:r>
            <w:r w:rsidR="00FB1B3E">
              <w:t>24 March 2017</w:t>
            </w:r>
            <w:r w:rsidRPr="00ED5558">
              <w:t xml:space="preserve">)     </w:t>
            </w:r>
          </w:p>
        </w:tc>
      </w:tr>
      <w:tr w:rsidR="00FB1B3E" w:rsidTr="00C55BB7">
        <w:tc>
          <w:tcPr>
            <w:tcW w:w="1555" w:type="dxa"/>
          </w:tcPr>
          <w:p w:rsidR="00FB1B3E" w:rsidRPr="002C2019" w:rsidRDefault="00442F57" w:rsidP="005B235C">
            <w:r w:rsidRPr="002C2019">
              <w:t xml:space="preserve">14 </w:t>
            </w:r>
            <w:r w:rsidR="00FB1B3E" w:rsidRPr="002C2019">
              <w:t>September</w:t>
            </w:r>
            <w:r w:rsidR="00EE2B4C" w:rsidRPr="002C2019">
              <w:t xml:space="preserve"> 2017</w:t>
            </w:r>
          </w:p>
          <w:p w:rsidR="00F877DB" w:rsidRPr="002C2019" w:rsidRDefault="00F877DB" w:rsidP="005B235C">
            <w:r w:rsidRPr="002C2019">
              <w:lastRenderedPageBreak/>
              <w:t>(T = 7 month)</w:t>
            </w:r>
          </w:p>
        </w:tc>
        <w:tc>
          <w:tcPr>
            <w:tcW w:w="2692" w:type="dxa"/>
          </w:tcPr>
          <w:p w:rsidR="00FB1B3E" w:rsidRPr="002C2019" w:rsidRDefault="00FB1B3E" w:rsidP="005B235C">
            <w:r w:rsidRPr="002C2019">
              <w:lastRenderedPageBreak/>
              <w:t xml:space="preserve">Switching to 140 mg of </w:t>
            </w:r>
            <w:proofErr w:type="spellStart"/>
            <w:r w:rsidRPr="002C2019">
              <w:t>dasatinib</w:t>
            </w:r>
            <w:proofErr w:type="spellEnd"/>
          </w:p>
        </w:tc>
        <w:tc>
          <w:tcPr>
            <w:tcW w:w="2551" w:type="dxa"/>
          </w:tcPr>
          <w:p w:rsidR="00FB1B3E" w:rsidRPr="002C2019" w:rsidRDefault="00FB1B3E" w:rsidP="005B235C"/>
        </w:tc>
        <w:tc>
          <w:tcPr>
            <w:tcW w:w="2552" w:type="dxa"/>
          </w:tcPr>
          <w:p w:rsidR="00FB1B3E" w:rsidRDefault="00FB1B3E" w:rsidP="005B235C">
            <w:r>
              <w:t xml:space="preserve">140 mg of </w:t>
            </w:r>
            <w:proofErr w:type="spellStart"/>
            <w:r>
              <w:t>dasatinib</w:t>
            </w:r>
            <w:proofErr w:type="spellEnd"/>
          </w:p>
        </w:tc>
      </w:tr>
      <w:tr w:rsidR="0095742C" w:rsidTr="00C55BB7">
        <w:tc>
          <w:tcPr>
            <w:tcW w:w="1555" w:type="dxa"/>
          </w:tcPr>
          <w:p w:rsidR="0095742C" w:rsidRPr="002C2019" w:rsidRDefault="00442F57" w:rsidP="00EE2B4C">
            <w:r w:rsidRPr="002C2019">
              <w:t xml:space="preserve">13 </w:t>
            </w:r>
            <w:r w:rsidR="00EE2B4C" w:rsidRPr="002C2019">
              <w:t xml:space="preserve">October </w:t>
            </w:r>
            <w:r w:rsidR="0095742C" w:rsidRPr="002C2019">
              <w:t>2017</w:t>
            </w:r>
          </w:p>
          <w:p w:rsidR="00F877DB" w:rsidRPr="002C2019" w:rsidRDefault="00F877DB" w:rsidP="00EE2B4C">
            <w:r w:rsidRPr="002C2019">
              <w:t>(T = 8 month)</w:t>
            </w:r>
          </w:p>
        </w:tc>
        <w:tc>
          <w:tcPr>
            <w:tcW w:w="2692" w:type="dxa"/>
          </w:tcPr>
          <w:p w:rsidR="0095742C" w:rsidRPr="002C2019" w:rsidRDefault="0095742C" w:rsidP="00FB1B3E">
            <w:r w:rsidRPr="002C2019">
              <w:t xml:space="preserve">The patient developed </w:t>
            </w:r>
            <w:r w:rsidRPr="002C2019">
              <w:rPr>
                <w:spacing w:val="-2"/>
                <w:szCs w:val="22"/>
              </w:rPr>
              <w:t>dyspnea on exertion and pleural effusion with</w:t>
            </w:r>
            <w:r w:rsidR="00FB1B3E" w:rsidRPr="002C2019">
              <w:rPr>
                <w:spacing w:val="-2"/>
                <w:szCs w:val="22"/>
              </w:rPr>
              <w:t xml:space="preserve"> pulmonary hypertension.</w:t>
            </w:r>
          </w:p>
        </w:tc>
        <w:tc>
          <w:tcPr>
            <w:tcW w:w="2551" w:type="dxa"/>
          </w:tcPr>
          <w:p w:rsidR="00FB1B3E" w:rsidRPr="002C2019" w:rsidRDefault="00FB1B3E" w:rsidP="00FB1B3E">
            <w:r w:rsidRPr="002C2019">
              <w:t>- Chest x-ray (</w:t>
            </w:r>
            <w:r w:rsidR="00442F57" w:rsidRPr="002C2019">
              <w:t>1</w:t>
            </w:r>
            <w:r w:rsidR="00EE2B4C" w:rsidRPr="002C2019">
              <w:t>3 October</w:t>
            </w:r>
            <w:r w:rsidR="00442F57" w:rsidRPr="002C2019">
              <w:t xml:space="preserve"> 2017</w:t>
            </w:r>
            <w:r w:rsidRPr="002C2019">
              <w:t>)</w:t>
            </w:r>
          </w:p>
          <w:p w:rsidR="0095742C" w:rsidRPr="002C2019" w:rsidRDefault="00FB1B3E" w:rsidP="00FB1B3E">
            <w:r w:rsidRPr="002C2019">
              <w:t>- Echocardiogram (</w:t>
            </w:r>
            <w:r w:rsidR="00EE2B4C" w:rsidRPr="002C2019">
              <w:t>13 October</w:t>
            </w:r>
            <w:r w:rsidR="00442F57" w:rsidRPr="002C2019">
              <w:t xml:space="preserve"> 2017</w:t>
            </w:r>
            <w:r w:rsidRPr="002C2019">
              <w:t>)</w:t>
            </w:r>
          </w:p>
        </w:tc>
        <w:tc>
          <w:tcPr>
            <w:tcW w:w="2552" w:type="dxa"/>
          </w:tcPr>
          <w:p w:rsidR="0095742C" w:rsidRDefault="0095742C" w:rsidP="005B235C">
            <w:r>
              <w:t xml:space="preserve">Off </w:t>
            </w:r>
            <w:proofErr w:type="spellStart"/>
            <w:r>
              <w:t>dasatinib</w:t>
            </w:r>
            <w:proofErr w:type="spellEnd"/>
          </w:p>
        </w:tc>
      </w:tr>
      <w:tr w:rsidR="00343AEF" w:rsidTr="00C55BB7">
        <w:tc>
          <w:tcPr>
            <w:tcW w:w="1555" w:type="dxa"/>
          </w:tcPr>
          <w:p w:rsidR="00343AEF" w:rsidRPr="002C2019" w:rsidRDefault="00641E1D" w:rsidP="005B235C">
            <w:pPr>
              <w:rPr>
                <w:spacing w:val="-2"/>
                <w:szCs w:val="22"/>
              </w:rPr>
            </w:pPr>
            <w:r w:rsidRPr="002C2019">
              <w:rPr>
                <w:spacing w:val="-2"/>
                <w:szCs w:val="22"/>
              </w:rPr>
              <w:t>15 November 2017</w:t>
            </w:r>
          </w:p>
          <w:p w:rsidR="00F877DB" w:rsidRPr="002C2019" w:rsidRDefault="00F877DB" w:rsidP="005B235C">
            <w:r w:rsidRPr="002C2019">
              <w:t>(T = 9 month)</w:t>
            </w:r>
          </w:p>
        </w:tc>
        <w:tc>
          <w:tcPr>
            <w:tcW w:w="2692" w:type="dxa"/>
          </w:tcPr>
          <w:p w:rsidR="00343AEF" w:rsidRPr="002C2019" w:rsidRDefault="00641E1D" w:rsidP="005B235C">
            <w:r w:rsidRPr="002C2019">
              <w:rPr>
                <w:spacing w:val="-2"/>
                <w:szCs w:val="22"/>
              </w:rPr>
              <w:t>The patient presented to our hospital with 1 week of severe headaches, a low-grade fever, nausea, vomiting, and polyuria. A physical examination revealed hepatosplenomegaly without an abnormal neurological finding.</w:t>
            </w:r>
          </w:p>
        </w:tc>
        <w:tc>
          <w:tcPr>
            <w:tcW w:w="2551" w:type="dxa"/>
          </w:tcPr>
          <w:p w:rsidR="00343AEF" w:rsidRPr="002C2019" w:rsidRDefault="00343AEF" w:rsidP="00343AEF">
            <w:r w:rsidRPr="002C2019">
              <w:t>The investigations for diagnosis of symptomatic hypercalcemia</w:t>
            </w:r>
            <w:r w:rsidR="00EE4A7A" w:rsidRPr="002C2019">
              <w:t xml:space="preserve"> with CML blast phase</w:t>
            </w:r>
            <w:r w:rsidRPr="002C2019">
              <w:t xml:space="preserve"> consisted of:</w:t>
            </w:r>
          </w:p>
          <w:p w:rsidR="00343AEF" w:rsidRPr="002C2019" w:rsidRDefault="00343AEF" w:rsidP="00343AEF">
            <w:pPr>
              <w:pStyle w:val="a4"/>
              <w:numPr>
                <w:ilvl w:val="0"/>
                <w:numId w:val="1"/>
              </w:numPr>
            </w:pPr>
            <w:r w:rsidRPr="002C2019">
              <w:t>Complete blood count and blood smear (</w:t>
            </w:r>
            <w:r w:rsidR="0095742C" w:rsidRPr="002C2019">
              <w:rPr>
                <w:spacing w:val="-2"/>
                <w:szCs w:val="22"/>
              </w:rPr>
              <w:t>15 November 2017</w:t>
            </w:r>
            <w:r w:rsidRPr="002C2019">
              <w:t xml:space="preserve">)  </w:t>
            </w:r>
          </w:p>
          <w:p w:rsidR="00343AEF" w:rsidRPr="002C2019" w:rsidRDefault="00343AEF" w:rsidP="00343AEF">
            <w:pPr>
              <w:pStyle w:val="a4"/>
              <w:numPr>
                <w:ilvl w:val="0"/>
                <w:numId w:val="1"/>
              </w:numPr>
            </w:pPr>
            <w:r w:rsidRPr="002C2019">
              <w:t xml:space="preserve">Serum creatinine, </w:t>
            </w:r>
            <w:proofErr w:type="spellStart"/>
            <w:r w:rsidRPr="002C2019">
              <w:t>electrolyes</w:t>
            </w:r>
            <w:proofErr w:type="spellEnd"/>
            <w:r w:rsidRPr="002C2019">
              <w:t xml:space="preserve">, calcium, </w:t>
            </w:r>
            <w:r w:rsidR="0095742C" w:rsidRPr="002C2019">
              <w:t>serum calcium (17.8</w:t>
            </w:r>
            <w:r w:rsidR="00FB1B3E" w:rsidRPr="002C2019">
              <w:t xml:space="preserve"> </w:t>
            </w:r>
            <w:r w:rsidR="00442F57" w:rsidRPr="002C2019">
              <w:t>mg/</w:t>
            </w:r>
            <w:proofErr w:type="spellStart"/>
            <w:r w:rsidR="00442F57" w:rsidRPr="002C2019">
              <w:t>dL</w:t>
            </w:r>
            <w:proofErr w:type="spellEnd"/>
            <w:r w:rsidR="00442F57" w:rsidRPr="002C2019">
              <w:t xml:space="preserve">). Serum albumin was 4 g/L, PTH, and </w:t>
            </w:r>
            <w:r w:rsidR="00442F57" w:rsidRPr="002C2019">
              <w:rPr>
                <w:spacing w:val="-2"/>
                <w:szCs w:val="22"/>
              </w:rPr>
              <w:t>25(OH)D</w:t>
            </w:r>
            <w:r w:rsidR="00442F57" w:rsidRPr="002C2019">
              <w:t xml:space="preserve"> </w:t>
            </w:r>
            <w:r w:rsidRPr="002C2019">
              <w:t>(</w:t>
            </w:r>
            <w:r w:rsidR="00FB1B3E" w:rsidRPr="002C2019">
              <w:rPr>
                <w:spacing w:val="-2"/>
                <w:szCs w:val="22"/>
              </w:rPr>
              <w:t>15 November 2017</w:t>
            </w:r>
            <w:r w:rsidRPr="002C2019">
              <w:t xml:space="preserve">) </w:t>
            </w:r>
          </w:p>
          <w:p w:rsidR="00FB1B3E" w:rsidRPr="002C2019" w:rsidRDefault="00FB1B3E" w:rsidP="00343AEF">
            <w:pPr>
              <w:pStyle w:val="a4"/>
              <w:numPr>
                <w:ilvl w:val="0"/>
                <w:numId w:val="1"/>
              </w:numPr>
            </w:pPr>
            <w:r w:rsidRPr="002C2019">
              <w:t xml:space="preserve">CT brain </w:t>
            </w:r>
            <w:r w:rsidRPr="002C2019">
              <w:rPr>
                <w:spacing w:val="-2"/>
                <w:szCs w:val="22"/>
              </w:rPr>
              <w:t>(15 November 2017)</w:t>
            </w:r>
          </w:p>
          <w:p w:rsidR="00343AEF" w:rsidRPr="002C2019" w:rsidRDefault="00343AEF" w:rsidP="00343AEF">
            <w:pPr>
              <w:pStyle w:val="a4"/>
              <w:numPr>
                <w:ilvl w:val="0"/>
                <w:numId w:val="1"/>
              </w:numPr>
            </w:pPr>
            <w:r w:rsidRPr="002C2019">
              <w:t>Bone survey (</w:t>
            </w:r>
            <w:r w:rsidR="00FB1B3E" w:rsidRPr="002C2019">
              <w:rPr>
                <w:spacing w:val="-2"/>
                <w:szCs w:val="22"/>
              </w:rPr>
              <w:t>15 November 2017</w:t>
            </w:r>
            <w:r w:rsidRPr="002C2019">
              <w:t xml:space="preserve">)   </w:t>
            </w:r>
          </w:p>
          <w:p w:rsidR="00343AEF" w:rsidRPr="002C2019" w:rsidRDefault="00343AEF" w:rsidP="00343AEF">
            <w:pPr>
              <w:pStyle w:val="a4"/>
              <w:numPr>
                <w:ilvl w:val="0"/>
                <w:numId w:val="1"/>
              </w:numPr>
            </w:pPr>
            <w:r w:rsidRPr="002C2019">
              <w:t xml:space="preserve">Serum protein electrophoresis, </w:t>
            </w:r>
            <w:proofErr w:type="spellStart"/>
            <w:r w:rsidRPr="002C2019">
              <w:t>immunofixation</w:t>
            </w:r>
            <w:proofErr w:type="spellEnd"/>
            <w:r w:rsidRPr="002C2019">
              <w:t>, serum free light chain (</w:t>
            </w:r>
            <w:r w:rsidR="00FB1B3E" w:rsidRPr="002C2019">
              <w:rPr>
                <w:spacing w:val="-2"/>
                <w:szCs w:val="22"/>
              </w:rPr>
              <w:t>16 November 2017</w:t>
            </w:r>
            <w:r w:rsidRPr="002C2019">
              <w:t xml:space="preserve">)     </w:t>
            </w:r>
          </w:p>
          <w:p w:rsidR="00343AEF" w:rsidRPr="002C2019" w:rsidRDefault="00343AEF" w:rsidP="00FB1B3E">
            <w:pPr>
              <w:pStyle w:val="a4"/>
              <w:numPr>
                <w:ilvl w:val="0"/>
                <w:numId w:val="1"/>
              </w:numPr>
            </w:pPr>
            <w:r w:rsidRPr="002C2019">
              <w:t>Bone marrow study (</w:t>
            </w:r>
            <w:r w:rsidR="00FB1B3E" w:rsidRPr="002C2019">
              <w:rPr>
                <w:spacing w:val="-2"/>
                <w:szCs w:val="22"/>
              </w:rPr>
              <w:t>17 November 2017</w:t>
            </w:r>
            <w:r w:rsidRPr="002C2019">
              <w:t xml:space="preserve">)   </w:t>
            </w:r>
          </w:p>
        </w:tc>
        <w:tc>
          <w:tcPr>
            <w:tcW w:w="2552" w:type="dxa"/>
          </w:tcPr>
          <w:p w:rsidR="00442F57" w:rsidRDefault="00442F57" w:rsidP="005B235C">
            <w:r>
              <w:t xml:space="preserve">- </w:t>
            </w:r>
            <w:r w:rsidRPr="00194E8A">
              <w:rPr>
                <w:spacing w:val="-2"/>
                <w:szCs w:val="22"/>
              </w:rPr>
              <w:t>The patient was treated with intravenous hydration (200 mL/</w:t>
            </w:r>
            <w:proofErr w:type="spellStart"/>
            <w:r w:rsidRPr="00194E8A">
              <w:rPr>
                <w:spacing w:val="-2"/>
                <w:szCs w:val="22"/>
              </w:rPr>
              <w:t>hr</w:t>
            </w:r>
            <w:proofErr w:type="spellEnd"/>
            <w:r w:rsidRPr="00194E8A">
              <w:rPr>
                <w:spacing w:val="-2"/>
                <w:szCs w:val="22"/>
              </w:rPr>
              <w:t xml:space="preserve"> of 0.9% normal saline), calcitonin (300 µg intravenously every 6 hours for 3 days) and </w:t>
            </w:r>
            <w:proofErr w:type="spellStart"/>
            <w:r w:rsidRPr="00194E8A">
              <w:rPr>
                <w:spacing w:val="-2"/>
                <w:szCs w:val="22"/>
              </w:rPr>
              <w:t>imatinib</w:t>
            </w:r>
            <w:proofErr w:type="spellEnd"/>
            <w:r w:rsidRPr="00194E8A">
              <w:rPr>
                <w:spacing w:val="-2"/>
                <w:szCs w:val="22"/>
              </w:rPr>
              <w:t xml:space="preserve"> (600 mg/day)</w:t>
            </w:r>
          </w:p>
          <w:p w:rsidR="00343AEF" w:rsidRDefault="00442F57" w:rsidP="005B235C">
            <w:r>
              <w:t>- B</w:t>
            </w:r>
            <w:r w:rsidRPr="002D2B3B">
              <w:t xml:space="preserve">one marrow </w:t>
            </w:r>
            <w:r>
              <w:t>study</w:t>
            </w:r>
            <w:r w:rsidRPr="002D2B3B">
              <w:t xml:space="preserve"> </w:t>
            </w:r>
            <w:r>
              <w:t>(</w:t>
            </w:r>
            <w:r>
              <w:rPr>
                <w:spacing w:val="-2"/>
                <w:szCs w:val="22"/>
              </w:rPr>
              <w:t xml:space="preserve">17 </w:t>
            </w:r>
            <w:r w:rsidRPr="00194E8A">
              <w:rPr>
                <w:spacing w:val="-2"/>
                <w:szCs w:val="22"/>
              </w:rPr>
              <w:t>November 2017</w:t>
            </w:r>
            <w:r>
              <w:t xml:space="preserve">) </w:t>
            </w:r>
            <w:r w:rsidRPr="002D2B3B">
              <w:t xml:space="preserve"> </w:t>
            </w:r>
            <w:r>
              <w:t xml:space="preserve"> </w:t>
            </w:r>
          </w:p>
        </w:tc>
      </w:tr>
      <w:tr w:rsidR="008F167D" w:rsidTr="00C55BB7">
        <w:tc>
          <w:tcPr>
            <w:tcW w:w="1555" w:type="dxa"/>
          </w:tcPr>
          <w:p w:rsidR="008F167D" w:rsidRPr="002C2019" w:rsidRDefault="008F167D" w:rsidP="005B235C">
            <w:pPr>
              <w:rPr>
                <w:spacing w:val="-2"/>
                <w:szCs w:val="22"/>
              </w:rPr>
            </w:pPr>
            <w:r w:rsidRPr="002C2019">
              <w:rPr>
                <w:spacing w:val="-2"/>
                <w:szCs w:val="22"/>
              </w:rPr>
              <w:t>22 November 2017</w:t>
            </w:r>
          </w:p>
          <w:p w:rsidR="00F877DB" w:rsidRPr="002C2019" w:rsidRDefault="00F877DB" w:rsidP="005B235C">
            <w:pPr>
              <w:rPr>
                <w:spacing w:val="-2"/>
                <w:szCs w:val="22"/>
              </w:rPr>
            </w:pPr>
            <w:r w:rsidRPr="002C2019">
              <w:t>(T = 9 month)</w:t>
            </w:r>
          </w:p>
        </w:tc>
        <w:tc>
          <w:tcPr>
            <w:tcW w:w="2692" w:type="dxa"/>
          </w:tcPr>
          <w:p w:rsidR="008F167D" w:rsidRPr="002C2019" w:rsidRDefault="008F167D" w:rsidP="005B235C">
            <w:pPr>
              <w:rPr>
                <w:spacing w:val="-2"/>
                <w:szCs w:val="22"/>
              </w:rPr>
            </w:pPr>
            <w:r w:rsidRPr="002C2019">
              <w:rPr>
                <w:spacing w:val="-2"/>
                <w:szCs w:val="22"/>
              </w:rPr>
              <w:t>Due to minimal response to high serum calcium level, we decided to add 20 mg/day of intravenous dexamethasone on day 8 of admission. His severe headache symptom improved gradually, and the serum calcium level decreased</w:t>
            </w:r>
            <w:r w:rsidRPr="002C2019" w:rsidDel="00F06F41">
              <w:rPr>
                <w:spacing w:val="-2"/>
                <w:szCs w:val="22"/>
              </w:rPr>
              <w:t xml:space="preserve"> </w:t>
            </w:r>
            <w:r w:rsidRPr="002C2019">
              <w:rPr>
                <w:spacing w:val="-2"/>
                <w:szCs w:val="22"/>
              </w:rPr>
              <w:t>dramatically to the normal range within a few days.</w:t>
            </w:r>
          </w:p>
        </w:tc>
        <w:tc>
          <w:tcPr>
            <w:tcW w:w="2551" w:type="dxa"/>
          </w:tcPr>
          <w:p w:rsidR="008F167D" w:rsidRPr="002C2019" w:rsidRDefault="008F167D" w:rsidP="008F167D">
            <w:r w:rsidRPr="002C2019">
              <w:t>- Serum electrolyte, calcium</w:t>
            </w:r>
          </w:p>
        </w:tc>
        <w:tc>
          <w:tcPr>
            <w:tcW w:w="2552" w:type="dxa"/>
          </w:tcPr>
          <w:p w:rsidR="008F167D" w:rsidRDefault="008F167D" w:rsidP="005B235C">
            <w:r w:rsidRPr="00194E8A">
              <w:rPr>
                <w:spacing w:val="-2"/>
                <w:szCs w:val="22"/>
              </w:rPr>
              <w:t>add 20 mg/day of intravenous dexamethasone</w:t>
            </w:r>
          </w:p>
        </w:tc>
      </w:tr>
      <w:tr w:rsidR="00442F57" w:rsidTr="00C55BB7">
        <w:tc>
          <w:tcPr>
            <w:tcW w:w="1555" w:type="dxa"/>
          </w:tcPr>
          <w:p w:rsidR="00442F57" w:rsidRPr="002C2019" w:rsidRDefault="00442F57" w:rsidP="005B235C">
            <w:pPr>
              <w:rPr>
                <w:spacing w:val="-2"/>
                <w:szCs w:val="22"/>
              </w:rPr>
            </w:pPr>
            <w:r w:rsidRPr="002C2019">
              <w:rPr>
                <w:spacing w:val="-2"/>
                <w:szCs w:val="22"/>
              </w:rPr>
              <w:t>30 November 2017</w:t>
            </w:r>
          </w:p>
          <w:p w:rsidR="00F877DB" w:rsidRPr="002C2019" w:rsidRDefault="00F877DB" w:rsidP="005B235C">
            <w:pPr>
              <w:rPr>
                <w:spacing w:val="-2"/>
                <w:szCs w:val="22"/>
              </w:rPr>
            </w:pPr>
            <w:r w:rsidRPr="002C2019">
              <w:t>(T = 9 month)</w:t>
            </w:r>
          </w:p>
        </w:tc>
        <w:tc>
          <w:tcPr>
            <w:tcW w:w="2692" w:type="dxa"/>
          </w:tcPr>
          <w:p w:rsidR="00442F57" w:rsidRPr="002C2019" w:rsidRDefault="008F167D" w:rsidP="00442F57">
            <w:pPr>
              <w:rPr>
                <w:spacing w:val="-2"/>
                <w:szCs w:val="22"/>
              </w:rPr>
            </w:pPr>
            <w:r w:rsidRPr="002C2019">
              <w:rPr>
                <w:spacing w:val="-2"/>
                <w:szCs w:val="22"/>
              </w:rPr>
              <w:t>He was discharged with a serum calcium level of 7.6 mg/</w:t>
            </w:r>
            <w:proofErr w:type="spellStart"/>
            <w:r w:rsidRPr="002C2019">
              <w:rPr>
                <w:spacing w:val="-2"/>
                <w:szCs w:val="22"/>
              </w:rPr>
              <w:t>dL</w:t>
            </w:r>
            <w:proofErr w:type="spellEnd"/>
          </w:p>
        </w:tc>
        <w:tc>
          <w:tcPr>
            <w:tcW w:w="2551" w:type="dxa"/>
          </w:tcPr>
          <w:p w:rsidR="00442F57" w:rsidRPr="002C2019" w:rsidRDefault="008F167D" w:rsidP="00343AEF">
            <w:r w:rsidRPr="002C2019">
              <w:t>- Serum electrolyte, calcium</w:t>
            </w:r>
          </w:p>
        </w:tc>
        <w:tc>
          <w:tcPr>
            <w:tcW w:w="2552" w:type="dxa"/>
          </w:tcPr>
          <w:p w:rsidR="00442F57" w:rsidRDefault="000242A4" w:rsidP="005B235C">
            <w:r>
              <w:t xml:space="preserve">Off all drugs, continue only 600 mg/day </w:t>
            </w:r>
            <w:proofErr w:type="spellStart"/>
            <w:r>
              <w:t>imatinib</w:t>
            </w:r>
            <w:proofErr w:type="spellEnd"/>
          </w:p>
        </w:tc>
      </w:tr>
      <w:tr w:rsidR="00442F57" w:rsidTr="00C55BB7">
        <w:tc>
          <w:tcPr>
            <w:tcW w:w="1555" w:type="dxa"/>
          </w:tcPr>
          <w:p w:rsidR="00442F57" w:rsidRPr="002C2019" w:rsidRDefault="00442F57" w:rsidP="005B235C">
            <w:pPr>
              <w:rPr>
                <w:spacing w:val="-2"/>
                <w:szCs w:val="22"/>
              </w:rPr>
            </w:pPr>
            <w:r w:rsidRPr="002C2019">
              <w:rPr>
                <w:spacing w:val="-2"/>
                <w:szCs w:val="22"/>
              </w:rPr>
              <w:lastRenderedPageBreak/>
              <w:t>10 December 2017</w:t>
            </w:r>
          </w:p>
          <w:p w:rsidR="00F877DB" w:rsidRPr="002C2019" w:rsidRDefault="00F877DB" w:rsidP="005B235C">
            <w:pPr>
              <w:rPr>
                <w:spacing w:val="-2"/>
                <w:szCs w:val="22"/>
              </w:rPr>
            </w:pPr>
            <w:r w:rsidRPr="002C2019">
              <w:t>(T = 10 month)</w:t>
            </w:r>
          </w:p>
        </w:tc>
        <w:tc>
          <w:tcPr>
            <w:tcW w:w="2692" w:type="dxa"/>
          </w:tcPr>
          <w:p w:rsidR="00442F57" w:rsidRPr="002C2019" w:rsidRDefault="00442F57" w:rsidP="005B235C">
            <w:pPr>
              <w:rPr>
                <w:spacing w:val="-2"/>
                <w:szCs w:val="22"/>
              </w:rPr>
            </w:pPr>
            <w:r w:rsidRPr="002C2019">
              <w:rPr>
                <w:spacing w:val="-2"/>
                <w:szCs w:val="22"/>
              </w:rPr>
              <w:t>The patient was lost to follow-up.</w:t>
            </w:r>
          </w:p>
        </w:tc>
        <w:tc>
          <w:tcPr>
            <w:tcW w:w="2551" w:type="dxa"/>
          </w:tcPr>
          <w:p w:rsidR="00442F57" w:rsidRPr="002C2019" w:rsidRDefault="00442F57" w:rsidP="00343AEF">
            <w:r w:rsidRPr="002C2019">
              <w:t>-</w:t>
            </w:r>
          </w:p>
        </w:tc>
        <w:tc>
          <w:tcPr>
            <w:tcW w:w="2552" w:type="dxa"/>
          </w:tcPr>
          <w:p w:rsidR="00442F57" w:rsidRDefault="00442F57" w:rsidP="005B235C">
            <w:r>
              <w:t>-</w:t>
            </w:r>
          </w:p>
        </w:tc>
      </w:tr>
      <w:tr w:rsidR="001473A7" w:rsidTr="00C55BB7">
        <w:tc>
          <w:tcPr>
            <w:tcW w:w="1555" w:type="dxa"/>
          </w:tcPr>
          <w:p w:rsidR="001473A7" w:rsidRPr="002C2019" w:rsidRDefault="001473A7" w:rsidP="005B235C">
            <w:pPr>
              <w:rPr>
                <w:spacing w:val="-2"/>
                <w:szCs w:val="22"/>
              </w:rPr>
            </w:pPr>
            <w:r w:rsidRPr="002C2019">
              <w:rPr>
                <w:spacing w:val="-2"/>
                <w:szCs w:val="22"/>
              </w:rPr>
              <w:t>16 December 2017</w:t>
            </w:r>
          </w:p>
          <w:p w:rsidR="001473A7" w:rsidRPr="002C2019" w:rsidRDefault="001473A7" w:rsidP="005B235C">
            <w:pPr>
              <w:rPr>
                <w:spacing w:val="-2"/>
                <w:szCs w:val="22"/>
              </w:rPr>
            </w:pPr>
            <w:r w:rsidRPr="002C2019">
              <w:rPr>
                <w:spacing w:val="-2"/>
                <w:szCs w:val="22"/>
              </w:rPr>
              <w:t>(T = 10 month)</w:t>
            </w:r>
          </w:p>
        </w:tc>
        <w:tc>
          <w:tcPr>
            <w:tcW w:w="2692" w:type="dxa"/>
          </w:tcPr>
          <w:p w:rsidR="001473A7" w:rsidRPr="002C2019" w:rsidRDefault="001473A7" w:rsidP="005B235C">
            <w:pPr>
              <w:rPr>
                <w:spacing w:val="-2"/>
                <w:szCs w:val="22"/>
              </w:rPr>
            </w:pPr>
            <w:r w:rsidRPr="002C2019">
              <w:rPr>
                <w:spacing w:val="-2"/>
                <w:szCs w:val="22"/>
              </w:rPr>
              <w:t>The patie</w:t>
            </w:r>
            <w:r w:rsidR="00BE490B">
              <w:rPr>
                <w:spacing w:val="-2"/>
                <w:szCs w:val="22"/>
              </w:rPr>
              <w:t>nt passed away a few weeks after discharge</w:t>
            </w:r>
            <w:r w:rsidRPr="002C2019">
              <w:rPr>
                <w:spacing w:val="-2"/>
                <w:szCs w:val="22"/>
              </w:rPr>
              <w:t xml:space="preserve"> at his home with unknow</w:t>
            </w:r>
            <w:bookmarkStart w:id="1" w:name="_GoBack"/>
            <w:bookmarkEnd w:id="1"/>
            <w:r w:rsidRPr="002C2019">
              <w:rPr>
                <w:spacing w:val="-2"/>
                <w:szCs w:val="22"/>
              </w:rPr>
              <w:t xml:space="preserve">n cause of death. </w:t>
            </w:r>
          </w:p>
        </w:tc>
        <w:tc>
          <w:tcPr>
            <w:tcW w:w="2551" w:type="dxa"/>
          </w:tcPr>
          <w:p w:rsidR="001473A7" w:rsidRPr="002C2019" w:rsidRDefault="001473A7" w:rsidP="00343AEF">
            <w:r w:rsidRPr="002C2019">
              <w:t>-</w:t>
            </w:r>
          </w:p>
        </w:tc>
        <w:tc>
          <w:tcPr>
            <w:tcW w:w="2552" w:type="dxa"/>
          </w:tcPr>
          <w:p w:rsidR="001473A7" w:rsidRDefault="001473A7" w:rsidP="005B235C">
            <w:r>
              <w:t>-</w:t>
            </w:r>
          </w:p>
        </w:tc>
      </w:tr>
    </w:tbl>
    <w:p w:rsidR="00D054D4" w:rsidRDefault="00D054D4"/>
    <w:sectPr w:rsidR="00D054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B2F34"/>
    <w:multiLevelType w:val="hybridMultilevel"/>
    <w:tmpl w:val="5C909D96"/>
    <w:lvl w:ilvl="0" w:tplc="DDAE1F2C">
      <w:start w:val="2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B7"/>
    <w:rsid w:val="000242A4"/>
    <w:rsid w:val="00045C18"/>
    <w:rsid w:val="000C23FC"/>
    <w:rsid w:val="001473A7"/>
    <w:rsid w:val="00167A27"/>
    <w:rsid w:val="001A5B1A"/>
    <w:rsid w:val="002C2019"/>
    <w:rsid w:val="002D2B3B"/>
    <w:rsid w:val="00343AEF"/>
    <w:rsid w:val="00442F57"/>
    <w:rsid w:val="005B235C"/>
    <w:rsid w:val="00641E1D"/>
    <w:rsid w:val="008F167D"/>
    <w:rsid w:val="0095742C"/>
    <w:rsid w:val="00BE490B"/>
    <w:rsid w:val="00C55BB7"/>
    <w:rsid w:val="00D054D4"/>
    <w:rsid w:val="00DB2E61"/>
    <w:rsid w:val="00ED5558"/>
    <w:rsid w:val="00EE2B4C"/>
    <w:rsid w:val="00EE4A7A"/>
    <w:rsid w:val="00F877DB"/>
    <w:rsid w:val="00FB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E6131-CB27-4F73-B901-2A0F0020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5BB7"/>
    <w:pPr>
      <w:ind w:left="720"/>
      <w:contextualSpacing/>
    </w:pPr>
  </w:style>
  <w:style w:type="character" w:customStyle="1" w:styleId="st">
    <w:name w:val="st"/>
    <w:basedOn w:val="a0"/>
    <w:rsid w:val="005B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weerapat owattanapanich</cp:lastModifiedBy>
  <cp:revision>4</cp:revision>
  <dcterms:created xsi:type="dcterms:W3CDTF">2018-07-14T04:33:00Z</dcterms:created>
  <dcterms:modified xsi:type="dcterms:W3CDTF">2018-07-14T04:39:00Z</dcterms:modified>
</cp:coreProperties>
</file>