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11" w:rsidRDefault="00F02E11" w:rsidP="00F02E11">
      <w:pPr>
        <w:jc w:val="both"/>
      </w:pPr>
      <w:r>
        <w:rPr>
          <w:b/>
        </w:rPr>
        <w:t xml:space="preserve">Table </w:t>
      </w:r>
      <w:r w:rsidR="00B70DDE">
        <w:rPr>
          <w:b/>
        </w:rPr>
        <w:t>S</w:t>
      </w:r>
      <w:bookmarkStart w:id="0" w:name="_GoBack"/>
      <w:bookmarkEnd w:id="0"/>
      <w:r w:rsidR="008F177E">
        <w:rPr>
          <w:b/>
        </w:rPr>
        <w:t>10</w:t>
      </w:r>
      <w:r>
        <w:rPr>
          <w:b/>
        </w:rPr>
        <w:t xml:space="preserve">. </w:t>
      </w:r>
      <w:r w:rsidR="00274647" w:rsidRPr="00274647">
        <w:rPr>
          <w:b/>
        </w:rPr>
        <w:t>LRχ² and p-values for CTS and 10-year signature in three groups of POLAR validation set for 0-5 and 5-10 years of follow-up</w:t>
      </w:r>
      <w:r>
        <w:rPr>
          <w:b/>
        </w:rPr>
        <w:t>.</w:t>
      </w:r>
      <w:r>
        <w:t xml:space="preserve"> </w:t>
      </w:r>
    </w:p>
    <w:p w:rsidR="00807CE8" w:rsidRDefault="00807CE8"/>
    <w:tbl>
      <w:tblPr>
        <w:tblStyle w:val="TableGrid"/>
        <w:tblW w:w="10195" w:type="dxa"/>
        <w:tblInd w:w="-459" w:type="dxa"/>
        <w:tblLook w:val="04A0" w:firstRow="1" w:lastRow="0" w:firstColumn="1" w:lastColumn="0" w:noHBand="0" w:noVBand="1"/>
      </w:tblPr>
      <w:tblGrid>
        <w:gridCol w:w="1709"/>
        <w:gridCol w:w="2294"/>
        <w:gridCol w:w="1410"/>
        <w:gridCol w:w="1502"/>
        <w:gridCol w:w="1640"/>
        <w:gridCol w:w="1640"/>
      </w:tblGrid>
      <w:tr w:rsidR="00F71B70" w:rsidTr="00A33625">
        <w:tc>
          <w:tcPr>
            <w:tcW w:w="5413" w:type="dxa"/>
            <w:gridSpan w:val="3"/>
            <w:vAlign w:val="center"/>
          </w:tcPr>
          <w:p w:rsidR="00F71B70" w:rsidRDefault="00F71B70" w:rsidP="00DD2823"/>
        </w:tc>
        <w:tc>
          <w:tcPr>
            <w:tcW w:w="1502" w:type="dxa"/>
            <w:vAlign w:val="center"/>
          </w:tcPr>
          <w:p w:rsidR="00F71B70" w:rsidRDefault="00F71B70" w:rsidP="00DD2823">
            <w:pPr>
              <w:rPr>
                <w:b/>
              </w:rPr>
            </w:pPr>
            <w:r>
              <w:rPr>
                <w:b/>
              </w:rPr>
              <w:t>A</w:t>
            </w:r>
            <w:r w:rsidRPr="00154746">
              <w:rPr>
                <w:b/>
              </w:rPr>
              <w:t xml:space="preserve">ll </w:t>
            </w:r>
            <w:r>
              <w:rPr>
                <w:b/>
              </w:rPr>
              <w:t>POLAR patients</w:t>
            </w:r>
          </w:p>
        </w:tc>
        <w:tc>
          <w:tcPr>
            <w:tcW w:w="1640" w:type="dxa"/>
            <w:vAlign w:val="center"/>
          </w:tcPr>
          <w:p w:rsidR="00F71B70" w:rsidRPr="00154746" w:rsidRDefault="00F71B70" w:rsidP="00DD2823">
            <w:pPr>
              <w:rPr>
                <w:b/>
              </w:rPr>
            </w:pPr>
            <w:r w:rsidRPr="00154746">
              <w:rPr>
                <w:b/>
              </w:rPr>
              <w:t>Chemo</w:t>
            </w:r>
            <w:r>
              <w:rPr>
                <w:b/>
              </w:rPr>
              <w:t>therapy-treated</w:t>
            </w:r>
          </w:p>
        </w:tc>
        <w:tc>
          <w:tcPr>
            <w:tcW w:w="1640" w:type="dxa"/>
            <w:vAlign w:val="center"/>
          </w:tcPr>
          <w:p w:rsidR="00F71B70" w:rsidRPr="0016695D" w:rsidRDefault="00F71B70" w:rsidP="00DD2823">
            <w:pPr>
              <w:rPr>
                <w:b/>
              </w:rPr>
            </w:pPr>
            <w:r>
              <w:rPr>
                <w:b/>
              </w:rPr>
              <w:t>Chemotherapy-naïve</w:t>
            </w:r>
          </w:p>
        </w:tc>
      </w:tr>
      <w:tr w:rsidR="005640D9" w:rsidTr="00AA2BBE">
        <w:tc>
          <w:tcPr>
            <w:tcW w:w="10195" w:type="dxa"/>
            <w:gridSpan w:val="6"/>
            <w:vAlign w:val="center"/>
          </w:tcPr>
          <w:p w:rsidR="005640D9" w:rsidRPr="00F71B70" w:rsidRDefault="005640D9" w:rsidP="00DD2823">
            <w:r w:rsidRPr="00F71B70">
              <w:t>0-5 years</w:t>
            </w:r>
          </w:p>
        </w:tc>
      </w:tr>
      <w:tr w:rsidR="002B50BC" w:rsidTr="00A31E3A">
        <w:tc>
          <w:tcPr>
            <w:tcW w:w="5413" w:type="dxa"/>
            <w:gridSpan w:val="3"/>
            <w:vAlign w:val="center"/>
          </w:tcPr>
          <w:p w:rsidR="002B50BC" w:rsidRPr="00F71B70" w:rsidRDefault="002B50BC" w:rsidP="00DD2823">
            <w:r w:rsidRPr="00F71B70">
              <w:t>No. of patients (relapses)</w:t>
            </w:r>
          </w:p>
        </w:tc>
        <w:tc>
          <w:tcPr>
            <w:tcW w:w="1502" w:type="dxa"/>
            <w:vAlign w:val="center"/>
          </w:tcPr>
          <w:p w:rsidR="002B50BC" w:rsidRDefault="002B50BC" w:rsidP="00DD2823">
            <w:r>
              <w:t>n=308 (133)</w:t>
            </w:r>
          </w:p>
        </w:tc>
        <w:tc>
          <w:tcPr>
            <w:tcW w:w="1640" w:type="dxa"/>
            <w:vAlign w:val="center"/>
          </w:tcPr>
          <w:p w:rsidR="002B50BC" w:rsidRDefault="002B50BC" w:rsidP="00DD2823">
            <w:r>
              <w:t>n=128 (57)</w:t>
            </w:r>
          </w:p>
        </w:tc>
        <w:tc>
          <w:tcPr>
            <w:tcW w:w="1640" w:type="dxa"/>
            <w:vAlign w:val="center"/>
          </w:tcPr>
          <w:p w:rsidR="002B50BC" w:rsidRDefault="002B50BC" w:rsidP="00DD2823">
            <w:r>
              <w:t>n=180 (76)</w:t>
            </w:r>
          </w:p>
        </w:tc>
      </w:tr>
      <w:tr w:rsidR="005640D9" w:rsidTr="00AA2BBE">
        <w:tc>
          <w:tcPr>
            <w:tcW w:w="1709" w:type="dxa"/>
            <w:vMerge w:val="restart"/>
            <w:vAlign w:val="center"/>
          </w:tcPr>
          <w:p w:rsidR="005640D9" w:rsidRPr="00F71B70" w:rsidRDefault="005640D9" w:rsidP="00DD2823">
            <w:r w:rsidRPr="00F71B70">
              <w:t>Univariate</w:t>
            </w:r>
          </w:p>
        </w:tc>
        <w:tc>
          <w:tcPr>
            <w:tcW w:w="2294" w:type="dxa"/>
            <w:vMerge w:val="restart"/>
            <w:vAlign w:val="center"/>
          </w:tcPr>
          <w:p w:rsidR="005640D9" w:rsidRPr="00F71B70" w:rsidRDefault="005640D9" w:rsidP="00DD2823">
            <w:r w:rsidRPr="00F71B70">
              <w:t>CTS</w:t>
            </w:r>
          </w:p>
        </w:tc>
        <w:tc>
          <w:tcPr>
            <w:tcW w:w="1410" w:type="dxa"/>
            <w:vAlign w:val="center"/>
          </w:tcPr>
          <w:p w:rsidR="005640D9" w:rsidRPr="00F71B70" w:rsidRDefault="005640D9" w:rsidP="00DD2823">
            <w:r w:rsidRPr="00F71B70">
              <w:t>LRχ</w:t>
            </w:r>
            <w:r w:rsidRPr="00F71B70">
              <w:rPr>
                <w:vertAlign w:val="superscript"/>
              </w:rPr>
              <w:t>2</w:t>
            </w:r>
          </w:p>
        </w:tc>
        <w:tc>
          <w:tcPr>
            <w:tcW w:w="1502" w:type="dxa"/>
            <w:vAlign w:val="center"/>
          </w:tcPr>
          <w:p w:rsidR="005640D9" w:rsidRPr="004B6B84" w:rsidRDefault="005640D9" w:rsidP="00DD2823">
            <w:r>
              <w:t>22.09</w:t>
            </w:r>
          </w:p>
        </w:tc>
        <w:tc>
          <w:tcPr>
            <w:tcW w:w="1640" w:type="dxa"/>
            <w:vAlign w:val="center"/>
          </w:tcPr>
          <w:p w:rsidR="005640D9" w:rsidRPr="004B6B84" w:rsidRDefault="005640D9" w:rsidP="00DD2823">
            <w:r>
              <w:t>15.25</w:t>
            </w:r>
          </w:p>
        </w:tc>
        <w:tc>
          <w:tcPr>
            <w:tcW w:w="1640" w:type="dxa"/>
            <w:vAlign w:val="center"/>
          </w:tcPr>
          <w:p w:rsidR="005640D9" w:rsidRPr="004B6B84" w:rsidRDefault="005640D9" w:rsidP="00DD2823">
            <w:r>
              <w:t>10.08</w:t>
            </w:r>
          </w:p>
        </w:tc>
      </w:tr>
      <w:tr w:rsidR="005640D9" w:rsidTr="00AA2BBE">
        <w:tc>
          <w:tcPr>
            <w:tcW w:w="1709" w:type="dxa"/>
            <w:vMerge/>
            <w:vAlign w:val="center"/>
          </w:tcPr>
          <w:p w:rsidR="005640D9" w:rsidRPr="00F71B70" w:rsidRDefault="005640D9" w:rsidP="00DD2823"/>
        </w:tc>
        <w:tc>
          <w:tcPr>
            <w:tcW w:w="2294" w:type="dxa"/>
            <w:vMerge/>
            <w:vAlign w:val="center"/>
          </w:tcPr>
          <w:p w:rsidR="005640D9" w:rsidRPr="00F71B70" w:rsidRDefault="005640D9" w:rsidP="00DD2823"/>
        </w:tc>
        <w:tc>
          <w:tcPr>
            <w:tcW w:w="1410" w:type="dxa"/>
            <w:vAlign w:val="center"/>
          </w:tcPr>
          <w:p w:rsidR="005640D9" w:rsidRPr="00F71B70" w:rsidRDefault="005640D9" w:rsidP="00DD2823">
            <w:r w:rsidRPr="00F71B70">
              <w:t>P</w:t>
            </w:r>
          </w:p>
        </w:tc>
        <w:tc>
          <w:tcPr>
            <w:tcW w:w="1502" w:type="dxa"/>
            <w:vAlign w:val="center"/>
          </w:tcPr>
          <w:p w:rsidR="005640D9" w:rsidRPr="004B6B84" w:rsidRDefault="005640D9" w:rsidP="00DD2823">
            <w:r>
              <w:t>&lt;0.001</w:t>
            </w:r>
          </w:p>
        </w:tc>
        <w:tc>
          <w:tcPr>
            <w:tcW w:w="1640" w:type="dxa"/>
            <w:vAlign w:val="center"/>
          </w:tcPr>
          <w:p w:rsidR="005640D9" w:rsidRPr="004B6B84" w:rsidRDefault="005640D9" w:rsidP="00DD2823">
            <w:r>
              <w:t>&lt;0.001</w:t>
            </w:r>
          </w:p>
        </w:tc>
        <w:tc>
          <w:tcPr>
            <w:tcW w:w="1640" w:type="dxa"/>
            <w:vAlign w:val="center"/>
          </w:tcPr>
          <w:p w:rsidR="005640D9" w:rsidRPr="004B6B84" w:rsidRDefault="005640D9" w:rsidP="00DD2823">
            <w:r>
              <w:t>0.002</w:t>
            </w:r>
          </w:p>
        </w:tc>
      </w:tr>
      <w:tr w:rsidR="005640D9" w:rsidTr="00AA2BBE">
        <w:tc>
          <w:tcPr>
            <w:tcW w:w="1709" w:type="dxa"/>
            <w:vMerge/>
            <w:vAlign w:val="center"/>
          </w:tcPr>
          <w:p w:rsidR="005640D9" w:rsidRPr="00F71B70" w:rsidRDefault="005640D9" w:rsidP="00DD2823"/>
        </w:tc>
        <w:tc>
          <w:tcPr>
            <w:tcW w:w="2294" w:type="dxa"/>
            <w:vMerge w:val="restart"/>
            <w:vAlign w:val="center"/>
          </w:tcPr>
          <w:p w:rsidR="005640D9" w:rsidRPr="00F71B70" w:rsidRDefault="005640D9" w:rsidP="00DD2823">
            <w:r w:rsidRPr="00F71B70">
              <w:t>10-year signature</w:t>
            </w:r>
          </w:p>
        </w:tc>
        <w:tc>
          <w:tcPr>
            <w:tcW w:w="1410" w:type="dxa"/>
            <w:vAlign w:val="center"/>
          </w:tcPr>
          <w:p w:rsidR="005640D9" w:rsidRPr="00F71B70" w:rsidRDefault="005640D9" w:rsidP="00DD2823">
            <w:r w:rsidRPr="00F71B70">
              <w:t>LRχ</w:t>
            </w:r>
            <w:r w:rsidRPr="00F71B70">
              <w:rPr>
                <w:vertAlign w:val="superscript"/>
              </w:rPr>
              <w:t>2</w:t>
            </w:r>
          </w:p>
        </w:tc>
        <w:tc>
          <w:tcPr>
            <w:tcW w:w="1502" w:type="dxa"/>
            <w:vAlign w:val="center"/>
          </w:tcPr>
          <w:p w:rsidR="005640D9" w:rsidRPr="004B6B84" w:rsidRDefault="005640D9" w:rsidP="00DD2823">
            <w:r>
              <w:t>14.59</w:t>
            </w:r>
          </w:p>
        </w:tc>
        <w:tc>
          <w:tcPr>
            <w:tcW w:w="1640" w:type="dxa"/>
            <w:vAlign w:val="center"/>
          </w:tcPr>
          <w:p w:rsidR="005640D9" w:rsidRPr="004B6B84" w:rsidRDefault="005640D9" w:rsidP="00DD2823">
            <w:r>
              <w:t>7.41</w:t>
            </w:r>
          </w:p>
        </w:tc>
        <w:tc>
          <w:tcPr>
            <w:tcW w:w="1640" w:type="dxa"/>
            <w:vAlign w:val="center"/>
          </w:tcPr>
          <w:p w:rsidR="005640D9" w:rsidRPr="004B6B84" w:rsidRDefault="005640D9" w:rsidP="00DD2823">
            <w:r>
              <w:t>7.26</w:t>
            </w:r>
          </w:p>
        </w:tc>
      </w:tr>
      <w:tr w:rsidR="005640D9" w:rsidTr="00AA2BBE">
        <w:tc>
          <w:tcPr>
            <w:tcW w:w="1709" w:type="dxa"/>
            <w:vMerge/>
            <w:vAlign w:val="center"/>
          </w:tcPr>
          <w:p w:rsidR="005640D9" w:rsidRPr="00F71B70" w:rsidRDefault="005640D9" w:rsidP="00DD2823"/>
        </w:tc>
        <w:tc>
          <w:tcPr>
            <w:tcW w:w="2294" w:type="dxa"/>
            <w:vMerge/>
            <w:vAlign w:val="center"/>
          </w:tcPr>
          <w:p w:rsidR="005640D9" w:rsidRPr="00F71B70" w:rsidRDefault="005640D9" w:rsidP="00DD2823"/>
        </w:tc>
        <w:tc>
          <w:tcPr>
            <w:tcW w:w="1410" w:type="dxa"/>
            <w:vAlign w:val="center"/>
          </w:tcPr>
          <w:p w:rsidR="005640D9" w:rsidRPr="00F71B70" w:rsidRDefault="005640D9" w:rsidP="00DD2823">
            <w:r w:rsidRPr="00F71B70">
              <w:t>P</w:t>
            </w:r>
          </w:p>
        </w:tc>
        <w:tc>
          <w:tcPr>
            <w:tcW w:w="1502" w:type="dxa"/>
            <w:vAlign w:val="center"/>
          </w:tcPr>
          <w:p w:rsidR="005640D9" w:rsidRPr="004B6B84" w:rsidRDefault="005640D9" w:rsidP="00DD2823">
            <w:r>
              <w:t>&lt;0.001</w:t>
            </w:r>
          </w:p>
        </w:tc>
        <w:tc>
          <w:tcPr>
            <w:tcW w:w="1640" w:type="dxa"/>
            <w:vAlign w:val="center"/>
          </w:tcPr>
          <w:p w:rsidR="005640D9" w:rsidRPr="004B6B84" w:rsidRDefault="005640D9" w:rsidP="00DD2823">
            <w:r>
              <w:t>0.007</w:t>
            </w:r>
          </w:p>
        </w:tc>
        <w:tc>
          <w:tcPr>
            <w:tcW w:w="1640" w:type="dxa"/>
            <w:vAlign w:val="center"/>
          </w:tcPr>
          <w:p w:rsidR="005640D9" w:rsidRPr="004B6B84" w:rsidRDefault="005640D9" w:rsidP="00DD2823">
            <w:r>
              <w:t>0.007</w:t>
            </w:r>
          </w:p>
        </w:tc>
      </w:tr>
      <w:tr w:rsidR="005640D9" w:rsidTr="00AA2BBE">
        <w:tc>
          <w:tcPr>
            <w:tcW w:w="1709" w:type="dxa"/>
            <w:vMerge w:val="restart"/>
            <w:vAlign w:val="center"/>
          </w:tcPr>
          <w:p w:rsidR="005640D9" w:rsidRPr="00F71B70" w:rsidRDefault="00007ABE" w:rsidP="00DD2823">
            <w:r>
              <w:t>Multivariable comparison</w:t>
            </w:r>
          </w:p>
        </w:tc>
        <w:tc>
          <w:tcPr>
            <w:tcW w:w="2294" w:type="dxa"/>
            <w:vMerge w:val="restart"/>
            <w:vAlign w:val="center"/>
          </w:tcPr>
          <w:p w:rsidR="005640D9" w:rsidRPr="00F71B70" w:rsidRDefault="005640D9" w:rsidP="00DD2823">
            <w:r w:rsidRPr="00F71B70">
              <w:t>CTS+10-year signature vs CTS</w:t>
            </w:r>
          </w:p>
        </w:tc>
        <w:tc>
          <w:tcPr>
            <w:tcW w:w="1410" w:type="dxa"/>
            <w:vAlign w:val="center"/>
          </w:tcPr>
          <w:p w:rsidR="005640D9" w:rsidRPr="00F71B70" w:rsidRDefault="005640D9" w:rsidP="00DD2823">
            <w:r w:rsidRPr="00F71B70">
              <w:t>ΔLRχ</w:t>
            </w:r>
            <w:r w:rsidRPr="00F71B70">
              <w:rPr>
                <w:vertAlign w:val="superscript"/>
              </w:rPr>
              <w:t>2</w:t>
            </w:r>
          </w:p>
        </w:tc>
        <w:tc>
          <w:tcPr>
            <w:tcW w:w="1502" w:type="dxa"/>
            <w:vAlign w:val="center"/>
          </w:tcPr>
          <w:p w:rsidR="005640D9" w:rsidRPr="004B6B84" w:rsidRDefault="005640D9" w:rsidP="00DD2823">
            <w:r>
              <w:t>7.59</w:t>
            </w:r>
          </w:p>
        </w:tc>
        <w:tc>
          <w:tcPr>
            <w:tcW w:w="1640" w:type="dxa"/>
            <w:vAlign w:val="center"/>
          </w:tcPr>
          <w:p w:rsidR="005640D9" w:rsidRPr="004B6B84" w:rsidRDefault="005640D9" w:rsidP="00DD2823">
            <w:r>
              <w:t>5.95</w:t>
            </w:r>
          </w:p>
        </w:tc>
        <w:tc>
          <w:tcPr>
            <w:tcW w:w="1640" w:type="dxa"/>
            <w:vAlign w:val="center"/>
          </w:tcPr>
          <w:p w:rsidR="005640D9" w:rsidRPr="004B6B84" w:rsidRDefault="005640D9" w:rsidP="00DD2823">
            <w:r>
              <w:t>2.72</w:t>
            </w:r>
          </w:p>
        </w:tc>
      </w:tr>
      <w:tr w:rsidR="005640D9" w:rsidTr="00AA2BBE">
        <w:tc>
          <w:tcPr>
            <w:tcW w:w="1709" w:type="dxa"/>
            <w:vMerge/>
            <w:vAlign w:val="center"/>
          </w:tcPr>
          <w:p w:rsidR="005640D9" w:rsidRPr="00F71B70" w:rsidRDefault="005640D9" w:rsidP="00DD2823"/>
        </w:tc>
        <w:tc>
          <w:tcPr>
            <w:tcW w:w="2294" w:type="dxa"/>
            <w:vMerge/>
            <w:vAlign w:val="center"/>
          </w:tcPr>
          <w:p w:rsidR="005640D9" w:rsidRPr="00F71B70" w:rsidRDefault="005640D9" w:rsidP="00DD2823"/>
        </w:tc>
        <w:tc>
          <w:tcPr>
            <w:tcW w:w="1410" w:type="dxa"/>
            <w:vAlign w:val="center"/>
          </w:tcPr>
          <w:p w:rsidR="005640D9" w:rsidRPr="00F71B70" w:rsidRDefault="005640D9" w:rsidP="00DD2823">
            <w:r w:rsidRPr="00F71B70">
              <w:t>P</w:t>
            </w:r>
          </w:p>
        </w:tc>
        <w:tc>
          <w:tcPr>
            <w:tcW w:w="1502" w:type="dxa"/>
            <w:vAlign w:val="center"/>
          </w:tcPr>
          <w:p w:rsidR="005640D9" w:rsidRPr="004B6B84" w:rsidRDefault="005640D9" w:rsidP="00DD2823">
            <w:r>
              <w:t>0.006</w:t>
            </w:r>
          </w:p>
        </w:tc>
        <w:tc>
          <w:tcPr>
            <w:tcW w:w="1640" w:type="dxa"/>
            <w:vAlign w:val="center"/>
          </w:tcPr>
          <w:p w:rsidR="005640D9" w:rsidRPr="004B6B84" w:rsidRDefault="005640D9" w:rsidP="00DD2823">
            <w:r>
              <w:t>0.015</w:t>
            </w:r>
          </w:p>
        </w:tc>
        <w:tc>
          <w:tcPr>
            <w:tcW w:w="1640" w:type="dxa"/>
            <w:vAlign w:val="center"/>
          </w:tcPr>
          <w:p w:rsidR="005640D9" w:rsidRPr="004B6B84" w:rsidRDefault="005640D9" w:rsidP="00DD2823">
            <w:r>
              <w:t>0.099</w:t>
            </w:r>
          </w:p>
        </w:tc>
      </w:tr>
      <w:tr w:rsidR="005640D9" w:rsidTr="00AA2BBE">
        <w:tc>
          <w:tcPr>
            <w:tcW w:w="10195" w:type="dxa"/>
            <w:gridSpan w:val="6"/>
            <w:vAlign w:val="center"/>
          </w:tcPr>
          <w:p w:rsidR="005640D9" w:rsidRPr="00F71B70" w:rsidRDefault="005640D9" w:rsidP="00DD2823">
            <w:r w:rsidRPr="00F71B70">
              <w:t>5-10 years</w:t>
            </w:r>
          </w:p>
        </w:tc>
      </w:tr>
      <w:tr w:rsidR="002B50BC" w:rsidTr="00157CF4">
        <w:tc>
          <w:tcPr>
            <w:tcW w:w="5413" w:type="dxa"/>
            <w:gridSpan w:val="3"/>
            <w:vAlign w:val="center"/>
          </w:tcPr>
          <w:p w:rsidR="002B50BC" w:rsidRPr="00F71B70" w:rsidRDefault="002B50BC" w:rsidP="00DD2823">
            <w:r w:rsidRPr="00F71B70">
              <w:t>No. of patients (relapses)</w:t>
            </w:r>
          </w:p>
        </w:tc>
        <w:tc>
          <w:tcPr>
            <w:tcW w:w="1502" w:type="dxa"/>
            <w:vAlign w:val="center"/>
          </w:tcPr>
          <w:p w:rsidR="002B50BC" w:rsidRDefault="002B50BC" w:rsidP="00DD2823">
            <w:r>
              <w:t>n=285 (114)</w:t>
            </w:r>
          </w:p>
        </w:tc>
        <w:tc>
          <w:tcPr>
            <w:tcW w:w="1640" w:type="dxa"/>
            <w:vAlign w:val="center"/>
          </w:tcPr>
          <w:p w:rsidR="002B50BC" w:rsidRDefault="002B50BC" w:rsidP="00DD2823">
            <w:r>
              <w:t>n=113 (42)</w:t>
            </w:r>
          </w:p>
        </w:tc>
        <w:tc>
          <w:tcPr>
            <w:tcW w:w="1640" w:type="dxa"/>
            <w:vAlign w:val="center"/>
          </w:tcPr>
          <w:p w:rsidR="002B50BC" w:rsidRDefault="002B50BC" w:rsidP="00DD2823">
            <w:r>
              <w:t>n=172 (72)</w:t>
            </w:r>
          </w:p>
        </w:tc>
      </w:tr>
      <w:tr w:rsidR="005640D9" w:rsidTr="00AA2BBE">
        <w:tc>
          <w:tcPr>
            <w:tcW w:w="1709" w:type="dxa"/>
            <w:vMerge w:val="restart"/>
            <w:vAlign w:val="center"/>
          </w:tcPr>
          <w:p w:rsidR="005640D9" w:rsidRPr="00F71B70" w:rsidRDefault="005640D9" w:rsidP="00DD2823">
            <w:r w:rsidRPr="00F71B70">
              <w:t>Univariate</w:t>
            </w:r>
          </w:p>
        </w:tc>
        <w:tc>
          <w:tcPr>
            <w:tcW w:w="2294" w:type="dxa"/>
            <w:vMerge w:val="restart"/>
            <w:vAlign w:val="center"/>
          </w:tcPr>
          <w:p w:rsidR="005640D9" w:rsidRPr="00F71B70" w:rsidRDefault="005640D9" w:rsidP="00DD2823">
            <w:r w:rsidRPr="00F71B70">
              <w:t>CTS</w:t>
            </w:r>
          </w:p>
        </w:tc>
        <w:tc>
          <w:tcPr>
            <w:tcW w:w="1410" w:type="dxa"/>
            <w:vAlign w:val="center"/>
          </w:tcPr>
          <w:p w:rsidR="005640D9" w:rsidRPr="00F71B70" w:rsidRDefault="005640D9" w:rsidP="00DD2823">
            <w:r w:rsidRPr="00F71B70">
              <w:t>LRχ</w:t>
            </w:r>
            <w:r w:rsidRPr="00F71B70">
              <w:rPr>
                <w:vertAlign w:val="superscript"/>
              </w:rPr>
              <w:t>2</w:t>
            </w:r>
          </w:p>
        </w:tc>
        <w:tc>
          <w:tcPr>
            <w:tcW w:w="1502" w:type="dxa"/>
            <w:vAlign w:val="center"/>
          </w:tcPr>
          <w:p w:rsidR="005640D9" w:rsidRPr="004B6B84" w:rsidRDefault="005640D9" w:rsidP="00DD2823">
            <w:r>
              <w:t>0.90</w:t>
            </w:r>
          </w:p>
        </w:tc>
        <w:tc>
          <w:tcPr>
            <w:tcW w:w="1640" w:type="dxa"/>
            <w:vAlign w:val="center"/>
          </w:tcPr>
          <w:p w:rsidR="005640D9" w:rsidRPr="004B6B84" w:rsidRDefault="005640D9" w:rsidP="00DD2823">
            <w:r>
              <w:t>0.11</w:t>
            </w:r>
          </w:p>
        </w:tc>
        <w:tc>
          <w:tcPr>
            <w:tcW w:w="1640" w:type="dxa"/>
            <w:vAlign w:val="center"/>
          </w:tcPr>
          <w:p w:rsidR="005640D9" w:rsidRPr="004B6B84" w:rsidRDefault="005640D9" w:rsidP="00DD2823">
            <w:r>
              <w:t>2.19</w:t>
            </w:r>
          </w:p>
        </w:tc>
      </w:tr>
      <w:tr w:rsidR="005640D9" w:rsidTr="00AA2BBE">
        <w:tc>
          <w:tcPr>
            <w:tcW w:w="1709" w:type="dxa"/>
            <w:vMerge/>
            <w:vAlign w:val="center"/>
          </w:tcPr>
          <w:p w:rsidR="005640D9" w:rsidRPr="00F71B70" w:rsidRDefault="005640D9" w:rsidP="00DD2823"/>
        </w:tc>
        <w:tc>
          <w:tcPr>
            <w:tcW w:w="2294" w:type="dxa"/>
            <w:vMerge/>
            <w:vAlign w:val="center"/>
          </w:tcPr>
          <w:p w:rsidR="005640D9" w:rsidRPr="00F71B70" w:rsidRDefault="005640D9" w:rsidP="00DD2823"/>
        </w:tc>
        <w:tc>
          <w:tcPr>
            <w:tcW w:w="1410" w:type="dxa"/>
            <w:vAlign w:val="center"/>
          </w:tcPr>
          <w:p w:rsidR="005640D9" w:rsidRPr="00F71B70" w:rsidRDefault="005640D9" w:rsidP="00DD2823">
            <w:r w:rsidRPr="00F71B70">
              <w:t>P</w:t>
            </w:r>
          </w:p>
        </w:tc>
        <w:tc>
          <w:tcPr>
            <w:tcW w:w="1502" w:type="dxa"/>
            <w:vAlign w:val="center"/>
          </w:tcPr>
          <w:p w:rsidR="005640D9" w:rsidRPr="004B6B84" w:rsidRDefault="005640D9" w:rsidP="00DD2823">
            <w:r>
              <w:t>0.34</w:t>
            </w:r>
          </w:p>
        </w:tc>
        <w:tc>
          <w:tcPr>
            <w:tcW w:w="1640" w:type="dxa"/>
            <w:vAlign w:val="center"/>
          </w:tcPr>
          <w:p w:rsidR="005640D9" w:rsidRPr="004B6B84" w:rsidRDefault="005640D9" w:rsidP="00DD2823">
            <w:r>
              <w:t>0.744</w:t>
            </w:r>
          </w:p>
        </w:tc>
        <w:tc>
          <w:tcPr>
            <w:tcW w:w="1640" w:type="dxa"/>
            <w:vAlign w:val="center"/>
          </w:tcPr>
          <w:p w:rsidR="005640D9" w:rsidRPr="004B6B84" w:rsidRDefault="005640D9" w:rsidP="00DD2823">
            <w:r>
              <w:t>0.139</w:t>
            </w:r>
          </w:p>
        </w:tc>
      </w:tr>
      <w:tr w:rsidR="005640D9" w:rsidTr="00AA2BBE">
        <w:tc>
          <w:tcPr>
            <w:tcW w:w="1709" w:type="dxa"/>
            <w:vMerge/>
            <w:vAlign w:val="center"/>
          </w:tcPr>
          <w:p w:rsidR="005640D9" w:rsidRPr="00F71B70" w:rsidRDefault="005640D9" w:rsidP="00DD2823"/>
        </w:tc>
        <w:tc>
          <w:tcPr>
            <w:tcW w:w="2294" w:type="dxa"/>
            <w:vMerge w:val="restart"/>
            <w:vAlign w:val="center"/>
          </w:tcPr>
          <w:p w:rsidR="005640D9" w:rsidRPr="00F71B70" w:rsidRDefault="005640D9" w:rsidP="00DD2823">
            <w:r w:rsidRPr="00F71B70">
              <w:t>10-year signature</w:t>
            </w:r>
          </w:p>
        </w:tc>
        <w:tc>
          <w:tcPr>
            <w:tcW w:w="1410" w:type="dxa"/>
            <w:vAlign w:val="center"/>
          </w:tcPr>
          <w:p w:rsidR="005640D9" w:rsidRPr="00F71B70" w:rsidRDefault="005640D9" w:rsidP="00DD2823">
            <w:r w:rsidRPr="00F71B70">
              <w:t>LRχ</w:t>
            </w:r>
            <w:r w:rsidRPr="00F71B70">
              <w:rPr>
                <w:vertAlign w:val="superscript"/>
              </w:rPr>
              <w:t>2</w:t>
            </w:r>
          </w:p>
        </w:tc>
        <w:tc>
          <w:tcPr>
            <w:tcW w:w="1502" w:type="dxa"/>
            <w:vAlign w:val="center"/>
          </w:tcPr>
          <w:p w:rsidR="005640D9" w:rsidRPr="004B6B84" w:rsidRDefault="005640D9" w:rsidP="00DD2823">
            <w:r>
              <w:t>4.18</w:t>
            </w:r>
          </w:p>
        </w:tc>
        <w:tc>
          <w:tcPr>
            <w:tcW w:w="1640" w:type="dxa"/>
            <w:vAlign w:val="center"/>
          </w:tcPr>
          <w:p w:rsidR="005640D9" w:rsidRPr="004B6B84" w:rsidRDefault="005640D9" w:rsidP="00DD2823">
            <w:r>
              <w:t>3.15</w:t>
            </w:r>
          </w:p>
        </w:tc>
        <w:tc>
          <w:tcPr>
            <w:tcW w:w="1640" w:type="dxa"/>
            <w:vAlign w:val="center"/>
          </w:tcPr>
          <w:p w:rsidR="005640D9" w:rsidRPr="004B6B84" w:rsidRDefault="005640D9" w:rsidP="00DD2823">
            <w:r>
              <w:t>1.70</w:t>
            </w:r>
          </w:p>
        </w:tc>
      </w:tr>
      <w:tr w:rsidR="005640D9" w:rsidTr="00AA2BBE">
        <w:tc>
          <w:tcPr>
            <w:tcW w:w="1709" w:type="dxa"/>
            <w:vMerge/>
            <w:vAlign w:val="center"/>
          </w:tcPr>
          <w:p w:rsidR="005640D9" w:rsidRPr="00F71B70" w:rsidRDefault="005640D9" w:rsidP="00DD2823"/>
        </w:tc>
        <w:tc>
          <w:tcPr>
            <w:tcW w:w="2294" w:type="dxa"/>
            <w:vMerge/>
            <w:vAlign w:val="center"/>
          </w:tcPr>
          <w:p w:rsidR="005640D9" w:rsidRPr="00F71B70" w:rsidRDefault="005640D9" w:rsidP="00DD2823"/>
        </w:tc>
        <w:tc>
          <w:tcPr>
            <w:tcW w:w="1410" w:type="dxa"/>
            <w:vAlign w:val="center"/>
          </w:tcPr>
          <w:p w:rsidR="005640D9" w:rsidRPr="00F71B70" w:rsidRDefault="005640D9" w:rsidP="00DD2823">
            <w:r w:rsidRPr="00F71B70">
              <w:t>P</w:t>
            </w:r>
          </w:p>
        </w:tc>
        <w:tc>
          <w:tcPr>
            <w:tcW w:w="1502" w:type="dxa"/>
            <w:vAlign w:val="center"/>
          </w:tcPr>
          <w:p w:rsidR="005640D9" w:rsidRPr="004B6B84" w:rsidRDefault="005640D9" w:rsidP="00DD2823">
            <w:r>
              <w:t>0.041</w:t>
            </w:r>
          </w:p>
        </w:tc>
        <w:tc>
          <w:tcPr>
            <w:tcW w:w="1640" w:type="dxa"/>
            <w:vAlign w:val="center"/>
          </w:tcPr>
          <w:p w:rsidR="005640D9" w:rsidRPr="004B6B84" w:rsidRDefault="005640D9" w:rsidP="00DD2823">
            <w:r>
              <w:t>0.08</w:t>
            </w:r>
          </w:p>
        </w:tc>
        <w:tc>
          <w:tcPr>
            <w:tcW w:w="1640" w:type="dxa"/>
            <w:vAlign w:val="center"/>
          </w:tcPr>
          <w:p w:rsidR="005640D9" w:rsidRPr="004B6B84" w:rsidRDefault="005640D9" w:rsidP="00DD2823">
            <w:r>
              <w:t>0.19</w:t>
            </w:r>
          </w:p>
        </w:tc>
      </w:tr>
      <w:tr w:rsidR="005640D9" w:rsidTr="00AA2BBE">
        <w:tc>
          <w:tcPr>
            <w:tcW w:w="1709" w:type="dxa"/>
            <w:vMerge w:val="restart"/>
            <w:vAlign w:val="center"/>
          </w:tcPr>
          <w:p w:rsidR="005640D9" w:rsidRPr="00F71B70" w:rsidRDefault="00007ABE" w:rsidP="00DD2823">
            <w:r>
              <w:t>Multivariable comparison</w:t>
            </w:r>
          </w:p>
        </w:tc>
        <w:tc>
          <w:tcPr>
            <w:tcW w:w="2294" w:type="dxa"/>
            <w:vMerge w:val="restart"/>
            <w:vAlign w:val="center"/>
          </w:tcPr>
          <w:p w:rsidR="005640D9" w:rsidRPr="00F71B70" w:rsidRDefault="005640D9" w:rsidP="00DD2823">
            <w:r w:rsidRPr="00F71B70">
              <w:t>CTS+10-year signature vs CTS</w:t>
            </w:r>
          </w:p>
        </w:tc>
        <w:tc>
          <w:tcPr>
            <w:tcW w:w="1410" w:type="dxa"/>
            <w:vAlign w:val="center"/>
          </w:tcPr>
          <w:p w:rsidR="005640D9" w:rsidRPr="00F71B70" w:rsidRDefault="005640D9" w:rsidP="00DD2823">
            <w:r w:rsidRPr="00F71B70">
              <w:t>ΔLRχ</w:t>
            </w:r>
            <w:r w:rsidRPr="00F71B70">
              <w:rPr>
                <w:vertAlign w:val="superscript"/>
              </w:rPr>
              <w:t>2</w:t>
            </w:r>
          </w:p>
        </w:tc>
        <w:tc>
          <w:tcPr>
            <w:tcW w:w="1502" w:type="dxa"/>
            <w:vAlign w:val="center"/>
          </w:tcPr>
          <w:p w:rsidR="005640D9" w:rsidRPr="004B6B84" w:rsidRDefault="005640D9" w:rsidP="00DD2823">
            <w:r>
              <w:t>3.58</w:t>
            </w:r>
          </w:p>
        </w:tc>
        <w:tc>
          <w:tcPr>
            <w:tcW w:w="1640" w:type="dxa"/>
            <w:vAlign w:val="center"/>
          </w:tcPr>
          <w:p w:rsidR="005640D9" w:rsidRPr="004B6B84" w:rsidRDefault="005640D9" w:rsidP="00DD2823">
            <w:r>
              <w:t>3.12</w:t>
            </w:r>
          </w:p>
        </w:tc>
        <w:tc>
          <w:tcPr>
            <w:tcW w:w="1640" w:type="dxa"/>
            <w:vAlign w:val="center"/>
          </w:tcPr>
          <w:p w:rsidR="005640D9" w:rsidRPr="004B6B84" w:rsidRDefault="005640D9" w:rsidP="00DD2823">
            <w:r>
              <w:t>0.82</w:t>
            </w:r>
          </w:p>
        </w:tc>
      </w:tr>
      <w:tr w:rsidR="005640D9" w:rsidTr="00AA2BBE">
        <w:tc>
          <w:tcPr>
            <w:tcW w:w="1709" w:type="dxa"/>
            <w:vMerge/>
            <w:vAlign w:val="center"/>
          </w:tcPr>
          <w:p w:rsidR="005640D9" w:rsidRPr="00F71B70" w:rsidRDefault="005640D9" w:rsidP="00DD2823"/>
        </w:tc>
        <w:tc>
          <w:tcPr>
            <w:tcW w:w="2294" w:type="dxa"/>
            <w:vMerge/>
            <w:vAlign w:val="center"/>
          </w:tcPr>
          <w:p w:rsidR="005640D9" w:rsidRPr="00F71B70" w:rsidRDefault="005640D9" w:rsidP="00DD2823"/>
        </w:tc>
        <w:tc>
          <w:tcPr>
            <w:tcW w:w="1410" w:type="dxa"/>
            <w:vAlign w:val="center"/>
          </w:tcPr>
          <w:p w:rsidR="005640D9" w:rsidRPr="00F71B70" w:rsidRDefault="005640D9" w:rsidP="00DD2823">
            <w:r w:rsidRPr="00F71B70">
              <w:t>P</w:t>
            </w:r>
          </w:p>
        </w:tc>
        <w:tc>
          <w:tcPr>
            <w:tcW w:w="1502" w:type="dxa"/>
            <w:vAlign w:val="center"/>
          </w:tcPr>
          <w:p w:rsidR="005640D9" w:rsidRPr="004B6B84" w:rsidRDefault="005640D9" w:rsidP="00DD2823">
            <w:r>
              <w:t>0.059</w:t>
            </w:r>
          </w:p>
        </w:tc>
        <w:tc>
          <w:tcPr>
            <w:tcW w:w="1640" w:type="dxa"/>
            <w:vAlign w:val="center"/>
          </w:tcPr>
          <w:p w:rsidR="005640D9" w:rsidRPr="004B6B84" w:rsidRDefault="005640D9" w:rsidP="00DD2823">
            <w:r>
              <w:t>0.077</w:t>
            </w:r>
          </w:p>
        </w:tc>
        <w:tc>
          <w:tcPr>
            <w:tcW w:w="1640" w:type="dxa"/>
            <w:vAlign w:val="center"/>
          </w:tcPr>
          <w:p w:rsidR="005640D9" w:rsidRPr="004B6B84" w:rsidRDefault="005640D9" w:rsidP="00DD2823">
            <w:r>
              <w:t>0.365</w:t>
            </w:r>
          </w:p>
        </w:tc>
      </w:tr>
    </w:tbl>
    <w:p w:rsidR="008402A2" w:rsidRDefault="008402A2" w:rsidP="008402A2"/>
    <w:p w:rsidR="00F02E11" w:rsidRDefault="00F02E11" w:rsidP="00F824CC">
      <w:pPr>
        <w:jc w:val="both"/>
      </w:pPr>
      <w:r>
        <w:t>Both univariate and multivariable analyses are presented for years 0 to 10, years 0 to 5, and years 5 to 10 separately. Likelihood ratio test based on Cox proportional hazard models for univariate and multivariable analyses. Differences in likelihood ratio values (ΔLRχ</w:t>
      </w:r>
      <w:r w:rsidRPr="00F02E11">
        <w:rPr>
          <w:vertAlign w:val="superscript"/>
        </w:rPr>
        <w:t>2</w:t>
      </w:r>
      <w:r>
        <w:t xml:space="preserve">) were used. CTS </w:t>
      </w:r>
      <w:proofErr w:type="gramStart"/>
      <w:r>
        <w:t>was</w:t>
      </w:r>
      <w:proofErr w:type="gramEnd"/>
      <w:r>
        <w:t xml:space="preserve"> used as a covariate in the multivariable regressions. POLAR = molecular </w:t>
      </w:r>
      <w:r>
        <w:rPr>
          <w:u w:val="single"/>
        </w:rPr>
        <w:t>P</w:t>
      </w:r>
      <w:r>
        <w:t xml:space="preserve">redictors </w:t>
      </w:r>
      <w:r>
        <w:rPr>
          <w:u w:val="single"/>
        </w:rPr>
        <w:t>O</w:t>
      </w:r>
      <w:r>
        <w:t xml:space="preserve">f early versus </w:t>
      </w:r>
      <w:proofErr w:type="spellStart"/>
      <w:r>
        <w:rPr>
          <w:u w:val="single"/>
        </w:rPr>
        <w:t>LA</w:t>
      </w:r>
      <w:r>
        <w:t>te</w:t>
      </w:r>
      <w:proofErr w:type="spellEnd"/>
      <w:r>
        <w:t xml:space="preserve"> </w:t>
      </w:r>
      <w:r>
        <w:rPr>
          <w:u w:val="single"/>
        </w:rPr>
        <w:t>R</w:t>
      </w:r>
      <w:r>
        <w:t>ecurrence in ER-positive breast cancer; CTS = clinical treatment score; LR = likelihood ratio.</w:t>
      </w:r>
    </w:p>
    <w:sectPr w:rsidR="00F02E11" w:rsidSect="00166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E8"/>
    <w:rsid w:val="00007ABE"/>
    <w:rsid w:val="00036EEA"/>
    <w:rsid w:val="0016695D"/>
    <w:rsid w:val="001B01D4"/>
    <w:rsid w:val="00274647"/>
    <w:rsid w:val="002B50BC"/>
    <w:rsid w:val="002F26F9"/>
    <w:rsid w:val="002F388D"/>
    <w:rsid w:val="00473611"/>
    <w:rsid w:val="005640D9"/>
    <w:rsid w:val="006B53E7"/>
    <w:rsid w:val="00783AF9"/>
    <w:rsid w:val="00807CE8"/>
    <w:rsid w:val="00824D39"/>
    <w:rsid w:val="008402A2"/>
    <w:rsid w:val="008F177E"/>
    <w:rsid w:val="00AA2BBE"/>
    <w:rsid w:val="00B70DDE"/>
    <w:rsid w:val="00D7505C"/>
    <w:rsid w:val="00E56E42"/>
    <w:rsid w:val="00F02E11"/>
    <w:rsid w:val="00F71B70"/>
    <w:rsid w:val="00F824CC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4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D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D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D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4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D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D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D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Buus</dc:creator>
  <cp:lastModifiedBy>Richard Buus</cp:lastModifiedBy>
  <cp:revision>3</cp:revision>
  <cp:lastPrinted>2018-03-14T13:29:00Z</cp:lastPrinted>
  <dcterms:created xsi:type="dcterms:W3CDTF">2018-07-31T09:58:00Z</dcterms:created>
  <dcterms:modified xsi:type="dcterms:W3CDTF">2018-07-31T09:58:00Z</dcterms:modified>
</cp:coreProperties>
</file>