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25"/>
        <w:tblW w:w="140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96"/>
        <w:gridCol w:w="1371"/>
        <w:gridCol w:w="3864"/>
        <w:gridCol w:w="3969"/>
        <w:gridCol w:w="1129"/>
      </w:tblGrid>
      <w:tr w:rsidR="00D4689B" w:rsidRPr="0081112A" w14:paraId="19F8B3D0" w14:textId="77777777" w:rsidTr="006C4AC6">
        <w:trPr>
          <w:trHeight w:val="245"/>
        </w:trPr>
        <w:tc>
          <w:tcPr>
            <w:tcW w:w="14029" w:type="dxa"/>
            <w:gridSpan w:val="5"/>
            <w:tcBorders>
              <w:top w:val="nil"/>
              <w:left w:val="nil"/>
              <w:bottom w:val="single" w:sz="18" w:space="0" w:color="auto"/>
              <w:right w:val="nil"/>
            </w:tcBorders>
            <w:shd w:val="clear" w:color="auto" w:fill="auto"/>
          </w:tcPr>
          <w:p w14:paraId="5687273A" w14:textId="77777777" w:rsidR="00D4689B" w:rsidRPr="0081112A" w:rsidRDefault="00D4689B" w:rsidP="006C4AC6">
            <w:pPr>
              <w:pStyle w:val="Caption"/>
              <w:rPr>
                <w:rFonts w:asciiTheme="minorHAnsi" w:hAnsiTheme="minorHAnsi" w:cstheme="minorHAnsi"/>
              </w:rPr>
            </w:pPr>
            <w:bookmarkStart w:id="0" w:name="_Ref472351970"/>
            <w:bookmarkStart w:id="1" w:name="_Toc474734470"/>
            <w:r w:rsidRPr="0081112A">
              <w:rPr>
                <w:rFonts w:asciiTheme="minorHAnsi" w:hAnsiTheme="minorHAnsi" w:cstheme="minorHAnsi"/>
              </w:rPr>
              <w:t>Table</w:t>
            </w:r>
            <w:bookmarkEnd w:id="0"/>
            <w:r w:rsidRPr="0081112A">
              <w:rPr>
                <w:rFonts w:asciiTheme="minorHAnsi" w:hAnsiTheme="minorHAnsi" w:cstheme="minorHAnsi"/>
              </w:rPr>
              <w:t xml:space="preserve"> S</w:t>
            </w:r>
            <w:r>
              <w:rPr>
                <w:rFonts w:asciiTheme="minorHAnsi" w:hAnsiTheme="minorHAnsi" w:cstheme="minorHAnsi"/>
              </w:rPr>
              <w:t>5</w:t>
            </w:r>
            <w:r w:rsidRPr="0081112A">
              <w:rPr>
                <w:rFonts w:asciiTheme="minorHAnsi" w:hAnsiTheme="minorHAnsi" w:cstheme="minorHAnsi"/>
              </w:rPr>
              <w:t>: The association between mode of early feeding, timing of introduction of solid foods and infant anthropometry at 6 months of age.</w:t>
            </w:r>
            <w:bookmarkEnd w:id="1"/>
            <w:r w:rsidRPr="0081112A">
              <w:rPr>
                <w:rFonts w:asciiTheme="minorHAnsi" w:hAnsiTheme="minorHAnsi" w:cstheme="minorHAnsi"/>
              </w:rPr>
              <w:t xml:space="preserve"> </w:t>
            </w:r>
          </w:p>
        </w:tc>
      </w:tr>
      <w:tr w:rsidR="00D4689B" w:rsidRPr="0081112A" w14:paraId="03FE67E2" w14:textId="77777777" w:rsidTr="006C4AC6">
        <w:trPr>
          <w:trHeight w:val="245"/>
        </w:trPr>
        <w:tc>
          <w:tcPr>
            <w:tcW w:w="3696" w:type="dxa"/>
            <w:vMerge w:val="restart"/>
            <w:tcBorders>
              <w:top w:val="single" w:sz="18" w:space="0" w:color="auto"/>
              <w:bottom w:val="single" w:sz="18" w:space="0" w:color="auto"/>
            </w:tcBorders>
            <w:shd w:val="clear" w:color="auto" w:fill="auto"/>
          </w:tcPr>
          <w:p w14:paraId="751700EF"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br w:type="page"/>
            </w:r>
          </w:p>
        </w:tc>
        <w:tc>
          <w:tcPr>
            <w:tcW w:w="1371" w:type="dxa"/>
            <w:vMerge w:val="restart"/>
            <w:tcBorders>
              <w:top w:val="single" w:sz="18" w:space="0" w:color="auto"/>
              <w:bottom w:val="single" w:sz="18" w:space="0" w:color="auto"/>
            </w:tcBorders>
            <w:shd w:val="clear" w:color="auto" w:fill="auto"/>
            <w:hideMark/>
          </w:tcPr>
          <w:p w14:paraId="0E8BD0E1" w14:textId="77777777" w:rsidR="00D4689B" w:rsidRPr="0081112A" w:rsidRDefault="00D4689B" w:rsidP="006C4AC6">
            <w:pPr>
              <w:spacing w:after="0" w:line="240" w:lineRule="auto"/>
              <w:rPr>
                <w:rFonts w:cstheme="minorHAnsi"/>
                <w:b/>
                <w:sz w:val="20"/>
                <w:szCs w:val="20"/>
              </w:rPr>
            </w:pPr>
            <w:r w:rsidRPr="0081112A">
              <w:rPr>
                <w:rFonts w:cstheme="minorHAnsi"/>
                <w:b/>
                <w:sz w:val="20"/>
                <w:szCs w:val="20"/>
              </w:rPr>
              <w:t>Breastfeeding</w:t>
            </w:r>
          </w:p>
        </w:tc>
        <w:tc>
          <w:tcPr>
            <w:tcW w:w="3864" w:type="dxa"/>
            <w:tcBorders>
              <w:top w:val="single" w:sz="18" w:space="0" w:color="auto"/>
              <w:bottom w:val="single" w:sz="18" w:space="0" w:color="auto"/>
            </w:tcBorders>
            <w:shd w:val="clear" w:color="auto" w:fill="auto"/>
            <w:hideMark/>
          </w:tcPr>
          <w:p w14:paraId="24D90B8D" w14:textId="77777777" w:rsidR="00D4689B" w:rsidRPr="0081112A" w:rsidRDefault="00D4689B" w:rsidP="006C4AC6">
            <w:pPr>
              <w:spacing w:after="0" w:line="240" w:lineRule="auto"/>
              <w:rPr>
                <w:rFonts w:cstheme="minorHAnsi"/>
                <w:b/>
                <w:sz w:val="20"/>
                <w:szCs w:val="20"/>
              </w:rPr>
            </w:pPr>
            <w:r w:rsidRPr="0081112A">
              <w:rPr>
                <w:rFonts w:cstheme="minorHAnsi"/>
                <w:b/>
                <w:sz w:val="20"/>
                <w:szCs w:val="20"/>
              </w:rPr>
              <w:t>Formula feeding solids&lt;4.6months (n=45)</w:t>
            </w:r>
          </w:p>
        </w:tc>
        <w:tc>
          <w:tcPr>
            <w:tcW w:w="3969" w:type="dxa"/>
            <w:tcBorders>
              <w:top w:val="single" w:sz="18" w:space="0" w:color="auto"/>
              <w:bottom w:val="single" w:sz="18" w:space="0" w:color="auto"/>
            </w:tcBorders>
            <w:shd w:val="clear" w:color="auto" w:fill="auto"/>
            <w:hideMark/>
          </w:tcPr>
          <w:p w14:paraId="359CE276" w14:textId="77777777" w:rsidR="00D4689B" w:rsidRPr="0081112A" w:rsidRDefault="00D4689B" w:rsidP="006C4AC6">
            <w:pPr>
              <w:spacing w:after="0" w:line="240" w:lineRule="auto"/>
              <w:rPr>
                <w:rFonts w:cstheme="minorHAnsi"/>
                <w:b/>
                <w:sz w:val="20"/>
                <w:szCs w:val="20"/>
              </w:rPr>
            </w:pPr>
            <w:r w:rsidRPr="0081112A">
              <w:rPr>
                <w:rFonts w:cstheme="minorHAnsi"/>
                <w:b/>
                <w:sz w:val="20"/>
                <w:szCs w:val="20"/>
              </w:rPr>
              <w:t>Mixed feeding solids&lt;4.6months (N=10)</w:t>
            </w:r>
          </w:p>
        </w:tc>
        <w:tc>
          <w:tcPr>
            <w:tcW w:w="1129" w:type="dxa"/>
            <w:vMerge w:val="restart"/>
            <w:tcBorders>
              <w:top w:val="single" w:sz="18" w:space="0" w:color="auto"/>
              <w:bottom w:val="single" w:sz="18" w:space="0" w:color="auto"/>
            </w:tcBorders>
            <w:shd w:val="clear" w:color="auto" w:fill="auto"/>
            <w:hideMark/>
          </w:tcPr>
          <w:p w14:paraId="5EA89238" w14:textId="77777777" w:rsidR="00D4689B" w:rsidRPr="0081112A" w:rsidRDefault="00D4689B" w:rsidP="006C4AC6">
            <w:pPr>
              <w:spacing w:after="0" w:line="240" w:lineRule="auto"/>
              <w:rPr>
                <w:rFonts w:cstheme="minorHAnsi"/>
                <w:b/>
                <w:sz w:val="20"/>
                <w:szCs w:val="20"/>
              </w:rPr>
            </w:pPr>
            <w:r w:rsidRPr="0081112A">
              <w:rPr>
                <w:rFonts w:cstheme="minorHAnsi"/>
                <w:b/>
                <w:sz w:val="20"/>
                <w:szCs w:val="20"/>
              </w:rPr>
              <w:t xml:space="preserve">p-value </w:t>
            </w:r>
          </w:p>
        </w:tc>
      </w:tr>
      <w:tr w:rsidR="00D4689B" w:rsidRPr="0081112A" w14:paraId="7E02C62B" w14:textId="77777777" w:rsidTr="006C4AC6">
        <w:trPr>
          <w:trHeight w:val="203"/>
        </w:trPr>
        <w:tc>
          <w:tcPr>
            <w:tcW w:w="0" w:type="auto"/>
            <w:vMerge/>
            <w:tcBorders>
              <w:top w:val="single" w:sz="18" w:space="0" w:color="auto"/>
              <w:bottom w:val="single" w:sz="18" w:space="0" w:color="auto"/>
            </w:tcBorders>
            <w:shd w:val="clear" w:color="auto" w:fill="auto"/>
            <w:hideMark/>
          </w:tcPr>
          <w:p w14:paraId="51E3EE0A" w14:textId="77777777" w:rsidR="00D4689B" w:rsidRPr="0081112A" w:rsidRDefault="00D4689B" w:rsidP="006C4AC6">
            <w:pPr>
              <w:spacing w:after="0" w:line="240" w:lineRule="auto"/>
              <w:rPr>
                <w:rFonts w:cstheme="minorHAnsi"/>
                <w:sz w:val="20"/>
                <w:szCs w:val="20"/>
              </w:rPr>
            </w:pPr>
          </w:p>
        </w:tc>
        <w:tc>
          <w:tcPr>
            <w:tcW w:w="1371" w:type="dxa"/>
            <w:vMerge/>
            <w:tcBorders>
              <w:top w:val="single" w:sz="18" w:space="0" w:color="auto"/>
              <w:bottom w:val="single" w:sz="18" w:space="0" w:color="auto"/>
            </w:tcBorders>
            <w:shd w:val="clear" w:color="auto" w:fill="auto"/>
            <w:hideMark/>
          </w:tcPr>
          <w:p w14:paraId="302FE487" w14:textId="77777777" w:rsidR="00D4689B" w:rsidRPr="0081112A" w:rsidRDefault="00D4689B" w:rsidP="006C4AC6">
            <w:pPr>
              <w:spacing w:after="0" w:line="240" w:lineRule="auto"/>
              <w:rPr>
                <w:rFonts w:cstheme="minorHAnsi"/>
                <w:sz w:val="20"/>
                <w:szCs w:val="20"/>
              </w:rPr>
            </w:pPr>
          </w:p>
        </w:tc>
        <w:tc>
          <w:tcPr>
            <w:tcW w:w="3864" w:type="dxa"/>
            <w:tcBorders>
              <w:top w:val="single" w:sz="18" w:space="0" w:color="auto"/>
              <w:bottom w:val="single" w:sz="18" w:space="0" w:color="auto"/>
            </w:tcBorders>
            <w:shd w:val="clear" w:color="auto" w:fill="auto"/>
            <w:hideMark/>
          </w:tcPr>
          <w:p w14:paraId="385EE24A"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Mean difference (95% CI) †</w:t>
            </w:r>
          </w:p>
        </w:tc>
        <w:tc>
          <w:tcPr>
            <w:tcW w:w="3969" w:type="dxa"/>
            <w:tcBorders>
              <w:top w:val="single" w:sz="18" w:space="0" w:color="auto"/>
              <w:bottom w:val="single" w:sz="18" w:space="0" w:color="auto"/>
            </w:tcBorders>
            <w:shd w:val="clear" w:color="auto" w:fill="auto"/>
            <w:hideMark/>
          </w:tcPr>
          <w:p w14:paraId="2B1C0328"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Mean difference (95% CI)</w:t>
            </w:r>
            <w:r>
              <w:rPr>
                <w:rFonts w:cstheme="minorHAnsi"/>
                <w:sz w:val="20"/>
                <w:szCs w:val="20"/>
              </w:rPr>
              <w:t xml:space="preserve"> </w:t>
            </w:r>
            <w:r w:rsidRPr="0081112A">
              <w:rPr>
                <w:rFonts w:cstheme="minorHAnsi"/>
                <w:sz w:val="20"/>
                <w:szCs w:val="20"/>
              </w:rPr>
              <w:t>†</w:t>
            </w:r>
          </w:p>
        </w:tc>
        <w:tc>
          <w:tcPr>
            <w:tcW w:w="1129" w:type="dxa"/>
            <w:vMerge/>
            <w:tcBorders>
              <w:top w:val="single" w:sz="18" w:space="0" w:color="auto"/>
              <w:bottom w:val="single" w:sz="18" w:space="0" w:color="auto"/>
            </w:tcBorders>
            <w:shd w:val="clear" w:color="auto" w:fill="auto"/>
            <w:hideMark/>
          </w:tcPr>
          <w:p w14:paraId="6CB1D9F0" w14:textId="77777777" w:rsidR="00D4689B" w:rsidRPr="0081112A" w:rsidRDefault="00D4689B" w:rsidP="006C4AC6">
            <w:pPr>
              <w:spacing w:after="0" w:line="240" w:lineRule="auto"/>
              <w:rPr>
                <w:rFonts w:cstheme="minorHAnsi"/>
                <w:sz w:val="20"/>
                <w:szCs w:val="20"/>
              </w:rPr>
            </w:pPr>
          </w:p>
        </w:tc>
      </w:tr>
      <w:tr w:rsidR="00D4689B" w:rsidRPr="0081112A" w14:paraId="3F04C890" w14:textId="77777777" w:rsidTr="006C4AC6">
        <w:trPr>
          <w:trHeight w:val="245"/>
        </w:trPr>
        <w:tc>
          <w:tcPr>
            <w:tcW w:w="3696" w:type="dxa"/>
            <w:shd w:val="clear" w:color="auto" w:fill="auto"/>
          </w:tcPr>
          <w:p w14:paraId="4B7954B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Triceps skinfold z-scores *</w:t>
            </w:r>
          </w:p>
        </w:tc>
        <w:tc>
          <w:tcPr>
            <w:tcW w:w="1371" w:type="dxa"/>
            <w:shd w:val="clear" w:color="auto" w:fill="auto"/>
          </w:tcPr>
          <w:p w14:paraId="08B4868B"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109A389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0.47 (-1.12 to 2.06)</w:t>
            </w:r>
          </w:p>
        </w:tc>
        <w:tc>
          <w:tcPr>
            <w:tcW w:w="3969" w:type="dxa"/>
            <w:shd w:val="clear" w:color="auto" w:fill="auto"/>
          </w:tcPr>
          <w:p w14:paraId="0779FE9B"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-1.41 (-4.34 to 1.52)</w:t>
            </w:r>
          </w:p>
        </w:tc>
        <w:tc>
          <w:tcPr>
            <w:tcW w:w="1129" w:type="dxa"/>
            <w:shd w:val="clear" w:color="auto" w:fill="auto"/>
          </w:tcPr>
          <w:p w14:paraId="6E293C8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0.43</w:t>
            </w:r>
          </w:p>
        </w:tc>
      </w:tr>
      <w:tr w:rsidR="00D4689B" w:rsidRPr="0081112A" w14:paraId="465CBEE1" w14:textId="77777777" w:rsidTr="006C4AC6">
        <w:trPr>
          <w:trHeight w:val="245"/>
        </w:trPr>
        <w:tc>
          <w:tcPr>
            <w:tcW w:w="3696" w:type="dxa"/>
            <w:shd w:val="clear" w:color="auto" w:fill="auto"/>
          </w:tcPr>
          <w:p w14:paraId="358EFFF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 xml:space="preserve">Subscapular skinfold thickness z-scores* </w:t>
            </w:r>
          </w:p>
        </w:tc>
        <w:tc>
          <w:tcPr>
            <w:tcW w:w="1371" w:type="dxa"/>
            <w:shd w:val="clear" w:color="auto" w:fill="auto"/>
          </w:tcPr>
          <w:p w14:paraId="49FECE1F"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4F364CD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-0.12 (-1.67 to 1.43)</w:t>
            </w:r>
          </w:p>
        </w:tc>
        <w:tc>
          <w:tcPr>
            <w:tcW w:w="3969" w:type="dxa"/>
            <w:shd w:val="clear" w:color="auto" w:fill="auto"/>
          </w:tcPr>
          <w:p w14:paraId="712F6657"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-1.71 (-4.58 to 1.15)</w:t>
            </w:r>
          </w:p>
        </w:tc>
        <w:tc>
          <w:tcPr>
            <w:tcW w:w="1129" w:type="dxa"/>
            <w:shd w:val="clear" w:color="auto" w:fill="auto"/>
          </w:tcPr>
          <w:p w14:paraId="4276105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0.48</w:t>
            </w:r>
          </w:p>
        </w:tc>
      </w:tr>
      <w:tr w:rsidR="00D4689B" w:rsidRPr="0081112A" w14:paraId="79BA866E" w14:textId="77777777" w:rsidTr="006C4AC6">
        <w:trPr>
          <w:trHeight w:val="245"/>
        </w:trPr>
        <w:tc>
          <w:tcPr>
            <w:tcW w:w="3696" w:type="dxa"/>
            <w:shd w:val="clear" w:color="auto" w:fill="auto"/>
          </w:tcPr>
          <w:p w14:paraId="6F139434"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Sum of skinfold thickness (mm)*</w:t>
            </w:r>
          </w:p>
        </w:tc>
        <w:tc>
          <w:tcPr>
            <w:tcW w:w="1371" w:type="dxa"/>
            <w:shd w:val="clear" w:color="auto" w:fill="auto"/>
          </w:tcPr>
          <w:p w14:paraId="5D29804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1C2A3713"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0.35 (-3.51 to 4.21)</w:t>
            </w:r>
          </w:p>
        </w:tc>
        <w:tc>
          <w:tcPr>
            <w:tcW w:w="3969" w:type="dxa"/>
            <w:shd w:val="clear" w:color="auto" w:fill="auto"/>
          </w:tcPr>
          <w:p w14:paraId="1A8F983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-5.45 (-12/54 to 1.70)</w:t>
            </w:r>
          </w:p>
        </w:tc>
        <w:tc>
          <w:tcPr>
            <w:tcW w:w="1129" w:type="dxa"/>
            <w:shd w:val="clear" w:color="auto" w:fill="auto"/>
          </w:tcPr>
          <w:p w14:paraId="11D028D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0.27</w:t>
            </w:r>
          </w:p>
        </w:tc>
      </w:tr>
      <w:tr w:rsidR="00D4689B" w:rsidRPr="0081112A" w14:paraId="7C88904E" w14:textId="77777777" w:rsidTr="006C4AC6">
        <w:trPr>
          <w:trHeight w:val="245"/>
        </w:trPr>
        <w:tc>
          <w:tcPr>
            <w:tcW w:w="3696" w:type="dxa"/>
            <w:shd w:val="clear" w:color="auto" w:fill="auto"/>
          </w:tcPr>
          <w:p w14:paraId="03C4261F"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Total body fat estimation (%) ^</w:t>
            </w:r>
          </w:p>
        </w:tc>
        <w:tc>
          <w:tcPr>
            <w:tcW w:w="1371" w:type="dxa"/>
            <w:shd w:val="clear" w:color="auto" w:fill="auto"/>
          </w:tcPr>
          <w:p w14:paraId="16F725FE"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227933A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0.36 (-4.45 to 5.17)</w:t>
            </w:r>
          </w:p>
        </w:tc>
        <w:tc>
          <w:tcPr>
            <w:tcW w:w="3969" w:type="dxa"/>
            <w:shd w:val="clear" w:color="auto" w:fill="auto"/>
          </w:tcPr>
          <w:p w14:paraId="1EBE5D5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-6.74 (-15.62 to 2.14)</w:t>
            </w:r>
          </w:p>
        </w:tc>
        <w:tc>
          <w:tcPr>
            <w:tcW w:w="1129" w:type="dxa"/>
            <w:shd w:val="clear" w:color="auto" w:fill="auto"/>
          </w:tcPr>
          <w:p w14:paraId="0810834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0.27</w:t>
            </w:r>
          </w:p>
        </w:tc>
      </w:tr>
      <w:tr w:rsidR="00D4689B" w:rsidRPr="0081112A" w14:paraId="74FE1B4B" w14:textId="77777777" w:rsidTr="006C4AC6">
        <w:trPr>
          <w:trHeight w:val="245"/>
        </w:trPr>
        <w:tc>
          <w:tcPr>
            <w:tcW w:w="3696" w:type="dxa"/>
            <w:shd w:val="clear" w:color="auto" w:fill="auto"/>
            <w:hideMark/>
          </w:tcPr>
          <w:p w14:paraId="1E1500EA"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Weight z-scores*</w:t>
            </w:r>
          </w:p>
        </w:tc>
        <w:tc>
          <w:tcPr>
            <w:tcW w:w="1371" w:type="dxa"/>
            <w:shd w:val="clear" w:color="auto" w:fill="auto"/>
            <w:hideMark/>
          </w:tcPr>
          <w:p w14:paraId="26D0DF2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hideMark/>
          </w:tcPr>
          <w:p w14:paraId="360DECAE"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0.71 (-0.40 to 1.83)</w:t>
            </w:r>
          </w:p>
        </w:tc>
        <w:tc>
          <w:tcPr>
            <w:tcW w:w="3969" w:type="dxa"/>
            <w:shd w:val="clear" w:color="auto" w:fill="auto"/>
            <w:hideMark/>
          </w:tcPr>
          <w:p w14:paraId="4F3D9F4F"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0.27 (-1.79 to 2.34)</w:t>
            </w:r>
          </w:p>
        </w:tc>
        <w:tc>
          <w:tcPr>
            <w:tcW w:w="1129" w:type="dxa"/>
            <w:shd w:val="clear" w:color="auto" w:fill="auto"/>
            <w:hideMark/>
          </w:tcPr>
          <w:p w14:paraId="0A157A36"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0.44</w:t>
            </w:r>
          </w:p>
        </w:tc>
      </w:tr>
      <w:tr w:rsidR="00D4689B" w:rsidRPr="0081112A" w14:paraId="5111EA7E" w14:textId="77777777" w:rsidTr="006C4AC6">
        <w:trPr>
          <w:trHeight w:val="245"/>
        </w:trPr>
        <w:tc>
          <w:tcPr>
            <w:tcW w:w="3696" w:type="dxa"/>
            <w:shd w:val="clear" w:color="auto" w:fill="auto"/>
            <w:hideMark/>
          </w:tcPr>
          <w:p w14:paraId="5369F67E"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BMI z-scores *</w:t>
            </w:r>
          </w:p>
        </w:tc>
        <w:tc>
          <w:tcPr>
            <w:tcW w:w="1371" w:type="dxa"/>
            <w:shd w:val="clear" w:color="auto" w:fill="auto"/>
            <w:hideMark/>
          </w:tcPr>
          <w:p w14:paraId="23222F7E"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hideMark/>
          </w:tcPr>
          <w:p w14:paraId="7184C7F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0.37 (-1.15 to 1.89)</w:t>
            </w:r>
          </w:p>
        </w:tc>
        <w:tc>
          <w:tcPr>
            <w:tcW w:w="3969" w:type="dxa"/>
            <w:shd w:val="clear" w:color="auto" w:fill="auto"/>
            <w:hideMark/>
          </w:tcPr>
          <w:p w14:paraId="0DF75A38"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-2.37 (-5.17 to 0.43)</w:t>
            </w:r>
          </w:p>
        </w:tc>
        <w:tc>
          <w:tcPr>
            <w:tcW w:w="1129" w:type="dxa"/>
            <w:shd w:val="clear" w:color="auto" w:fill="auto"/>
            <w:hideMark/>
          </w:tcPr>
          <w:p w14:paraId="654CDEF3"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0.16</w:t>
            </w:r>
          </w:p>
        </w:tc>
      </w:tr>
      <w:tr w:rsidR="00D4689B" w:rsidRPr="0081112A" w14:paraId="15C905F3" w14:textId="77777777" w:rsidTr="006C4AC6">
        <w:trPr>
          <w:trHeight w:val="245"/>
        </w:trPr>
        <w:tc>
          <w:tcPr>
            <w:tcW w:w="3696" w:type="dxa"/>
            <w:shd w:val="clear" w:color="auto" w:fill="auto"/>
            <w:hideMark/>
          </w:tcPr>
          <w:p w14:paraId="375DB1E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 xml:space="preserve">Length z-scores* </w:t>
            </w:r>
          </w:p>
        </w:tc>
        <w:tc>
          <w:tcPr>
            <w:tcW w:w="1371" w:type="dxa"/>
            <w:shd w:val="clear" w:color="auto" w:fill="auto"/>
            <w:hideMark/>
          </w:tcPr>
          <w:p w14:paraId="207F95E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59A5CF33"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0.79 (-0.58 to 2.16)</w:t>
            </w:r>
          </w:p>
        </w:tc>
        <w:tc>
          <w:tcPr>
            <w:tcW w:w="3969" w:type="dxa"/>
            <w:shd w:val="clear" w:color="auto" w:fill="auto"/>
          </w:tcPr>
          <w:p w14:paraId="490AB80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3.25 (0.75 to 5.75)</w:t>
            </w:r>
          </w:p>
        </w:tc>
        <w:tc>
          <w:tcPr>
            <w:tcW w:w="1129" w:type="dxa"/>
            <w:shd w:val="clear" w:color="auto" w:fill="auto"/>
          </w:tcPr>
          <w:p w14:paraId="3B430950"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0.04**</w:t>
            </w:r>
          </w:p>
        </w:tc>
      </w:tr>
      <w:tr w:rsidR="00D4689B" w:rsidRPr="0081112A" w14:paraId="676B444A" w14:textId="77777777" w:rsidTr="006C4AC6">
        <w:trPr>
          <w:trHeight w:val="245"/>
        </w:trPr>
        <w:tc>
          <w:tcPr>
            <w:tcW w:w="3696" w:type="dxa"/>
            <w:shd w:val="clear" w:color="auto" w:fill="auto"/>
            <w:hideMark/>
          </w:tcPr>
          <w:p w14:paraId="5BF6047B"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Arm circumference z-scores *</w:t>
            </w:r>
          </w:p>
        </w:tc>
        <w:tc>
          <w:tcPr>
            <w:tcW w:w="1371" w:type="dxa"/>
            <w:shd w:val="clear" w:color="auto" w:fill="auto"/>
            <w:hideMark/>
          </w:tcPr>
          <w:p w14:paraId="0816CE4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hideMark/>
          </w:tcPr>
          <w:p w14:paraId="6DF473B3"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0.67 (-0.46 to 1.80)</w:t>
            </w:r>
          </w:p>
        </w:tc>
        <w:tc>
          <w:tcPr>
            <w:tcW w:w="3969" w:type="dxa"/>
            <w:shd w:val="clear" w:color="auto" w:fill="auto"/>
            <w:hideMark/>
          </w:tcPr>
          <w:p w14:paraId="5607882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-0.75 (-2.84 to 1.33)</w:t>
            </w:r>
          </w:p>
        </w:tc>
        <w:tc>
          <w:tcPr>
            <w:tcW w:w="1129" w:type="dxa"/>
            <w:shd w:val="clear" w:color="auto" w:fill="auto"/>
            <w:hideMark/>
          </w:tcPr>
          <w:p w14:paraId="79FFDA6B"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0.28</w:t>
            </w:r>
          </w:p>
        </w:tc>
      </w:tr>
      <w:tr w:rsidR="00D4689B" w:rsidRPr="0081112A" w14:paraId="6DEF15E9" w14:textId="77777777" w:rsidTr="006C4AC6">
        <w:trPr>
          <w:trHeight w:val="245"/>
        </w:trPr>
        <w:tc>
          <w:tcPr>
            <w:tcW w:w="3696" w:type="dxa"/>
            <w:shd w:val="clear" w:color="auto" w:fill="auto"/>
            <w:hideMark/>
          </w:tcPr>
          <w:p w14:paraId="1927A9D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Weight change (kg/month)</w:t>
            </w:r>
          </w:p>
        </w:tc>
        <w:tc>
          <w:tcPr>
            <w:tcW w:w="1371" w:type="dxa"/>
            <w:shd w:val="clear" w:color="auto" w:fill="auto"/>
            <w:hideMark/>
          </w:tcPr>
          <w:p w14:paraId="21AA9616"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hideMark/>
          </w:tcPr>
          <w:p w14:paraId="284C97B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0.10 (-0.49 to 0.25)</w:t>
            </w:r>
          </w:p>
        </w:tc>
        <w:tc>
          <w:tcPr>
            <w:tcW w:w="3969" w:type="dxa"/>
            <w:shd w:val="clear" w:color="auto" w:fill="auto"/>
            <w:hideMark/>
          </w:tcPr>
          <w:p w14:paraId="1D644901"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0.04 (-0.23 to 0.32)</w:t>
            </w:r>
          </w:p>
        </w:tc>
        <w:tc>
          <w:tcPr>
            <w:tcW w:w="1129" w:type="dxa"/>
            <w:shd w:val="clear" w:color="auto" w:fill="auto"/>
            <w:hideMark/>
          </w:tcPr>
          <w:p w14:paraId="2B516DD4"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0.41</w:t>
            </w:r>
          </w:p>
        </w:tc>
      </w:tr>
      <w:tr w:rsidR="00D4689B" w:rsidRPr="0081112A" w14:paraId="09413E09" w14:textId="77777777" w:rsidTr="006C4AC6">
        <w:trPr>
          <w:trHeight w:val="245"/>
        </w:trPr>
        <w:tc>
          <w:tcPr>
            <w:tcW w:w="3696" w:type="dxa"/>
            <w:tcBorders>
              <w:bottom w:val="single" w:sz="4" w:space="0" w:color="BFBFBF"/>
            </w:tcBorders>
            <w:shd w:val="clear" w:color="auto" w:fill="auto"/>
            <w:hideMark/>
          </w:tcPr>
          <w:p w14:paraId="082878D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Length change (cm/month)</w:t>
            </w:r>
          </w:p>
        </w:tc>
        <w:tc>
          <w:tcPr>
            <w:tcW w:w="1371" w:type="dxa"/>
            <w:tcBorders>
              <w:bottom w:val="single" w:sz="4" w:space="0" w:color="BFBFBF"/>
            </w:tcBorders>
            <w:shd w:val="clear" w:color="auto" w:fill="auto"/>
            <w:hideMark/>
          </w:tcPr>
          <w:p w14:paraId="13AFB66E"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tcBorders>
              <w:bottom w:val="single" w:sz="4" w:space="0" w:color="BFBFBF"/>
            </w:tcBorders>
            <w:shd w:val="clear" w:color="auto" w:fill="auto"/>
            <w:hideMark/>
          </w:tcPr>
          <w:p w14:paraId="56F65EE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-0.13 (-0.63 to -0.36)</w:t>
            </w:r>
          </w:p>
        </w:tc>
        <w:tc>
          <w:tcPr>
            <w:tcW w:w="3969" w:type="dxa"/>
            <w:tcBorders>
              <w:bottom w:val="single" w:sz="4" w:space="0" w:color="BFBFBF"/>
            </w:tcBorders>
            <w:shd w:val="clear" w:color="auto" w:fill="auto"/>
            <w:hideMark/>
          </w:tcPr>
          <w:p w14:paraId="44A3553A"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0.80 (-0.10 to 1.71)</w:t>
            </w:r>
          </w:p>
        </w:tc>
        <w:tc>
          <w:tcPr>
            <w:tcW w:w="1129" w:type="dxa"/>
            <w:tcBorders>
              <w:bottom w:val="single" w:sz="4" w:space="0" w:color="BFBFBF"/>
            </w:tcBorders>
            <w:shd w:val="clear" w:color="auto" w:fill="auto"/>
            <w:hideMark/>
          </w:tcPr>
          <w:p w14:paraId="49096A56"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0.11</w:t>
            </w:r>
          </w:p>
        </w:tc>
      </w:tr>
      <w:tr w:rsidR="00D4689B" w:rsidRPr="0081112A" w14:paraId="5D39BF22" w14:textId="77777777" w:rsidTr="006C4AC6">
        <w:trPr>
          <w:trHeight w:val="245"/>
        </w:trPr>
        <w:tc>
          <w:tcPr>
            <w:tcW w:w="3696" w:type="dxa"/>
            <w:shd w:val="clear" w:color="auto" w:fill="auto"/>
          </w:tcPr>
          <w:p w14:paraId="26F59C1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BMI z-scores ≥85</w:t>
            </w:r>
            <w:r w:rsidRPr="0081112A">
              <w:rPr>
                <w:rFonts w:cstheme="minorHAnsi"/>
                <w:sz w:val="20"/>
                <w:szCs w:val="20"/>
                <w:vertAlign w:val="superscript"/>
              </w:rPr>
              <w:t xml:space="preserve">th </w:t>
            </w:r>
            <w:r w:rsidRPr="0081112A">
              <w:rPr>
                <w:rFonts w:cstheme="minorHAnsi"/>
                <w:sz w:val="20"/>
                <w:szCs w:val="20"/>
              </w:rPr>
              <w:t xml:space="preserve">* </w:t>
            </w:r>
          </w:p>
        </w:tc>
        <w:tc>
          <w:tcPr>
            <w:tcW w:w="1371" w:type="dxa"/>
            <w:shd w:val="clear" w:color="auto" w:fill="auto"/>
          </w:tcPr>
          <w:p w14:paraId="3772CAE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49DE7C2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c>
          <w:tcPr>
            <w:tcW w:w="3969" w:type="dxa"/>
            <w:shd w:val="clear" w:color="auto" w:fill="auto"/>
          </w:tcPr>
          <w:p w14:paraId="774E7AA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c>
          <w:tcPr>
            <w:tcW w:w="1129" w:type="dxa"/>
            <w:shd w:val="clear" w:color="auto" w:fill="auto"/>
          </w:tcPr>
          <w:p w14:paraId="18C51EC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r>
      <w:tr w:rsidR="00D4689B" w:rsidRPr="0081112A" w14:paraId="7CAF3A9C" w14:textId="77777777" w:rsidTr="006C4AC6">
        <w:trPr>
          <w:trHeight w:val="245"/>
        </w:trPr>
        <w:tc>
          <w:tcPr>
            <w:tcW w:w="3696" w:type="dxa"/>
            <w:shd w:val="clear" w:color="auto" w:fill="auto"/>
          </w:tcPr>
          <w:p w14:paraId="0B66603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BMI z-</w:t>
            </w:r>
            <w:proofErr w:type="gramStart"/>
            <w:r w:rsidRPr="0081112A">
              <w:rPr>
                <w:rFonts w:cstheme="minorHAnsi"/>
                <w:sz w:val="20"/>
                <w:szCs w:val="20"/>
              </w:rPr>
              <w:t>scores  ≥</w:t>
            </w:r>
            <w:proofErr w:type="gramEnd"/>
            <w:r w:rsidRPr="0081112A">
              <w:rPr>
                <w:rFonts w:cstheme="minorHAnsi"/>
                <w:sz w:val="20"/>
                <w:szCs w:val="20"/>
              </w:rPr>
              <w:t xml:space="preserve"> 95</w:t>
            </w:r>
            <w:r w:rsidRPr="0081112A">
              <w:rPr>
                <w:rFonts w:cstheme="minorHAnsi"/>
                <w:sz w:val="20"/>
                <w:szCs w:val="20"/>
                <w:vertAlign w:val="superscript"/>
              </w:rPr>
              <w:t>th</w:t>
            </w:r>
            <w:r w:rsidRPr="0081112A">
              <w:rPr>
                <w:rFonts w:cstheme="minorHAnsi"/>
                <w:sz w:val="20"/>
                <w:szCs w:val="20"/>
              </w:rPr>
              <w:t xml:space="preserve"> * </w:t>
            </w:r>
          </w:p>
        </w:tc>
        <w:tc>
          <w:tcPr>
            <w:tcW w:w="1371" w:type="dxa"/>
            <w:shd w:val="clear" w:color="auto" w:fill="auto"/>
          </w:tcPr>
          <w:p w14:paraId="71859776"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2D106B47"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c>
          <w:tcPr>
            <w:tcW w:w="3969" w:type="dxa"/>
            <w:shd w:val="clear" w:color="auto" w:fill="auto"/>
          </w:tcPr>
          <w:p w14:paraId="69F03B5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c>
          <w:tcPr>
            <w:tcW w:w="1129" w:type="dxa"/>
            <w:shd w:val="clear" w:color="auto" w:fill="auto"/>
          </w:tcPr>
          <w:p w14:paraId="40223DF2"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w:t>
            </w:r>
          </w:p>
        </w:tc>
      </w:tr>
      <w:tr w:rsidR="00D4689B" w:rsidRPr="0081112A" w14:paraId="6D9407F0" w14:textId="77777777" w:rsidTr="006C4AC6">
        <w:trPr>
          <w:trHeight w:val="245"/>
        </w:trPr>
        <w:tc>
          <w:tcPr>
            <w:tcW w:w="3696" w:type="dxa"/>
            <w:shd w:val="clear" w:color="auto" w:fill="auto"/>
          </w:tcPr>
          <w:p w14:paraId="696880BC"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 xml:space="preserve">Catch up growth </w:t>
            </w:r>
          </w:p>
        </w:tc>
        <w:tc>
          <w:tcPr>
            <w:tcW w:w="1371" w:type="dxa"/>
            <w:shd w:val="clear" w:color="auto" w:fill="auto"/>
          </w:tcPr>
          <w:p w14:paraId="691F951F"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shd w:val="clear" w:color="auto" w:fill="auto"/>
          </w:tcPr>
          <w:p w14:paraId="7BA8A48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0.88 (0.11 to 6.87)</w:t>
            </w:r>
          </w:p>
        </w:tc>
        <w:tc>
          <w:tcPr>
            <w:tcW w:w="3969" w:type="dxa"/>
            <w:shd w:val="clear" w:color="auto" w:fill="auto"/>
          </w:tcPr>
          <w:p w14:paraId="0FBC6F7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1.01 (0.10 to 9.86)</w:t>
            </w:r>
          </w:p>
        </w:tc>
        <w:tc>
          <w:tcPr>
            <w:tcW w:w="1129" w:type="dxa"/>
            <w:shd w:val="clear" w:color="auto" w:fill="auto"/>
          </w:tcPr>
          <w:p w14:paraId="4B0DDAE9"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0.871</w:t>
            </w:r>
          </w:p>
        </w:tc>
      </w:tr>
      <w:tr w:rsidR="00D4689B" w:rsidRPr="0081112A" w14:paraId="027A95B7" w14:textId="77777777" w:rsidTr="006C4AC6">
        <w:trPr>
          <w:trHeight w:val="245"/>
        </w:trPr>
        <w:tc>
          <w:tcPr>
            <w:tcW w:w="3696" w:type="dxa"/>
            <w:tcBorders>
              <w:bottom w:val="single" w:sz="4" w:space="0" w:color="auto"/>
            </w:tcBorders>
            <w:shd w:val="clear" w:color="auto" w:fill="auto"/>
          </w:tcPr>
          <w:p w14:paraId="6301869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 xml:space="preserve">Catch down growth </w:t>
            </w:r>
          </w:p>
        </w:tc>
        <w:tc>
          <w:tcPr>
            <w:tcW w:w="1371" w:type="dxa"/>
            <w:tcBorders>
              <w:bottom w:val="single" w:sz="4" w:space="0" w:color="auto"/>
            </w:tcBorders>
            <w:shd w:val="clear" w:color="auto" w:fill="auto"/>
          </w:tcPr>
          <w:p w14:paraId="4C9500D5"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REF</w:t>
            </w:r>
          </w:p>
        </w:tc>
        <w:tc>
          <w:tcPr>
            <w:tcW w:w="3864" w:type="dxa"/>
            <w:tcBorders>
              <w:bottom w:val="single" w:sz="4" w:space="0" w:color="auto"/>
            </w:tcBorders>
            <w:shd w:val="clear" w:color="auto" w:fill="auto"/>
          </w:tcPr>
          <w:p w14:paraId="0B4DCB24"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0.70 (0.079 to 6.14)</w:t>
            </w:r>
          </w:p>
        </w:tc>
        <w:tc>
          <w:tcPr>
            <w:tcW w:w="3969" w:type="dxa"/>
            <w:tcBorders>
              <w:bottom w:val="single" w:sz="4" w:space="0" w:color="auto"/>
            </w:tcBorders>
            <w:shd w:val="clear" w:color="auto" w:fill="auto"/>
          </w:tcPr>
          <w:p w14:paraId="4276DCCD"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1.77 (0.10 to 32.70)</w:t>
            </w:r>
          </w:p>
        </w:tc>
        <w:tc>
          <w:tcPr>
            <w:tcW w:w="1129" w:type="dxa"/>
            <w:tcBorders>
              <w:bottom w:val="single" w:sz="4" w:space="0" w:color="auto"/>
            </w:tcBorders>
            <w:shd w:val="clear" w:color="auto" w:fill="auto"/>
          </w:tcPr>
          <w:p w14:paraId="65016B34" w14:textId="77777777" w:rsidR="00D4689B" w:rsidRPr="0081112A" w:rsidRDefault="00D4689B" w:rsidP="006C4AC6">
            <w:pPr>
              <w:spacing w:after="0" w:line="240" w:lineRule="auto"/>
              <w:rPr>
                <w:rFonts w:cstheme="minorHAnsi"/>
                <w:sz w:val="20"/>
                <w:szCs w:val="20"/>
              </w:rPr>
            </w:pPr>
            <w:r w:rsidRPr="0081112A">
              <w:rPr>
                <w:rFonts w:cstheme="minorHAnsi"/>
                <w:sz w:val="20"/>
                <w:szCs w:val="20"/>
              </w:rPr>
              <w:t>0.611</w:t>
            </w:r>
          </w:p>
        </w:tc>
      </w:tr>
      <w:tr w:rsidR="00D4689B" w:rsidRPr="0081112A" w14:paraId="08282DEC" w14:textId="77777777" w:rsidTr="006C4AC6">
        <w:trPr>
          <w:trHeight w:val="245"/>
        </w:trPr>
        <w:tc>
          <w:tcPr>
            <w:tcW w:w="14029" w:type="dxa"/>
            <w:gridSpan w:val="5"/>
            <w:tcBorders>
              <w:top w:val="single" w:sz="4" w:space="0" w:color="auto"/>
              <w:left w:val="nil"/>
              <w:bottom w:val="nil"/>
              <w:right w:val="nil"/>
            </w:tcBorders>
            <w:shd w:val="clear" w:color="auto" w:fill="auto"/>
          </w:tcPr>
          <w:p w14:paraId="33CE4F91" w14:textId="3D28F7B1" w:rsidR="00D4689B" w:rsidRPr="0081112A" w:rsidRDefault="00D4689B" w:rsidP="006C4AC6">
            <w:pPr>
              <w:rPr>
                <w:rFonts w:cstheme="minorHAnsi"/>
                <w:sz w:val="16"/>
                <w:szCs w:val="16"/>
              </w:rPr>
            </w:pPr>
            <w:r w:rsidRPr="0081112A">
              <w:rPr>
                <w:rFonts w:cstheme="minorHAnsi"/>
                <w:sz w:val="16"/>
                <w:szCs w:val="16"/>
              </w:rPr>
              <w:t xml:space="preserve">Breastfeeding and introduction of solids ≥4.6 months was treated the reference category within the analysis. </w:t>
            </w:r>
            <w:r w:rsidRPr="0081112A">
              <w:rPr>
                <w:rFonts w:cstheme="minorHAnsi"/>
                <w:i/>
                <w:sz w:val="16"/>
                <w:szCs w:val="16"/>
              </w:rPr>
              <w:t>*Infant z-scores calculated using the WHO growth standards</w:t>
            </w:r>
            <w:r w:rsidR="00D24FFA">
              <w:rPr>
                <w:rFonts w:cstheme="minorHAnsi"/>
                <w:i/>
                <w:sz w:val="16"/>
                <w:szCs w:val="16"/>
              </w:rPr>
              <w:t xml:space="preserve"> </w:t>
            </w:r>
            <w:r w:rsidR="00DE0A14">
              <w:rPr>
                <w:rFonts w:cstheme="minorHAnsi"/>
                <w:i/>
                <w:sz w:val="16"/>
                <w:szCs w:val="16"/>
              </w:rPr>
              <w:t>[24]</w:t>
            </w:r>
            <w:r w:rsidRPr="0081112A">
              <w:rPr>
                <w:rFonts w:cstheme="minorHAnsi"/>
                <w:i/>
                <w:sz w:val="16"/>
                <w:szCs w:val="16"/>
              </w:rPr>
              <w:t>;</w:t>
            </w:r>
            <w:r w:rsidRPr="0081112A">
              <w:rPr>
                <w:rFonts w:cstheme="minorHAnsi"/>
                <w:sz w:val="16"/>
                <w:szCs w:val="16"/>
              </w:rPr>
              <w:t xml:space="preserve"> </w:t>
            </w:r>
            <w:r w:rsidRPr="0081112A">
              <w:rPr>
                <w:rFonts w:cstheme="minorHAnsi"/>
                <w:i/>
                <w:sz w:val="16"/>
                <w:szCs w:val="16"/>
              </w:rPr>
              <w:t xml:space="preserve">Catch up and catch down growth defined using the WHO definitions of change in weight &gt;0.67 </w:t>
            </w:r>
            <w:proofErr w:type="gramStart"/>
            <w:r w:rsidRPr="0081112A">
              <w:rPr>
                <w:rFonts w:cstheme="minorHAnsi"/>
                <w:i/>
                <w:sz w:val="16"/>
                <w:szCs w:val="16"/>
              </w:rPr>
              <w:t xml:space="preserve">SDs;  </w:t>
            </w:r>
            <w:r w:rsidRPr="0081112A">
              <w:rPr>
                <w:rFonts w:cstheme="minorHAnsi"/>
                <w:sz w:val="16"/>
                <w:szCs w:val="16"/>
              </w:rPr>
              <w:t>Infant</w:t>
            </w:r>
            <w:proofErr w:type="gramEnd"/>
            <w:r w:rsidRPr="0081112A">
              <w:rPr>
                <w:rFonts w:cstheme="minorHAnsi"/>
                <w:sz w:val="16"/>
                <w:szCs w:val="16"/>
              </w:rPr>
              <w:t xml:space="preserve"> sum of skinfold thicknesses calculated as the addition of subscapular and triceps skinfolds thicknesses, each measured in triplicates.  ^Infant total body fat estimation calculated sex-specific, validated equations</w:t>
            </w:r>
            <w:r w:rsidR="00DE0A14">
              <w:rPr>
                <w:rFonts w:cstheme="minorHAnsi"/>
                <w:sz w:val="16"/>
                <w:szCs w:val="16"/>
              </w:rPr>
              <w:t xml:space="preserve"> [25]</w:t>
            </w:r>
            <w:bookmarkStart w:id="2" w:name="_GoBack"/>
            <w:bookmarkEnd w:id="2"/>
            <w:r w:rsidRPr="0081112A">
              <w:rPr>
                <w:rFonts w:cstheme="minorHAnsi"/>
                <w:sz w:val="16"/>
                <w:szCs w:val="16"/>
              </w:rPr>
              <w:t>. †Analyses adjusted for randomisation to the UPBEAT Intervention, infant sex and infant age at anthropometric measurement as well as maternal early pregnancy BMI, ethnicity, socioeconomic deprivation, gestational diabetes and infant size at birth. **p&lt;0.05.</w:t>
            </w:r>
          </w:p>
          <w:p w14:paraId="0CCF4F77" w14:textId="77777777" w:rsidR="00D4689B" w:rsidRPr="0081112A" w:rsidRDefault="00D4689B" w:rsidP="006C4AC6">
            <w:pPr>
              <w:spacing w:after="0" w:line="240" w:lineRule="auto"/>
              <w:rPr>
                <w:rFonts w:cstheme="minorHAnsi"/>
                <w:sz w:val="16"/>
                <w:szCs w:val="16"/>
              </w:rPr>
            </w:pPr>
          </w:p>
        </w:tc>
      </w:tr>
    </w:tbl>
    <w:p w14:paraId="496C5F5A" w14:textId="77777777" w:rsidR="00BF1F0F" w:rsidRDefault="00BF1F0F"/>
    <w:sectPr w:rsidR="00BF1F0F" w:rsidSect="00DB6D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7F"/>
    <w:rsid w:val="00046B17"/>
    <w:rsid w:val="00155F2D"/>
    <w:rsid w:val="00217577"/>
    <w:rsid w:val="002207D5"/>
    <w:rsid w:val="00353096"/>
    <w:rsid w:val="00357B64"/>
    <w:rsid w:val="004158B8"/>
    <w:rsid w:val="0042275F"/>
    <w:rsid w:val="004273F5"/>
    <w:rsid w:val="00531BA8"/>
    <w:rsid w:val="00575932"/>
    <w:rsid w:val="0062590A"/>
    <w:rsid w:val="00633D35"/>
    <w:rsid w:val="006C1BFE"/>
    <w:rsid w:val="007A3A05"/>
    <w:rsid w:val="008B4C88"/>
    <w:rsid w:val="00903E6E"/>
    <w:rsid w:val="00B33EA7"/>
    <w:rsid w:val="00B6053B"/>
    <w:rsid w:val="00BA43D1"/>
    <w:rsid w:val="00BF1F0F"/>
    <w:rsid w:val="00C53668"/>
    <w:rsid w:val="00CA5F7F"/>
    <w:rsid w:val="00CD556E"/>
    <w:rsid w:val="00D24FFA"/>
    <w:rsid w:val="00D4689B"/>
    <w:rsid w:val="00DB6DBB"/>
    <w:rsid w:val="00DE0A14"/>
    <w:rsid w:val="00DE1620"/>
    <w:rsid w:val="00E20743"/>
    <w:rsid w:val="00E60E99"/>
    <w:rsid w:val="00EA015A"/>
    <w:rsid w:val="00EC27DE"/>
    <w:rsid w:val="00FF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A6AE"/>
  <w15:chartTrackingRefBased/>
  <w15:docId w15:val="{08984CA0-7C35-484E-A489-3EADD669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autoRedefine/>
    <w:uiPriority w:val="35"/>
    <w:unhideWhenUsed/>
    <w:qFormat/>
    <w:rsid w:val="00D4689B"/>
    <w:pPr>
      <w:spacing w:before="240" w:after="0" w:line="240" w:lineRule="auto"/>
    </w:pPr>
    <w:rPr>
      <w:rFonts w:ascii="Times New Roman" w:eastAsia="Calibri" w:hAnsi="Times New Roman" w:cs="Times New Roman"/>
      <w:b/>
      <w:iCs/>
      <w:sz w:val="20"/>
      <w:szCs w:val="20"/>
      <w:lang w:eastAsia="en-GB"/>
    </w:rPr>
  </w:style>
  <w:style w:type="character" w:customStyle="1" w:styleId="CaptionChar">
    <w:name w:val="Caption Char"/>
    <w:basedOn w:val="DefaultParagraphFont"/>
    <w:link w:val="Caption"/>
    <w:uiPriority w:val="35"/>
    <w:rsid w:val="00D4689B"/>
    <w:rPr>
      <w:rFonts w:ascii="Times New Roman" w:eastAsia="Calibri" w:hAnsi="Times New Roman" w:cs="Times New Roman"/>
      <w:b/>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Dalrymple, Kathryn</dc:creator>
  <cp:keywords/>
  <dc:description/>
  <cp:lastModifiedBy>Dalrymple, Kathryn</cp:lastModifiedBy>
  <cp:revision>5</cp:revision>
  <dcterms:created xsi:type="dcterms:W3CDTF">2018-08-15T10:36:00Z</dcterms:created>
  <dcterms:modified xsi:type="dcterms:W3CDTF">2018-08-15T11:50:00Z</dcterms:modified>
</cp:coreProperties>
</file>