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78" w:rsidRPr="0081698A" w:rsidRDefault="00036F78" w:rsidP="005810E5">
      <w:pPr>
        <w:spacing w:after="0" w:line="240" w:lineRule="auto"/>
        <w:rPr>
          <w:b/>
          <w:sz w:val="32"/>
          <w:szCs w:val="24"/>
        </w:rPr>
      </w:pPr>
      <w:r w:rsidRPr="0081698A">
        <w:rPr>
          <w:b/>
          <w:sz w:val="32"/>
          <w:szCs w:val="24"/>
        </w:rPr>
        <w:t>Current Controversies in diet and CVD</w:t>
      </w:r>
    </w:p>
    <w:p w:rsidR="00036F78" w:rsidRDefault="007E7EC8" w:rsidP="005810E5">
      <w:pPr>
        <w:spacing w:after="0" w:line="240" w:lineRule="auto"/>
        <w:rPr>
          <w:b/>
          <w:sz w:val="32"/>
          <w:szCs w:val="24"/>
        </w:rPr>
      </w:pPr>
      <w:r>
        <w:rPr>
          <w:b/>
          <w:sz w:val="32"/>
          <w:szCs w:val="24"/>
        </w:rPr>
        <w:t>Appendix 2</w:t>
      </w:r>
    </w:p>
    <w:p w:rsidR="00386B92" w:rsidRPr="0081698A" w:rsidRDefault="00386B92" w:rsidP="005810E5">
      <w:pPr>
        <w:spacing w:after="0" w:line="240" w:lineRule="auto"/>
        <w:rPr>
          <w:b/>
          <w:sz w:val="32"/>
          <w:szCs w:val="24"/>
        </w:rPr>
      </w:pPr>
      <w:r>
        <w:rPr>
          <w:b/>
          <w:sz w:val="32"/>
          <w:szCs w:val="24"/>
        </w:rPr>
        <w:t xml:space="preserve">Comparator data </w:t>
      </w:r>
      <w:r w:rsidR="003E7C85">
        <w:rPr>
          <w:b/>
          <w:sz w:val="32"/>
          <w:szCs w:val="24"/>
        </w:rPr>
        <w:t xml:space="preserve">on Southern England GPs </w:t>
      </w:r>
      <w:r>
        <w:rPr>
          <w:b/>
          <w:sz w:val="32"/>
          <w:szCs w:val="24"/>
        </w:rPr>
        <w:t>from other sources</w:t>
      </w:r>
    </w:p>
    <w:p w:rsidR="00036F78" w:rsidRDefault="00036F78" w:rsidP="005810E5">
      <w:pPr>
        <w:spacing w:after="0" w:line="240" w:lineRule="auto"/>
        <w:rPr>
          <w:sz w:val="24"/>
          <w:szCs w:val="24"/>
        </w:rPr>
      </w:pPr>
      <w:r>
        <w:rPr>
          <w:sz w:val="24"/>
          <w:szCs w:val="24"/>
        </w:rPr>
        <w:t>Mean values for gender balance for South England based on combined data from</w:t>
      </w:r>
      <w:r w:rsidR="00AC3B34">
        <w:rPr>
          <w:sz w:val="24"/>
          <w:szCs w:val="24"/>
        </w:rPr>
        <w:t xml:space="preserve"> </w:t>
      </w:r>
      <w:proofErr w:type="gramStart"/>
      <w:r w:rsidR="00AC3B34">
        <w:rPr>
          <w:sz w:val="24"/>
          <w:szCs w:val="24"/>
        </w:rPr>
        <w:t xml:space="preserve">regional </w:t>
      </w:r>
      <w:r>
        <w:rPr>
          <w:sz w:val="24"/>
          <w:szCs w:val="24"/>
        </w:rPr>
        <w:t xml:space="preserve"> NHS</w:t>
      </w:r>
      <w:proofErr w:type="gramEnd"/>
      <w:r>
        <w:rPr>
          <w:sz w:val="24"/>
          <w:szCs w:val="24"/>
        </w:rPr>
        <w:t xml:space="preserve"> workforce statistics (NHS Digital 2016</w:t>
      </w:r>
      <w:r w:rsidRPr="00036F78">
        <w:rPr>
          <w:sz w:val="24"/>
          <w:szCs w:val="24"/>
        </w:rPr>
        <w:t xml:space="preserve">. General and Personal Medical Services, England September 2015 - March 2016, Provisional Experimental statistics:  </w:t>
      </w:r>
      <w:hyperlink r:id="rId8" w:history="1">
        <w:r w:rsidRPr="00174A71">
          <w:rPr>
            <w:rStyle w:val="Hyperlink"/>
            <w:sz w:val="24"/>
            <w:szCs w:val="24"/>
          </w:rPr>
          <w:t>http://webarchive.nationalarchives.gov.uk/20180328140247/http://digital.nhs.uk/catalogue/PUB21772. Last accessed 13/5/18</w:t>
        </w:r>
      </w:hyperlink>
      <w:r w:rsidRPr="00036F78">
        <w:rPr>
          <w:sz w:val="24"/>
          <w:szCs w:val="24"/>
        </w:rPr>
        <w:t>)</w:t>
      </w:r>
      <w:r>
        <w:rPr>
          <w:sz w:val="24"/>
          <w:szCs w:val="24"/>
        </w:rPr>
        <w:t xml:space="preserve"> and data for South West Thames Faculty of the Royal College of General Practitioners (personal communication) were similar</w:t>
      </w:r>
      <w:r w:rsidR="00F979AA">
        <w:rPr>
          <w:sz w:val="24"/>
          <w:szCs w:val="24"/>
        </w:rPr>
        <w:t xml:space="preserve"> although there was a small bias in favour of female GPs responding to the questionnaire</w:t>
      </w:r>
      <w:r>
        <w:rPr>
          <w:sz w:val="24"/>
          <w:szCs w:val="24"/>
        </w:rPr>
        <w:t xml:space="preserve"> (</w:t>
      </w:r>
      <w:r w:rsidR="00F979AA">
        <w:rPr>
          <w:sz w:val="24"/>
          <w:szCs w:val="24"/>
        </w:rPr>
        <w:t xml:space="preserve">68.5% of respondents compared with </w:t>
      </w:r>
      <w:r>
        <w:rPr>
          <w:sz w:val="24"/>
          <w:szCs w:val="24"/>
        </w:rPr>
        <w:t>59.3%</w:t>
      </w:r>
      <w:r w:rsidR="00F979AA">
        <w:rPr>
          <w:sz w:val="24"/>
          <w:szCs w:val="24"/>
        </w:rPr>
        <w:t xml:space="preserve"> of general sample</w:t>
      </w:r>
      <w:r>
        <w:rPr>
          <w:sz w:val="24"/>
          <w:szCs w:val="24"/>
        </w:rPr>
        <w:t>). The NHS data also gives 30 years as the average age for entry into general practice so that estimated years in general practice were also similar(</w:t>
      </w:r>
      <w:r w:rsidRPr="00995FBB">
        <w:rPr>
          <w:sz w:val="24"/>
          <w:szCs w:val="24"/>
        </w:rPr>
        <w:t xml:space="preserve"> </w:t>
      </w:r>
      <w:r w:rsidR="00F979AA">
        <w:rPr>
          <w:sz w:val="24"/>
          <w:szCs w:val="24"/>
        </w:rPr>
        <w:t>mean years as a GP:</w:t>
      </w:r>
      <w:r>
        <w:rPr>
          <w:sz w:val="24"/>
          <w:szCs w:val="24"/>
        </w:rPr>
        <w:t xml:space="preserve"> females 14.3</w:t>
      </w:r>
      <w:r w:rsidR="00F979AA">
        <w:rPr>
          <w:sz w:val="24"/>
          <w:szCs w:val="24"/>
        </w:rPr>
        <w:t xml:space="preserve"> yr</w:t>
      </w:r>
      <w:r>
        <w:rPr>
          <w:sz w:val="24"/>
          <w:szCs w:val="24"/>
        </w:rPr>
        <w:t xml:space="preserve"> , males 19 Yr</w:t>
      </w:r>
      <w:r w:rsidR="00663B7E">
        <w:rPr>
          <w:sz w:val="24"/>
          <w:szCs w:val="24"/>
        </w:rPr>
        <w:t xml:space="preserve"> compared with respondents mean years as a GP: females 12 yr, males 17.6 yr</w:t>
      </w:r>
      <w:r>
        <w:rPr>
          <w:sz w:val="24"/>
          <w:szCs w:val="24"/>
        </w:rPr>
        <w:t>).</w:t>
      </w:r>
    </w:p>
    <w:p w:rsidR="00036F78" w:rsidRDefault="00AC3B34" w:rsidP="00AC3B34">
      <w:pPr>
        <w:spacing w:before="240" w:after="0" w:line="240" w:lineRule="auto"/>
        <w:rPr>
          <w:b/>
          <w:sz w:val="28"/>
        </w:rPr>
      </w:pPr>
      <w:r>
        <w:rPr>
          <w:b/>
          <w:sz w:val="28"/>
        </w:rPr>
        <w:t xml:space="preserve">Regional </w:t>
      </w:r>
      <w:r w:rsidR="00036F78" w:rsidRPr="00126D2A">
        <w:rPr>
          <w:b/>
          <w:sz w:val="28"/>
        </w:rPr>
        <w:t>South England GP</w:t>
      </w:r>
      <w:r w:rsidR="00036F78">
        <w:rPr>
          <w:b/>
          <w:sz w:val="28"/>
        </w:rPr>
        <w:t xml:space="preserve"> sample</w:t>
      </w:r>
      <w:r w:rsidR="0024102D">
        <w:rPr>
          <w:b/>
          <w:sz w:val="28"/>
        </w:rPr>
        <w:t xml:space="preserve"> from workforce survey</w:t>
      </w:r>
      <w:r w:rsidR="00036F78">
        <w:rPr>
          <w:b/>
          <w:sz w:val="28"/>
        </w:rPr>
        <w:t xml:space="preserve"> for</w:t>
      </w:r>
      <w:r w:rsidR="00036F78" w:rsidRPr="00126D2A">
        <w:rPr>
          <w:b/>
          <w:sz w:val="28"/>
        </w:rPr>
        <w:t xml:space="preserve"> age &amp; gender</w:t>
      </w:r>
    </w:p>
    <w:tbl>
      <w:tblPr>
        <w:tblStyle w:val="TableGrid"/>
        <w:tblpPr w:leftFromText="180" w:rightFromText="180" w:vertAnchor="text" w:horzAnchor="margin" w:tblpY="37"/>
        <w:tblW w:w="0" w:type="auto"/>
        <w:tblLook w:val="04A0"/>
      </w:tblPr>
      <w:tblGrid>
        <w:gridCol w:w="1384"/>
        <w:gridCol w:w="1418"/>
        <w:gridCol w:w="931"/>
        <w:gridCol w:w="1053"/>
        <w:gridCol w:w="2126"/>
      </w:tblGrid>
      <w:tr w:rsidR="00036F78" w:rsidTr="00036F78">
        <w:tc>
          <w:tcPr>
            <w:tcW w:w="1384" w:type="dxa"/>
          </w:tcPr>
          <w:p w:rsidR="00036F78" w:rsidRDefault="00036F78" w:rsidP="005810E5"/>
        </w:tc>
        <w:tc>
          <w:tcPr>
            <w:tcW w:w="1418" w:type="dxa"/>
          </w:tcPr>
          <w:p w:rsidR="00036F78" w:rsidRDefault="00036F78" w:rsidP="005810E5">
            <w:r>
              <w:t>Number of GPs</w:t>
            </w:r>
          </w:p>
        </w:tc>
        <w:tc>
          <w:tcPr>
            <w:tcW w:w="931" w:type="dxa"/>
          </w:tcPr>
          <w:p w:rsidR="00036F78" w:rsidRDefault="00036F78" w:rsidP="005810E5">
            <w:r>
              <w:t>Mean ages</w:t>
            </w:r>
          </w:p>
        </w:tc>
        <w:tc>
          <w:tcPr>
            <w:tcW w:w="1053" w:type="dxa"/>
          </w:tcPr>
          <w:p w:rsidR="00036F78" w:rsidRDefault="00036F78" w:rsidP="005810E5">
            <w:r>
              <w:t>Std. deviation</w:t>
            </w:r>
          </w:p>
        </w:tc>
        <w:tc>
          <w:tcPr>
            <w:tcW w:w="2126" w:type="dxa"/>
          </w:tcPr>
          <w:p w:rsidR="00036F78" w:rsidRDefault="00036F78" w:rsidP="005810E5">
            <w:r>
              <w:t>Estimated years in GP (= approx -30 years)</w:t>
            </w:r>
          </w:p>
        </w:tc>
      </w:tr>
      <w:tr w:rsidR="00036F78" w:rsidTr="00036F78">
        <w:tc>
          <w:tcPr>
            <w:tcW w:w="1384" w:type="dxa"/>
          </w:tcPr>
          <w:p w:rsidR="00036F78" w:rsidRDefault="00036F78" w:rsidP="005810E5">
            <w:r>
              <w:t>Male</w:t>
            </w:r>
          </w:p>
        </w:tc>
        <w:tc>
          <w:tcPr>
            <w:tcW w:w="1418" w:type="dxa"/>
          </w:tcPr>
          <w:p w:rsidR="00036F78" w:rsidRDefault="00036F78" w:rsidP="005810E5">
            <w:r>
              <w:t>62 (40.8%)</w:t>
            </w:r>
          </w:p>
        </w:tc>
        <w:tc>
          <w:tcPr>
            <w:tcW w:w="931" w:type="dxa"/>
          </w:tcPr>
          <w:p w:rsidR="00036F78" w:rsidRDefault="00036F78" w:rsidP="005810E5">
            <w:r>
              <w:t>45.3</w:t>
            </w:r>
          </w:p>
        </w:tc>
        <w:tc>
          <w:tcPr>
            <w:tcW w:w="1053" w:type="dxa"/>
          </w:tcPr>
          <w:p w:rsidR="00036F78" w:rsidRDefault="00036F78" w:rsidP="005810E5">
            <w:r>
              <w:t>12.92</w:t>
            </w:r>
          </w:p>
        </w:tc>
        <w:tc>
          <w:tcPr>
            <w:tcW w:w="2126" w:type="dxa"/>
          </w:tcPr>
          <w:p w:rsidR="00036F78" w:rsidRDefault="00036F78" w:rsidP="005810E5">
            <w:r>
              <w:t>15.3</w:t>
            </w:r>
          </w:p>
        </w:tc>
      </w:tr>
      <w:tr w:rsidR="00036F78" w:rsidTr="00036F78">
        <w:tc>
          <w:tcPr>
            <w:tcW w:w="1384" w:type="dxa"/>
          </w:tcPr>
          <w:p w:rsidR="00036F78" w:rsidRDefault="00036F78" w:rsidP="005810E5">
            <w:r>
              <w:t>Female</w:t>
            </w:r>
          </w:p>
        </w:tc>
        <w:tc>
          <w:tcPr>
            <w:tcW w:w="1418" w:type="dxa"/>
          </w:tcPr>
          <w:p w:rsidR="00036F78" w:rsidRDefault="00036F78" w:rsidP="005810E5">
            <w:r>
              <w:t>90 (59.25%)</w:t>
            </w:r>
          </w:p>
        </w:tc>
        <w:tc>
          <w:tcPr>
            <w:tcW w:w="931" w:type="dxa"/>
          </w:tcPr>
          <w:p w:rsidR="00036F78" w:rsidRDefault="00036F78" w:rsidP="005810E5">
            <w:r>
              <w:t>40.2</w:t>
            </w:r>
          </w:p>
        </w:tc>
        <w:tc>
          <w:tcPr>
            <w:tcW w:w="1053" w:type="dxa"/>
          </w:tcPr>
          <w:p w:rsidR="00036F78" w:rsidRDefault="00036F78" w:rsidP="005810E5">
            <w:r>
              <w:t>9.49</w:t>
            </w:r>
          </w:p>
        </w:tc>
        <w:tc>
          <w:tcPr>
            <w:tcW w:w="2126" w:type="dxa"/>
          </w:tcPr>
          <w:p w:rsidR="00036F78" w:rsidRDefault="00036F78" w:rsidP="005810E5">
            <w:r>
              <w:t>10.2</w:t>
            </w:r>
          </w:p>
        </w:tc>
      </w:tr>
      <w:tr w:rsidR="00036F78" w:rsidTr="00036F78">
        <w:tc>
          <w:tcPr>
            <w:tcW w:w="1384" w:type="dxa"/>
          </w:tcPr>
          <w:p w:rsidR="00036F78" w:rsidRDefault="00036F78" w:rsidP="005810E5">
            <w:r>
              <w:t>Total</w:t>
            </w:r>
          </w:p>
        </w:tc>
        <w:tc>
          <w:tcPr>
            <w:tcW w:w="1418" w:type="dxa"/>
          </w:tcPr>
          <w:p w:rsidR="00036F78" w:rsidRDefault="00036F78" w:rsidP="005810E5">
            <w:r>
              <w:t>152</w:t>
            </w:r>
          </w:p>
        </w:tc>
        <w:tc>
          <w:tcPr>
            <w:tcW w:w="931" w:type="dxa"/>
          </w:tcPr>
          <w:p w:rsidR="00036F78" w:rsidRDefault="00036F78" w:rsidP="005810E5">
            <w:r>
              <w:t>42.3</w:t>
            </w:r>
          </w:p>
        </w:tc>
        <w:tc>
          <w:tcPr>
            <w:tcW w:w="1053" w:type="dxa"/>
          </w:tcPr>
          <w:p w:rsidR="00036F78" w:rsidRDefault="00036F78" w:rsidP="005810E5">
            <w:r>
              <w:t>11.27</w:t>
            </w:r>
          </w:p>
        </w:tc>
        <w:tc>
          <w:tcPr>
            <w:tcW w:w="2126" w:type="dxa"/>
          </w:tcPr>
          <w:p w:rsidR="00036F78" w:rsidRDefault="00036F78" w:rsidP="005810E5">
            <w:r>
              <w:t>12.3</w:t>
            </w:r>
          </w:p>
        </w:tc>
      </w:tr>
    </w:tbl>
    <w:p w:rsidR="00036F78" w:rsidRDefault="00036F78" w:rsidP="005810E5">
      <w:pPr>
        <w:spacing w:after="0" w:line="240" w:lineRule="auto"/>
        <w:rPr>
          <w:b/>
          <w:sz w:val="28"/>
        </w:rPr>
      </w:pPr>
    </w:p>
    <w:p w:rsidR="00036F78" w:rsidRDefault="00036F78" w:rsidP="005810E5">
      <w:pPr>
        <w:spacing w:after="0" w:line="240" w:lineRule="auto"/>
        <w:rPr>
          <w:b/>
          <w:sz w:val="28"/>
        </w:rPr>
      </w:pPr>
    </w:p>
    <w:p w:rsidR="00036F78" w:rsidRDefault="00036F78" w:rsidP="005810E5">
      <w:pPr>
        <w:spacing w:after="0" w:line="240" w:lineRule="auto"/>
        <w:rPr>
          <w:b/>
          <w:sz w:val="28"/>
        </w:rPr>
      </w:pPr>
    </w:p>
    <w:p w:rsidR="002808C5" w:rsidRDefault="002808C5" w:rsidP="005810E5">
      <w:pPr>
        <w:spacing w:after="0" w:line="240" w:lineRule="auto"/>
        <w:rPr>
          <w:sz w:val="20"/>
        </w:rPr>
      </w:pPr>
    </w:p>
    <w:p w:rsidR="002808C5" w:rsidRDefault="002808C5" w:rsidP="005810E5">
      <w:pPr>
        <w:spacing w:after="0" w:line="240" w:lineRule="auto"/>
        <w:rPr>
          <w:sz w:val="20"/>
        </w:rPr>
      </w:pPr>
    </w:p>
    <w:p w:rsidR="002808C5" w:rsidRDefault="002808C5" w:rsidP="005810E5">
      <w:pPr>
        <w:spacing w:after="0" w:line="240" w:lineRule="auto"/>
        <w:rPr>
          <w:sz w:val="20"/>
        </w:rPr>
      </w:pPr>
    </w:p>
    <w:p w:rsidR="00AC3B34" w:rsidRDefault="00036F78" w:rsidP="002808C5">
      <w:pPr>
        <w:spacing w:after="60" w:line="240" w:lineRule="auto"/>
        <w:rPr>
          <w:sz w:val="20"/>
        </w:rPr>
      </w:pPr>
      <w:r>
        <w:rPr>
          <w:sz w:val="20"/>
        </w:rPr>
        <w:t xml:space="preserve">NB Sample of </w:t>
      </w:r>
      <w:r w:rsidR="00F979AA">
        <w:rPr>
          <w:sz w:val="20"/>
        </w:rPr>
        <w:t xml:space="preserve">S England </w:t>
      </w:r>
      <w:r>
        <w:rPr>
          <w:sz w:val="20"/>
        </w:rPr>
        <w:t xml:space="preserve">GPs from the NHS workforce survey who are all guaranteed either </w:t>
      </w:r>
    </w:p>
    <w:p w:rsidR="00036F78" w:rsidRDefault="00036F78" w:rsidP="002808C5">
      <w:pPr>
        <w:spacing w:after="60" w:line="240" w:lineRule="auto"/>
        <w:rPr>
          <w:sz w:val="20"/>
        </w:rPr>
      </w:pPr>
      <w:proofErr w:type="gramStart"/>
      <w:r>
        <w:rPr>
          <w:sz w:val="20"/>
        </w:rPr>
        <w:t>full</w:t>
      </w:r>
      <w:r w:rsidR="002808C5">
        <w:rPr>
          <w:sz w:val="20"/>
        </w:rPr>
        <w:t>-</w:t>
      </w:r>
      <w:r>
        <w:rPr>
          <w:sz w:val="20"/>
        </w:rPr>
        <w:t>time</w:t>
      </w:r>
      <w:proofErr w:type="gramEnd"/>
      <w:r w:rsidR="0024102D">
        <w:rPr>
          <w:sz w:val="20"/>
        </w:rPr>
        <w:t xml:space="preserve"> </w:t>
      </w:r>
      <w:r>
        <w:rPr>
          <w:sz w:val="20"/>
        </w:rPr>
        <w:t>or part-time working GPs</w:t>
      </w:r>
    </w:p>
    <w:p w:rsidR="002808C5" w:rsidRPr="00413EAD" w:rsidRDefault="002808C5" w:rsidP="002808C5">
      <w:pPr>
        <w:spacing w:after="60" w:line="240" w:lineRule="auto"/>
        <w:rPr>
          <w:sz w:val="20"/>
        </w:rPr>
      </w:pPr>
    </w:p>
    <w:p w:rsidR="00036F78" w:rsidRDefault="00036F78" w:rsidP="005810E5">
      <w:pPr>
        <w:spacing w:after="0" w:line="240" w:lineRule="auto"/>
        <w:rPr>
          <w:b/>
          <w:sz w:val="28"/>
        </w:rPr>
      </w:pPr>
      <w:r>
        <w:rPr>
          <w:b/>
          <w:sz w:val="28"/>
        </w:rPr>
        <w:t>SWT Faculty analysis for age &amp; gender based on members eligible for fellowship in 2013 (aged over 72 years excluded)</w:t>
      </w:r>
    </w:p>
    <w:tbl>
      <w:tblPr>
        <w:tblStyle w:val="TableGrid"/>
        <w:tblpPr w:leftFromText="180" w:rightFromText="180" w:vertAnchor="text" w:horzAnchor="margin" w:tblpY="218"/>
        <w:tblW w:w="0" w:type="auto"/>
        <w:tblLook w:val="04A0"/>
      </w:tblPr>
      <w:tblGrid>
        <w:gridCol w:w="1526"/>
        <w:gridCol w:w="1417"/>
        <w:gridCol w:w="932"/>
        <w:gridCol w:w="1053"/>
        <w:gridCol w:w="1984"/>
      </w:tblGrid>
      <w:tr w:rsidR="002808C5" w:rsidTr="002808C5">
        <w:tc>
          <w:tcPr>
            <w:tcW w:w="1526" w:type="dxa"/>
          </w:tcPr>
          <w:p w:rsidR="002808C5" w:rsidRDefault="002808C5" w:rsidP="002808C5"/>
        </w:tc>
        <w:tc>
          <w:tcPr>
            <w:tcW w:w="1417" w:type="dxa"/>
          </w:tcPr>
          <w:p w:rsidR="002808C5" w:rsidRDefault="002808C5" w:rsidP="002808C5">
            <w:r>
              <w:t>Number of GPs</w:t>
            </w:r>
          </w:p>
        </w:tc>
        <w:tc>
          <w:tcPr>
            <w:tcW w:w="932" w:type="dxa"/>
          </w:tcPr>
          <w:p w:rsidR="002808C5" w:rsidRDefault="002808C5" w:rsidP="002808C5">
            <w:r>
              <w:t>Mean ages</w:t>
            </w:r>
          </w:p>
        </w:tc>
        <w:tc>
          <w:tcPr>
            <w:tcW w:w="1053" w:type="dxa"/>
          </w:tcPr>
          <w:p w:rsidR="002808C5" w:rsidRDefault="002808C5" w:rsidP="002808C5">
            <w:r>
              <w:t>Std. deviation</w:t>
            </w:r>
          </w:p>
        </w:tc>
        <w:tc>
          <w:tcPr>
            <w:tcW w:w="1984" w:type="dxa"/>
          </w:tcPr>
          <w:p w:rsidR="002808C5" w:rsidRDefault="002808C5" w:rsidP="002808C5">
            <w:r>
              <w:t>Estimated years in GP (= approx -30 years)</w:t>
            </w:r>
          </w:p>
        </w:tc>
      </w:tr>
      <w:tr w:rsidR="002808C5" w:rsidTr="002808C5">
        <w:tc>
          <w:tcPr>
            <w:tcW w:w="1526" w:type="dxa"/>
          </w:tcPr>
          <w:p w:rsidR="002808C5" w:rsidRDefault="002808C5" w:rsidP="002808C5">
            <w:r>
              <w:t>Male</w:t>
            </w:r>
          </w:p>
        </w:tc>
        <w:tc>
          <w:tcPr>
            <w:tcW w:w="1417" w:type="dxa"/>
          </w:tcPr>
          <w:p w:rsidR="002808C5" w:rsidRDefault="002808C5" w:rsidP="002808C5">
            <w:r>
              <w:t>292 (40.5%)</w:t>
            </w:r>
          </w:p>
        </w:tc>
        <w:tc>
          <w:tcPr>
            <w:tcW w:w="932" w:type="dxa"/>
          </w:tcPr>
          <w:p w:rsidR="002808C5" w:rsidRDefault="002808C5" w:rsidP="002808C5">
            <w:r>
              <w:t>52.6</w:t>
            </w:r>
          </w:p>
        </w:tc>
        <w:tc>
          <w:tcPr>
            <w:tcW w:w="1053" w:type="dxa"/>
          </w:tcPr>
          <w:p w:rsidR="002808C5" w:rsidRDefault="002808C5" w:rsidP="002808C5">
            <w:r>
              <w:t>8.5</w:t>
            </w:r>
          </w:p>
        </w:tc>
        <w:tc>
          <w:tcPr>
            <w:tcW w:w="1984" w:type="dxa"/>
          </w:tcPr>
          <w:p w:rsidR="002808C5" w:rsidRDefault="002808C5" w:rsidP="002808C5">
            <w:r>
              <w:t>22.6</w:t>
            </w:r>
          </w:p>
        </w:tc>
      </w:tr>
      <w:tr w:rsidR="002808C5" w:rsidTr="002808C5">
        <w:tc>
          <w:tcPr>
            <w:tcW w:w="1526" w:type="dxa"/>
          </w:tcPr>
          <w:p w:rsidR="002808C5" w:rsidRDefault="002808C5" w:rsidP="002808C5">
            <w:r>
              <w:t>Female</w:t>
            </w:r>
          </w:p>
        </w:tc>
        <w:tc>
          <w:tcPr>
            <w:tcW w:w="1417" w:type="dxa"/>
          </w:tcPr>
          <w:p w:rsidR="002808C5" w:rsidRDefault="002808C5" w:rsidP="002808C5">
            <w:r>
              <w:t>428 (59.4%)</w:t>
            </w:r>
          </w:p>
        </w:tc>
        <w:tc>
          <w:tcPr>
            <w:tcW w:w="932" w:type="dxa"/>
          </w:tcPr>
          <w:p w:rsidR="002808C5" w:rsidRDefault="002808C5" w:rsidP="002808C5">
            <w:r>
              <w:t>48.3</w:t>
            </w:r>
          </w:p>
        </w:tc>
        <w:tc>
          <w:tcPr>
            <w:tcW w:w="1053" w:type="dxa"/>
          </w:tcPr>
          <w:p w:rsidR="002808C5" w:rsidRDefault="002808C5" w:rsidP="002808C5">
            <w:r>
              <w:t>7.4</w:t>
            </w:r>
          </w:p>
        </w:tc>
        <w:tc>
          <w:tcPr>
            <w:tcW w:w="1984" w:type="dxa"/>
          </w:tcPr>
          <w:p w:rsidR="002808C5" w:rsidRDefault="002808C5" w:rsidP="002808C5">
            <w:r>
              <w:t>18.3</w:t>
            </w:r>
          </w:p>
        </w:tc>
      </w:tr>
      <w:tr w:rsidR="002808C5" w:rsidTr="002808C5">
        <w:tc>
          <w:tcPr>
            <w:tcW w:w="1526" w:type="dxa"/>
          </w:tcPr>
          <w:p w:rsidR="002808C5" w:rsidRDefault="002808C5" w:rsidP="002808C5">
            <w:r>
              <w:t>Total</w:t>
            </w:r>
          </w:p>
        </w:tc>
        <w:tc>
          <w:tcPr>
            <w:tcW w:w="1417" w:type="dxa"/>
          </w:tcPr>
          <w:p w:rsidR="002808C5" w:rsidRDefault="002808C5" w:rsidP="002808C5">
            <w:r>
              <w:t>720</w:t>
            </w:r>
          </w:p>
        </w:tc>
        <w:tc>
          <w:tcPr>
            <w:tcW w:w="932" w:type="dxa"/>
          </w:tcPr>
          <w:p w:rsidR="002808C5" w:rsidRDefault="002808C5" w:rsidP="002808C5">
            <w:r>
              <w:t>50.06</w:t>
            </w:r>
          </w:p>
        </w:tc>
        <w:tc>
          <w:tcPr>
            <w:tcW w:w="1053" w:type="dxa"/>
          </w:tcPr>
          <w:p w:rsidR="002808C5" w:rsidRDefault="002808C5" w:rsidP="002808C5">
            <w:r>
              <w:t>8.15</w:t>
            </w:r>
          </w:p>
        </w:tc>
        <w:tc>
          <w:tcPr>
            <w:tcW w:w="1984" w:type="dxa"/>
          </w:tcPr>
          <w:p w:rsidR="002808C5" w:rsidRDefault="002808C5" w:rsidP="002808C5">
            <w:r>
              <w:t>20</w:t>
            </w:r>
          </w:p>
        </w:tc>
      </w:tr>
    </w:tbl>
    <w:p w:rsidR="00036F78" w:rsidRDefault="00036F78" w:rsidP="005810E5">
      <w:pPr>
        <w:spacing w:after="0" w:line="240" w:lineRule="auto"/>
        <w:rPr>
          <w:b/>
          <w:sz w:val="28"/>
        </w:rPr>
      </w:pPr>
    </w:p>
    <w:p w:rsidR="00036F78" w:rsidRDefault="00036F78" w:rsidP="005810E5">
      <w:pPr>
        <w:spacing w:after="0" w:line="240" w:lineRule="auto"/>
        <w:rPr>
          <w:b/>
          <w:sz w:val="28"/>
        </w:rPr>
      </w:pPr>
    </w:p>
    <w:p w:rsidR="00036F78" w:rsidRPr="00126D2A" w:rsidRDefault="00036F78" w:rsidP="005810E5">
      <w:pPr>
        <w:spacing w:after="0" w:line="240" w:lineRule="auto"/>
        <w:rPr>
          <w:b/>
          <w:sz w:val="28"/>
        </w:rPr>
      </w:pPr>
    </w:p>
    <w:p w:rsidR="002808C5" w:rsidRDefault="002808C5" w:rsidP="005810E5">
      <w:pPr>
        <w:spacing w:after="0" w:line="240" w:lineRule="auto"/>
        <w:jc w:val="both"/>
        <w:rPr>
          <w:sz w:val="20"/>
        </w:rPr>
      </w:pPr>
    </w:p>
    <w:p w:rsidR="002808C5" w:rsidRDefault="002808C5" w:rsidP="005810E5">
      <w:pPr>
        <w:spacing w:after="0" w:line="240" w:lineRule="auto"/>
        <w:jc w:val="both"/>
        <w:rPr>
          <w:sz w:val="20"/>
        </w:rPr>
      </w:pPr>
    </w:p>
    <w:p w:rsidR="002808C5" w:rsidRDefault="002808C5" w:rsidP="005810E5">
      <w:pPr>
        <w:spacing w:after="0" w:line="240" w:lineRule="auto"/>
        <w:jc w:val="both"/>
        <w:rPr>
          <w:sz w:val="20"/>
        </w:rPr>
      </w:pPr>
    </w:p>
    <w:p w:rsidR="002808C5" w:rsidRDefault="002808C5" w:rsidP="005810E5">
      <w:pPr>
        <w:spacing w:after="0" w:line="240" w:lineRule="auto"/>
        <w:jc w:val="both"/>
        <w:rPr>
          <w:sz w:val="20"/>
        </w:rPr>
      </w:pPr>
    </w:p>
    <w:p w:rsidR="00036F78" w:rsidRDefault="00036F78" w:rsidP="002808C5">
      <w:pPr>
        <w:spacing w:after="240" w:line="240" w:lineRule="auto"/>
        <w:jc w:val="both"/>
        <w:rPr>
          <w:sz w:val="20"/>
        </w:rPr>
      </w:pPr>
      <w:r>
        <w:rPr>
          <w:sz w:val="20"/>
        </w:rPr>
        <w:t xml:space="preserve">These are GPs who as RCGP members </w:t>
      </w:r>
      <w:r>
        <w:rPr>
          <w:sz w:val="20"/>
          <w:u w:val="single"/>
        </w:rPr>
        <w:t>might</w:t>
      </w:r>
      <w:r w:rsidRPr="00C27346">
        <w:rPr>
          <w:sz w:val="20"/>
        </w:rPr>
        <w:t xml:space="preserve"> be suitable candidates</w:t>
      </w:r>
      <w:r>
        <w:rPr>
          <w:sz w:val="20"/>
        </w:rPr>
        <w:t xml:space="preserve"> for </w:t>
      </w:r>
      <w:r w:rsidR="00F979AA">
        <w:rPr>
          <w:sz w:val="20"/>
        </w:rPr>
        <w:t xml:space="preserve">RCGP </w:t>
      </w:r>
      <w:r>
        <w:rPr>
          <w:sz w:val="20"/>
        </w:rPr>
        <w:t>fellowship but an unknown proportion of those aged over 55 years old will have retired completely from general practice. They would, however, still be on the mailing list for SWT newsletters and therefore could have participated in the diet and CVD questionnaire.</w:t>
      </w:r>
    </w:p>
    <w:p w:rsidR="00036F78" w:rsidRDefault="00036F78" w:rsidP="005810E5">
      <w:pPr>
        <w:spacing w:after="0" w:line="240" w:lineRule="auto"/>
        <w:rPr>
          <w:b/>
          <w:sz w:val="28"/>
        </w:rPr>
      </w:pPr>
      <w:r>
        <w:rPr>
          <w:b/>
          <w:sz w:val="28"/>
        </w:rPr>
        <w:t xml:space="preserve">Combined data from </w:t>
      </w:r>
      <w:r w:rsidR="00AC3B34">
        <w:rPr>
          <w:b/>
          <w:sz w:val="28"/>
        </w:rPr>
        <w:t xml:space="preserve">regional </w:t>
      </w:r>
      <w:r w:rsidR="0024102D">
        <w:rPr>
          <w:b/>
          <w:sz w:val="28"/>
        </w:rPr>
        <w:t>workforce survey and SWT faculty</w:t>
      </w:r>
    </w:p>
    <w:tbl>
      <w:tblPr>
        <w:tblStyle w:val="TableGrid"/>
        <w:tblpPr w:leftFromText="180" w:rightFromText="180" w:vertAnchor="text" w:horzAnchor="margin" w:tblpY="64"/>
        <w:tblW w:w="0" w:type="auto"/>
        <w:tblLook w:val="04A0"/>
      </w:tblPr>
      <w:tblGrid>
        <w:gridCol w:w="868"/>
        <w:gridCol w:w="1508"/>
        <w:gridCol w:w="1418"/>
        <w:gridCol w:w="1134"/>
        <w:gridCol w:w="1559"/>
        <w:gridCol w:w="1418"/>
      </w:tblGrid>
      <w:tr w:rsidR="002808C5" w:rsidTr="002808C5">
        <w:tc>
          <w:tcPr>
            <w:tcW w:w="868" w:type="dxa"/>
          </w:tcPr>
          <w:p w:rsidR="002808C5" w:rsidRDefault="002808C5" w:rsidP="002808C5"/>
        </w:tc>
        <w:tc>
          <w:tcPr>
            <w:tcW w:w="1508" w:type="dxa"/>
          </w:tcPr>
          <w:p w:rsidR="002808C5" w:rsidRPr="0024102D" w:rsidRDefault="002808C5" w:rsidP="002808C5">
            <w:pPr>
              <w:rPr>
                <w:sz w:val="20"/>
                <w:szCs w:val="20"/>
              </w:rPr>
            </w:pPr>
            <w:r w:rsidRPr="0024102D">
              <w:rPr>
                <w:sz w:val="20"/>
                <w:szCs w:val="20"/>
              </w:rPr>
              <w:t>NHS workforce survey GP mean ages</w:t>
            </w:r>
          </w:p>
        </w:tc>
        <w:tc>
          <w:tcPr>
            <w:tcW w:w="1418" w:type="dxa"/>
          </w:tcPr>
          <w:p w:rsidR="002808C5" w:rsidRPr="0024102D" w:rsidRDefault="002808C5" w:rsidP="002808C5">
            <w:pPr>
              <w:rPr>
                <w:sz w:val="20"/>
                <w:szCs w:val="20"/>
              </w:rPr>
            </w:pPr>
            <w:r w:rsidRPr="0024102D">
              <w:rPr>
                <w:sz w:val="20"/>
                <w:szCs w:val="20"/>
              </w:rPr>
              <w:t>SWT membership mean ages</w:t>
            </w:r>
          </w:p>
        </w:tc>
        <w:tc>
          <w:tcPr>
            <w:tcW w:w="1134" w:type="dxa"/>
          </w:tcPr>
          <w:p w:rsidR="002808C5" w:rsidRPr="0024102D" w:rsidRDefault="002808C5" w:rsidP="002808C5">
            <w:pPr>
              <w:rPr>
                <w:sz w:val="20"/>
                <w:szCs w:val="20"/>
              </w:rPr>
            </w:pPr>
            <w:r w:rsidRPr="0024102D">
              <w:rPr>
                <w:sz w:val="20"/>
                <w:szCs w:val="20"/>
              </w:rPr>
              <w:t>Average of means</w:t>
            </w:r>
          </w:p>
        </w:tc>
        <w:tc>
          <w:tcPr>
            <w:tcW w:w="1559" w:type="dxa"/>
          </w:tcPr>
          <w:p w:rsidR="002808C5" w:rsidRPr="0024102D" w:rsidRDefault="002808C5" w:rsidP="002808C5">
            <w:pPr>
              <w:rPr>
                <w:sz w:val="20"/>
                <w:szCs w:val="20"/>
              </w:rPr>
            </w:pPr>
            <w:r w:rsidRPr="0024102D">
              <w:rPr>
                <w:sz w:val="20"/>
                <w:szCs w:val="20"/>
              </w:rPr>
              <w:t>Estimated years in GP (= approx -30 years)</w:t>
            </w:r>
          </w:p>
        </w:tc>
        <w:tc>
          <w:tcPr>
            <w:tcW w:w="1418" w:type="dxa"/>
          </w:tcPr>
          <w:p w:rsidR="002808C5" w:rsidRPr="0024102D" w:rsidRDefault="002808C5" w:rsidP="002808C5">
            <w:pPr>
              <w:rPr>
                <w:sz w:val="20"/>
                <w:szCs w:val="20"/>
              </w:rPr>
            </w:pPr>
            <w:r w:rsidRPr="0024102D">
              <w:rPr>
                <w:sz w:val="20"/>
                <w:szCs w:val="20"/>
              </w:rPr>
              <w:t>Averages of gender by %</w:t>
            </w:r>
            <w:proofErr w:type="spellStart"/>
            <w:r w:rsidRPr="0024102D">
              <w:rPr>
                <w:sz w:val="20"/>
                <w:szCs w:val="20"/>
              </w:rPr>
              <w:t>ge</w:t>
            </w:r>
            <w:proofErr w:type="spellEnd"/>
          </w:p>
        </w:tc>
      </w:tr>
      <w:tr w:rsidR="002808C5" w:rsidTr="002808C5">
        <w:tc>
          <w:tcPr>
            <w:tcW w:w="868" w:type="dxa"/>
          </w:tcPr>
          <w:p w:rsidR="002808C5" w:rsidRDefault="002808C5" w:rsidP="002808C5">
            <w:r>
              <w:t>Male</w:t>
            </w:r>
          </w:p>
        </w:tc>
        <w:tc>
          <w:tcPr>
            <w:tcW w:w="1508" w:type="dxa"/>
          </w:tcPr>
          <w:p w:rsidR="002808C5" w:rsidRDefault="002808C5" w:rsidP="002808C5">
            <w:r>
              <w:t>45.3</w:t>
            </w:r>
          </w:p>
        </w:tc>
        <w:tc>
          <w:tcPr>
            <w:tcW w:w="1418" w:type="dxa"/>
          </w:tcPr>
          <w:p w:rsidR="002808C5" w:rsidRDefault="002808C5" w:rsidP="002808C5">
            <w:r>
              <w:t>52.6</w:t>
            </w:r>
          </w:p>
        </w:tc>
        <w:tc>
          <w:tcPr>
            <w:tcW w:w="1134" w:type="dxa"/>
          </w:tcPr>
          <w:p w:rsidR="002808C5" w:rsidRDefault="002808C5" w:rsidP="002808C5">
            <w:r>
              <w:t>49</w:t>
            </w:r>
          </w:p>
        </w:tc>
        <w:tc>
          <w:tcPr>
            <w:tcW w:w="1559" w:type="dxa"/>
          </w:tcPr>
          <w:p w:rsidR="002808C5" w:rsidRDefault="002808C5" w:rsidP="002808C5">
            <w:r>
              <w:t>19</w:t>
            </w:r>
          </w:p>
        </w:tc>
        <w:tc>
          <w:tcPr>
            <w:tcW w:w="1418" w:type="dxa"/>
          </w:tcPr>
          <w:p w:rsidR="002808C5" w:rsidRDefault="002808C5" w:rsidP="002808C5">
            <w:r>
              <w:t>40.7%</w:t>
            </w:r>
          </w:p>
        </w:tc>
      </w:tr>
      <w:tr w:rsidR="002808C5" w:rsidTr="002808C5">
        <w:tc>
          <w:tcPr>
            <w:tcW w:w="868" w:type="dxa"/>
          </w:tcPr>
          <w:p w:rsidR="002808C5" w:rsidRDefault="002808C5" w:rsidP="002808C5">
            <w:r>
              <w:t>Female</w:t>
            </w:r>
          </w:p>
        </w:tc>
        <w:tc>
          <w:tcPr>
            <w:tcW w:w="1508" w:type="dxa"/>
          </w:tcPr>
          <w:p w:rsidR="002808C5" w:rsidRDefault="002808C5" w:rsidP="002808C5">
            <w:r>
              <w:t>40.2</w:t>
            </w:r>
          </w:p>
        </w:tc>
        <w:tc>
          <w:tcPr>
            <w:tcW w:w="1418" w:type="dxa"/>
          </w:tcPr>
          <w:p w:rsidR="002808C5" w:rsidRDefault="002808C5" w:rsidP="002808C5">
            <w:r>
              <w:t>48.3</w:t>
            </w:r>
          </w:p>
        </w:tc>
        <w:tc>
          <w:tcPr>
            <w:tcW w:w="1134" w:type="dxa"/>
          </w:tcPr>
          <w:p w:rsidR="002808C5" w:rsidRDefault="002808C5" w:rsidP="002808C5">
            <w:r>
              <w:t>44.3</w:t>
            </w:r>
          </w:p>
        </w:tc>
        <w:tc>
          <w:tcPr>
            <w:tcW w:w="1559" w:type="dxa"/>
          </w:tcPr>
          <w:p w:rsidR="002808C5" w:rsidRDefault="002808C5" w:rsidP="002808C5">
            <w:r>
              <w:t>14.3</w:t>
            </w:r>
          </w:p>
        </w:tc>
        <w:tc>
          <w:tcPr>
            <w:tcW w:w="1418" w:type="dxa"/>
          </w:tcPr>
          <w:p w:rsidR="002808C5" w:rsidRDefault="002808C5" w:rsidP="002808C5">
            <w:r>
              <w:t>59.3%</w:t>
            </w:r>
          </w:p>
        </w:tc>
      </w:tr>
      <w:tr w:rsidR="002808C5" w:rsidTr="002808C5">
        <w:tc>
          <w:tcPr>
            <w:tcW w:w="868" w:type="dxa"/>
          </w:tcPr>
          <w:p w:rsidR="002808C5" w:rsidRDefault="002808C5" w:rsidP="002808C5">
            <w:r>
              <w:t>Total</w:t>
            </w:r>
          </w:p>
        </w:tc>
        <w:tc>
          <w:tcPr>
            <w:tcW w:w="1508" w:type="dxa"/>
          </w:tcPr>
          <w:p w:rsidR="002808C5" w:rsidRDefault="002808C5" w:rsidP="002808C5">
            <w:r>
              <w:t>42.3</w:t>
            </w:r>
          </w:p>
        </w:tc>
        <w:tc>
          <w:tcPr>
            <w:tcW w:w="1418" w:type="dxa"/>
          </w:tcPr>
          <w:p w:rsidR="002808C5" w:rsidRDefault="002808C5" w:rsidP="002808C5">
            <w:r>
              <w:t>50.06</w:t>
            </w:r>
          </w:p>
        </w:tc>
        <w:tc>
          <w:tcPr>
            <w:tcW w:w="1134" w:type="dxa"/>
          </w:tcPr>
          <w:p w:rsidR="002808C5" w:rsidRDefault="002808C5" w:rsidP="002808C5">
            <w:r>
              <w:t>46.2</w:t>
            </w:r>
          </w:p>
        </w:tc>
        <w:tc>
          <w:tcPr>
            <w:tcW w:w="1559" w:type="dxa"/>
          </w:tcPr>
          <w:p w:rsidR="002808C5" w:rsidRDefault="002808C5" w:rsidP="002808C5">
            <w:r>
              <w:t>16.2</w:t>
            </w:r>
          </w:p>
        </w:tc>
        <w:tc>
          <w:tcPr>
            <w:tcW w:w="1418" w:type="dxa"/>
          </w:tcPr>
          <w:p w:rsidR="002808C5" w:rsidRDefault="002808C5" w:rsidP="002808C5"/>
        </w:tc>
      </w:tr>
    </w:tbl>
    <w:p w:rsidR="00B225D4" w:rsidRDefault="00B225D4" w:rsidP="005810E5">
      <w:pPr>
        <w:spacing w:after="0" w:line="240" w:lineRule="auto"/>
        <w:rPr>
          <w:b/>
          <w:sz w:val="28"/>
        </w:rPr>
      </w:pPr>
    </w:p>
    <w:p w:rsidR="00B225D4" w:rsidRDefault="00B225D4" w:rsidP="005810E5">
      <w:pPr>
        <w:spacing w:after="0" w:line="240" w:lineRule="auto"/>
        <w:rPr>
          <w:b/>
          <w:sz w:val="28"/>
        </w:rPr>
      </w:pPr>
    </w:p>
    <w:p w:rsidR="00B225D4" w:rsidRDefault="00B225D4" w:rsidP="005810E5">
      <w:pPr>
        <w:spacing w:after="0" w:line="240" w:lineRule="auto"/>
        <w:rPr>
          <w:b/>
          <w:sz w:val="28"/>
        </w:rPr>
      </w:pPr>
    </w:p>
    <w:p w:rsidR="00B225D4" w:rsidRDefault="00B225D4" w:rsidP="005810E5">
      <w:pPr>
        <w:spacing w:after="0" w:line="240" w:lineRule="auto"/>
        <w:rPr>
          <w:b/>
          <w:sz w:val="28"/>
        </w:rPr>
      </w:pPr>
    </w:p>
    <w:p w:rsidR="00B225D4" w:rsidRDefault="00B225D4" w:rsidP="005810E5">
      <w:pPr>
        <w:spacing w:after="0" w:line="240" w:lineRule="auto"/>
        <w:rPr>
          <w:b/>
          <w:sz w:val="28"/>
        </w:rPr>
      </w:pPr>
    </w:p>
    <w:p w:rsidR="00B225D4" w:rsidRDefault="00B225D4" w:rsidP="005810E5">
      <w:pPr>
        <w:spacing w:after="0" w:line="240" w:lineRule="auto"/>
        <w:rPr>
          <w:b/>
          <w:sz w:val="28"/>
        </w:rPr>
      </w:pPr>
    </w:p>
    <w:p w:rsidR="005810E5" w:rsidRDefault="005810E5" w:rsidP="005810E5">
      <w:pPr>
        <w:spacing w:after="0" w:line="240" w:lineRule="auto"/>
        <w:rPr>
          <w:b/>
          <w:sz w:val="28"/>
        </w:rPr>
      </w:pPr>
    </w:p>
    <w:p w:rsidR="005810E5" w:rsidRDefault="005810E5" w:rsidP="005810E5">
      <w:pPr>
        <w:spacing w:after="0" w:line="240" w:lineRule="auto"/>
        <w:rPr>
          <w:b/>
          <w:sz w:val="28"/>
        </w:rPr>
      </w:pPr>
    </w:p>
    <w:p w:rsidR="005810E5" w:rsidRDefault="005810E5" w:rsidP="005810E5">
      <w:pPr>
        <w:spacing w:after="0" w:line="240" w:lineRule="auto"/>
        <w:rPr>
          <w:b/>
          <w:sz w:val="28"/>
        </w:rPr>
      </w:pPr>
    </w:p>
    <w:p w:rsidR="005810E5" w:rsidRPr="005810E5" w:rsidRDefault="005810E5" w:rsidP="00AC3B34">
      <w:pPr>
        <w:spacing w:after="120" w:line="240" w:lineRule="auto"/>
        <w:rPr>
          <w:b/>
          <w:sz w:val="28"/>
        </w:rPr>
      </w:pPr>
      <w:r>
        <w:rPr>
          <w:b/>
          <w:sz w:val="28"/>
        </w:rPr>
        <w:sym w:font="Symbol" w:char="F063"/>
      </w:r>
      <w:r>
        <w:rPr>
          <w:b/>
          <w:sz w:val="28"/>
          <w:vertAlign w:val="superscript"/>
        </w:rPr>
        <w:t>2</w:t>
      </w:r>
      <w:r>
        <w:rPr>
          <w:b/>
          <w:sz w:val="28"/>
        </w:rPr>
        <w:t xml:space="preserve"> </w:t>
      </w:r>
      <w:r w:rsidR="002808C5">
        <w:rPr>
          <w:b/>
          <w:sz w:val="28"/>
        </w:rPr>
        <w:t>calculations to test significance of female GP bias in respondents compared with regional and SWT Faculty samples</w:t>
      </w:r>
    </w:p>
    <w:bookmarkStart w:id="0" w:name="_MON_1421674617"/>
    <w:bookmarkEnd w:id="0"/>
    <w:p w:rsidR="00B225D4" w:rsidRDefault="00B225D4" w:rsidP="005810E5">
      <w:pPr>
        <w:spacing w:after="0" w:line="240" w:lineRule="auto"/>
        <w:rPr>
          <w:sz w:val="20"/>
        </w:rPr>
      </w:pPr>
      <w:r w:rsidRPr="001151BF">
        <w:rPr>
          <w:rFonts w:ascii="Arial" w:hAnsi="Arial" w:cs="Arial"/>
          <w:b/>
          <w:bCs/>
          <w:sz w:val="40"/>
        </w:rPr>
        <w:object w:dxaOrig="9145" w:dyaOrig="2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pt;height:90.8pt" o:ole="">
            <v:imagedata r:id="rId9" o:title=""/>
          </v:shape>
          <o:OLEObject Type="Embed" ProgID="Excel.Sheet.8" ShapeID="_x0000_i1025" DrawAspect="Content" ObjectID="_1594581714" r:id="rId10"/>
        </w:object>
      </w:r>
    </w:p>
    <w:p w:rsidR="00A40FD4" w:rsidRDefault="0092579B" w:rsidP="005810E5">
      <w:pPr>
        <w:spacing w:after="0" w:line="240" w:lineRule="auto"/>
        <w:jc w:val="center"/>
      </w:pPr>
      <w:r>
        <w:t>P = 0.12</w:t>
      </w:r>
    </w:p>
    <w:p w:rsidR="005810E5" w:rsidRDefault="005810E5" w:rsidP="005810E5">
      <w:pPr>
        <w:spacing w:after="0" w:line="240" w:lineRule="auto"/>
        <w:jc w:val="center"/>
      </w:pPr>
    </w:p>
    <w:bookmarkStart w:id="1" w:name="_MON_1587839456"/>
    <w:bookmarkEnd w:id="1"/>
    <w:p w:rsidR="006A513E" w:rsidRDefault="006A513E" w:rsidP="005810E5">
      <w:pPr>
        <w:spacing w:after="0" w:line="240" w:lineRule="auto"/>
      </w:pPr>
      <w:r w:rsidRPr="001151BF">
        <w:rPr>
          <w:rFonts w:ascii="Arial" w:hAnsi="Arial" w:cs="Arial"/>
          <w:b/>
          <w:bCs/>
          <w:sz w:val="40"/>
        </w:rPr>
        <w:object w:dxaOrig="9145" w:dyaOrig="2245">
          <v:shape id="_x0000_i1026" type="#_x0000_t75" style="width:368.75pt;height:93.9pt" o:ole="">
            <v:imagedata r:id="rId11" o:title=""/>
          </v:shape>
          <o:OLEObject Type="Embed" ProgID="Excel.Sheet.8" ShapeID="_x0000_i1026" DrawAspect="Content" ObjectID="_1594581715" r:id="rId12"/>
        </w:object>
      </w:r>
    </w:p>
    <w:p w:rsidR="006A513E" w:rsidRDefault="006A513E" w:rsidP="005810E5">
      <w:pPr>
        <w:spacing w:after="0" w:line="240" w:lineRule="auto"/>
        <w:jc w:val="center"/>
      </w:pPr>
      <w:r>
        <w:t>P = 0.054</w:t>
      </w:r>
    </w:p>
    <w:p w:rsidR="005810E5" w:rsidRDefault="005810E5" w:rsidP="005810E5">
      <w:pPr>
        <w:spacing w:after="0" w:line="240" w:lineRule="auto"/>
        <w:jc w:val="center"/>
      </w:pPr>
    </w:p>
    <w:bookmarkStart w:id="2" w:name="_MON_1587840354"/>
    <w:bookmarkEnd w:id="2"/>
    <w:p w:rsidR="005810E5" w:rsidRDefault="005810E5" w:rsidP="005810E5">
      <w:pPr>
        <w:spacing w:after="0" w:line="240" w:lineRule="auto"/>
      </w:pPr>
      <w:r w:rsidRPr="001151BF">
        <w:rPr>
          <w:rFonts w:ascii="Arial" w:hAnsi="Arial" w:cs="Arial"/>
          <w:b/>
          <w:bCs/>
          <w:sz w:val="40"/>
        </w:rPr>
        <w:object w:dxaOrig="9145" w:dyaOrig="2245">
          <v:shape id="_x0000_i1027" type="#_x0000_t75" style="width:368.75pt;height:93.9pt" o:ole="">
            <v:imagedata r:id="rId13" o:title=""/>
          </v:shape>
          <o:OLEObject Type="Embed" ProgID="Excel.Sheet.8" ShapeID="_x0000_i1027" DrawAspect="Content" ObjectID="_1594581716" r:id="rId14"/>
        </w:object>
      </w:r>
    </w:p>
    <w:p w:rsidR="005810E5" w:rsidRDefault="005810E5" w:rsidP="005810E5">
      <w:pPr>
        <w:spacing w:after="0" w:line="240" w:lineRule="auto"/>
        <w:jc w:val="center"/>
      </w:pPr>
      <w:r>
        <w:t>P = 0.54</w:t>
      </w:r>
    </w:p>
    <w:p w:rsidR="005810E5" w:rsidRDefault="005810E5" w:rsidP="005810E5">
      <w:pPr>
        <w:spacing w:after="0" w:line="240" w:lineRule="auto"/>
        <w:jc w:val="center"/>
      </w:pPr>
    </w:p>
    <w:p w:rsidR="005810E5" w:rsidRDefault="002808C5" w:rsidP="002808C5">
      <w:pPr>
        <w:spacing w:after="0" w:line="240" w:lineRule="auto"/>
      </w:pPr>
      <w:r>
        <w:t xml:space="preserve">Therefore, there was a statistical trend for the respondents to show a bias in favour of female GP </w:t>
      </w:r>
      <w:r w:rsidR="00510F2F">
        <w:t>responding to the questionnaire</w:t>
      </w:r>
      <w:r>
        <w:t xml:space="preserve"> but this failed to reach statistical significance at p = 0.54.</w:t>
      </w:r>
    </w:p>
    <w:p w:rsidR="005810E5" w:rsidRDefault="005810E5" w:rsidP="005810E5">
      <w:pPr>
        <w:spacing w:after="0" w:line="240" w:lineRule="auto"/>
        <w:jc w:val="center"/>
      </w:pPr>
    </w:p>
    <w:p w:rsidR="005810E5" w:rsidRDefault="005810E5" w:rsidP="005810E5">
      <w:pPr>
        <w:spacing w:after="0" w:line="240" w:lineRule="auto"/>
        <w:jc w:val="center"/>
      </w:pPr>
    </w:p>
    <w:p w:rsidR="005810E5" w:rsidRDefault="005810E5" w:rsidP="005810E5">
      <w:pPr>
        <w:spacing w:after="0" w:line="240" w:lineRule="auto"/>
        <w:jc w:val="center"/>
      </w:pPr>
    </w:p>
    <w:p w:rsidR="005810E5" w:rsidRDefault="005810E5" w:rsidP="005810E5">
      <w:pPr>
        <w:spacing w:after="0" w:line="240" w:lineRule="auto"/>
        <w:jc w:val="center"/>
      </w:pPr>
    </w:p>
    <w:p w:rsidR="005810E5" w:rsidRDefault="005810E5" w:rsidP="005810E5">
      <w:pPr>
        <w:spacing w:after="0" w:line="240" w:lineRule="auto"/>
        <w:jc w:val="center"/>
      </w:pPr>
    </w:p>
    <w:p w:rsidR="005810E5" w:rsidRDefault="005810E5" w:rsidP="005810E5">
      <w:pPr>
        <w:spacing w:after="0" w:line="240" w:lineRule="auto"/>
        <w:jc w:val="center"/>
      </w:pPr>
    </w:p>
    <w:p w:rsidR="005810E5" w:rsidRDefault="005810E5" w:rsidP="005810E5">
      <w:pPr>
        <w:spacing w:after="0" w:line="240" w:lineRule="auto"/>
        <w:jc w:val="center"/>
      </w:pPr>
    </w:p>
    <w:p w:rsidR="005810E5" w:rsidRDefault="005810E5" w:rsidP="005810E5">
      <w:pPr>
        <w:spacing w:after="0" w:line="240" w:lineRule="auto"/>
        <w:jc w:val="center"/>
      </w:pPr>
    </w:p>
    <w:p w:rsidR="006A513E" w:rsidRDefault="006A513E" w:rsidP="005810E5">
      <w:pPr>
        <w:spacing w:after="0" w:line="240" w:lineRule="auto"/>
        <w:jc w:val="center"/>
      </w:pPr>
    </w:p>
    <w:p w:rsidR="0092579B" w:rsidRDefault="0092579B" w:rsidP="005810E5">
      <w:pPr>
        <w:spacing w:after="0" w:line="240" w:lineRule="auto"/>
      </w:pPr>
    </w:p>
    <w:p w:rsidR="0092579B" w:rsidRDefault="0092579B" w:rsidP="005810E5">
      <w:pPr>
        <w:spacing w:after="0" w:line="240" w:lineRule="auto"/>
      </w:pPr>
    </w:p>
    <w:sectPr w:rsidR="0092579B" w:rsidSect="00A40FD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968" w:rsidRDefault="00920968" w:rsidP="00036F78">
      <w:pPr>
        <w:spacing w:after="0" w:line="240" w:lineRule="auto"/>
      </w:pPr>
      <w:r>
        <w:separator/>
      </w:r>
    </w:p>
  </w:endnote>
  <w:endnote w:type="continuationSeparator" w:id="0">
    <w:p w:rsidR="00920968" w:rsidRDefault="00920968" w:rsidP="00036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968" w:rsidRDefault="00920968" w:rsidP="00036F78">
      <w:pPr>
        <w:spacing w:after="0" w:line="240" w:lineRule="auto"/>
      </w:pPr>
      <w:r>
        <w:separator/>
      </w:r>
    </w:p>
  </w:footnote>
  <w:footnote w:type="continuationSeparator" w:id="0">
    <w:p w:rsidR="00920968" w:rsidRDefault="00920968" w:rsidP="00036F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55B96"/>
    <w:multiLevelType w:val="hybridMultilevel"/>
    <w:tmpl w:val="2C54FF24"/>
    <w:lvl w:ilvl="0" w:tplc="E4D2D9AC">
      <w:start w:val="1"/>
      <w:numFmt w:val="decimal"/>
      <w:pStyle w:val="numbering1"/>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447C0"/>
    <w:multiLevelType w:val="hybridMultilevel"/>
    <w:tmpl w:val="BCF8EA4A"/>
    <w:lvl w:ilvl="0" w:tplc="02748422">
      <w:start w:val="1"/>
      <w:numFmt w:val="lowerRoman"/>
      <w:pStyle w:val="numberingi"/>
      <w:lvlText w:val="%1."/>
      <w:lvlJc w:val="left"/>
      <w:pPr>
        <w:tabs>
          <w:tab w:val="num" w:pos="357"/>
        </w:tabs>
        <w:ind w:left="357" w:hanging="35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
    <w:nsid w:val="66C26ED3"/>
    <w:multiLevelType w:val="hybridMultilevel"/>
    <w:tmpl w:val="E24ABE0E"/>
    <w:lvl w:ilvl="0" w:tplc="54386C5E">
      <w:start w:val="1"/>
      <w:numFmt w:val="decimal"/>
      <w:pStyle w:val="figcaption"/>
      <w:lvlText w:val="Figure %1."/>
      <w:lvlJc w:val="left"/>
      <w:pPr>
        <w:ind w:left="360" w:hanging="360"/>
      </w:pPr>
      <w:rPr>
        <w:rFonts w:ascii="Arial Black" w:hAnsi="Arial Black" w:hint="default"/>
        <w:b w:val="0"/>
        <w:i w:val="0"/>
        <w:sz w:val="16"/>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72BE3FB1"/>
    <w:multiLevelType w:val="hybridMultilevel"/>
    <w:tmpl w:val="EBBE6776"/>
    <w:lvl w:ilvl="0" w:tplc="69FC7DC2">
      <w:start w:val="1"/>
      <w:numFmt w:val="lowerLetter"/>
      <w:pStyle w:val="numberinga"/>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36F78"/>
    <w:rsid w:val="00036F78"/>
    <w:rsid w:val="0007455D"/>
    <w:rsid w:val="00126056"/>
    <w:rsid w:val="00144449"/>
    <w:rsid w:val="00235E77"/>
    <w:rsid w:val="0024102D"/>
    <w:rsid w:val="00276D99"/>
    <w:rsid w:val="002808C5"/>
    <w:rsid w:val="00386B92"/>
    <w:rsid w:val="003E7C85"/>
    <w:rsid w:val="00510F2F"/>
    <w:rsid w:val="005810E5"/>
    <w:rsid w:val="00663B7E"/>
    <w:rsid w:val="006A513E"/>
    <w:rsid w:val="007177D9"/>
    <w:rsid w:val="007E7EC8"/>
    <w:rsid w:val="0081698A"/>
    <w:rsid w:val="00841CCC"/>
    <w:rsid w:val="00920968"/>
    <w:rsid w:val="0092579B"/>
    <w:rsid w:val="00926A14"/>
    <w:rsid w:val="00A40FD4"/>
    <w:rsid w:val="00AC3B34"/>
    <w:rsid w:val="00B225D4"/>
    <w:rsid w:val="00BA3EBF"/>
    <w:rsid w:val="00CA5192"/>
    <w:rsid w:val="00D734DD"/>
    <w:rsid w:val="00E54D2C"/>
    <w:rsid w:val="00F2796C"/>
    <w:rsid w:val="00F979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78"/>
  </w:style>
  <w:style w:type="paragraph" w:styleId="Heading1">
    <w:name w:val="heading 1"/>
    <w:basedOn w:val="Normal"/>
    <w:next w:val="Normal"/>
    <w:link w:val="Heading1Char"/>
    <w:uiPriority w:val="9"/>
    <w:qFormat/>
    <w:rsid w:val="00841CC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841C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rsid w:val="00841CCC"/>
    <w:pPr>
      <w:spacing w:before="360" w:after="180" w:line="240" w:lineRule="auto"/>
      <w:contextualSpacing/>
    </w:pPr>
    <w:rPr>
      <w:rFonts w:ascii="Arial" w:eastAsia="PMingLiU" w:hAnsi="Arial" w:cs="Times New Roman"/>
      <w:lang w:eastAsia="de-AT"/>
    </w:rPr>
  </w:style>
  <w:style w:type="paragraph" w:customStyle="1" w:styleId="ChapterTitle">
    <w:name w:val="ChapterTitle"/>
    <w:basedOn w:val="Normal"/>
    <w:next w:val="Normal"/>
    <w:rsid w:val="00841CCC"/>
    <w:pPr>
      <w:spacing w:before="360" w:after="600" w:line="288" w:lineRule="auto"/>
    </w:pPr>
    <w:rPr>
      <w:rFonts w:ascii="Arial Black" w:eastAsia="PMingLiU" w:hAnsi="Arial Black" w:cs="Times New Roman"/>
      <w:b/>
      <w:sz w:val="32"/>
      <w:szCs w:val="24"/>
      <w:lang w:val="en-US" w:eastAsia="de-AT"/>
    </w:rPr>
  </w:style>
  <w:style w:type="character" w:styleId="EndnoteReference">
    <w:name w:val="endnote reference"/>
    <w:basedOn w:val="DefaultParagraphFont"/>
    <w:uiPriority w:val="99"/>
    <w:semiHidden/>
    <w:unhideWhenUsed/>
    <w:rsid w:val="00841CCC"/>
    <w:rPr>
      <w:vertAlign w:val="superscript"/>
    </w:rPr>
  </w:style>
  <w:style w:type="paragraph" w:styleId="EndnoteText">
    <w:name w:val="endnote text"/>
    <w:basedOn w:val="Normal"/>
    <w:link w:val="EndnoteTextChar"/>
    <w:uiPriority w:val="99"/>
    <w:unhideWhenUsed/>
    <w:rsid w:val="00841CCC"/>
    <w:pPr>
      <w:spacing w:after="0" w:line="240" w:lineRule="auto"/>
    </w:pPr>
    <w:rPr>
      <w:sz w:val="20"/>
      <w:szCs w:val="20"/>
    </w:rPr>
  </w:style>
  <w:style w:type="character" w:customStyle="1" w:styleId="EndnoteTextChar">
    <w:name w:val="Endnote Text Char"/>
    <w:basedOn w:val="DefaultParagraphFont"/>
    <w:link w:val="EndnoteText"/>
    <w:uiPriority w:val="99"/>
    <w:rsid w:val="00841CCC"/>
    <w:rPr>
      <w:sz w:val="20"/>
      <w:szCs w:val="20"/>
    </w:rPr>
  </w:style>
  <w:style w:type="paragraph" w:customStyle="1" w:styleId="figcaption">
    <w:name w:val="figcaption"/>
    <w:basedOn w:val="Normal"/>
    <w:next w:val="Normal"/>
    <w:rsid w:val="00841CCC"/>
    <w:pPr>
      <w:numPr>
        <w:numId w:val="1"/>
      </w:numPr>
      <w:tabs>
        <w:tab w:val="left" w:pos="703"/>
        <w:tab w:val="left" w:pos="794"/>
        <w:tab w:val="left" w:pos="879"/>
      </w:tabs>
      <w:autoSpaceDE w:val="0"/>
      <w:autoSpaceDN w:val="0"/>
      <w:adjustRightInd w:val="0"/>
      <w:spacing w:before="80" w:after="180" w:line="240" w:lineRule="auto"/>
    </w:pPr>
    <w:rPr>
      <w:rFonts w:ascii="Palatino Linotype" w:eastAsia="PMingLiU" w:hAnsi="Palatino Linotype" w:cs="Times New Roman"/>
      <w:sz w:val="16"/>
      <w:szCs w:val="18"/>
      <w:lang w:eastAsia="de-AT"/>
    </w:rPr>
  </w:style>
  <w:style w:type="paragraph" w:customStyle="1" w:styleId="Figures">
    <w:name w:val="Figures"/>
    <w:basedOn w:val="Normal"/>
    <w:rsid w:val="00841CCC"/>
    <w:pPr>
      <w:spacing w:before="180" w:after="0" w:line="240" w:lineRule="auto"/>
      <w:jc w:val="center"/>
    </w:pPr>
    <w:rPr>
      <w:rFonts w:ascii="Palatino Linotype" w:eastAsia="PMingLiU" w:hAnsi="Palatino Linotype" w:cs="Times New Roman"/>
      <w:sz w:val="18"/>
      <w:szCs w:val="24"/>
      <w:lang w:val="en-US" w:eastAsia="de-AT"/>
    </w:rPr>
  </w:style>
  <w:style w:type="character" w:customStyle="1" w:styleId="Heading1Char">
    <w:name w:val="Heading 1 Char"/>
    <w:basedOn w:val="DefaultParagraphFont"/>
    <w:link w:val="Heading1"/>
    <w:uiPriority w:val="9"/>
    <w:rsid w:val="00841CC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41CCC"/>
    <w:rPr>
      <w:rFonts w:asciiTheme="majorHAnsi" w:eastAsiaTheme="majorEastAsia" w:hAnsiTheme="majorHAnsi" w:cstheme="majorBidi"/>
      <w:b/>
      <w:bCs/>
      <w:color w:val="4F81BD" w:themeColor="accent1"/>
      <w:sz w:val="26"/>
      <w:szCs w:val="26"/>
    </w:rPr>
  </w:style>
  <w:style w:type="paragraph" w:customStyle="1" w:styleId="Kewords">
    <w:name w:val="Kewords"/>
    <w:basedOn w:val="Normal"/>
    <w:rsid w:val="00841CCC"/>
    <w:pPr>
      <w:spacing w:before="120" w:after="1200" w:line="240" w:lineRule="auto"/>
    </w:pPr>
    <w:rPr>
      <w:rFonts w:ascii="Palatino Linotype" w:eastAsia="Times New Roman" w:hAnsi="Palatino Linotype" w:cs="Times New Roman"/>
      <w:b/>
      <w:sz w:val="18"/>
      <w:szCs w:val="20"/>
      <w:lang w:eastAsia="de-AT"/>
    </w:rPr>
  </w:style>
  <w:style w:type="paragraph" w:customStyle="1" w:styleId="numbering1">
    <w:name w:val="numbering 1"/>
    <w:basedOn w:val="Normal"/>
    <w:rsid w:val="00841CCC"/>
    <w:pPr>
      <w:numPr>
        <w:numId w:val="2"/>
      </w:numPr>
      <w:spacing w:after="0" w:line="240" w:lineRule="auto"/>
    </w:pPr>
    <w:rPr>
      <w:rFonts w:ascii="Palatino Linotype" w:eastAsia="PMingLiU" w:hAnsi="Palatino Linotype" w:cs="Times New Roman"/>
      <w:sz w:val="18"/>
      <w:szCs w:val="24"/>
      <w:lang w:eastAsia="de-AT"/>
    </w:rPr>
  </w:style>
  <w:style w:type="paragraph" w:customStyle="1" w:styleId="numberinga">
    <w:name w:val="numbering a"/>
    <w:basedOn w:val="Normal"/>
    <w:rsid w:val="00841CCC"/>
    <w:pPr>
      <w:numPr>
        <w:numId w:val="3"/>
      </w:numPr>
      <w:spacing w:after="0" w:line="240" w:lineRule="auto"/>
    </w:pPr>
    <w:rPr>
      <w:rFonts w:ascii="Palatino Linotype" w:eastAsia="PMingLiU" w:hAnsi="Palatino Linotype" w:cs="Times New Roman"/>
      <w:sz w:val="18"/>
      <w:szCs w:val="24"/>
      <w:lang w:eastAsia="de-AT"/>
    </w:rPr>
  </w:style>
  <w:style w:type="paragraph" w:customStyle="1" w:styleId="numberingi">
    <w:name w:val="numbering i"/>
    <w:basedOn w:val="Normal"/>
    <w:rsid w:val="00841CCC"/>
    <w:pPr>
      <w:numPr>
        <w:numId w:val="4"/>
      </w:numPr>
      <w:suppressAutoHyphens/>
      <w:spacing w:after="0" w:line="240" w:lineRule="auto"/>
    </w:pPr>
    <w:rPr>
      <w:rFonts w:ascii="Palatino Linotype" w:eastAsia="DFKai-SB" w:hAnsi="Palatino Linotype" w:cs="Times New Roman"/>
      <w:color w:val="000000"/>
      <w:sz w:val="18"/>
      <w:szCs w:val="18"/>
      <w:lang w:eastAsia="zh-TW"/>
    </w:rPr>
  </w:style>
  <w:style w:type="paragraph" w:customStyle="1" w:styleId="paragraph">
    <w:name w:val="paragraph"/>
    <w:basedOn w:val="Normal"/>
    <w:qFormat/>
    <w:rsid w:val="00841CCC"/>
    <w:pPr>
      <w:spacing w:before="120" w:after="120" w:line="240" w:lineRule="auto"/>
    </w:pPr>
    <w:rPr>
      <w:rFonts w:ascii="Palatino Linotype" w:eastAsia="Times New Roman" w:hAnsi="Palatino Linotype" w:cs="Times New Roman"/>
      <w:sz w:val="18"/>
      <w:szCs w:val="20"/>
      <w:lang w:eastAsia="de-AT"/>
    </w:rPr>
  </w:style>
  <w:style w:type="character" w:styleId="Hyperlink">
    <w:name w:val="Hyperlink"/>
    <w:basedOn w:val="DefaultParagraphFont"/>
    <w:uiPriority w:val="99"/>
    <w:unhideWhenUsed/>
    <w:rsid w:val="00036F78"/>
    <w:rPr>
      <w:color w:val="0000FF"/>
      <w:u w:val="single"/>
    </w:rPr>
  </w:style>
  <w:style w:type="table" w:styleId="TableGrid">
    <w:name w:val="Table Grid"/>
    <w:basedOn w:val="TableNormal"/>
    <w:uiPriority w:val="59"/>
    <w:rsid w:val="00036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80328140247/http://digital.nhs.uk/catalogue/PUB21772.%20Last%20accessed%2013/5/18"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Office_Excel_97-2003_Worksheet2.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Office_Excel_97-2003_Worksheet1.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Office_Excel_97-2003_Worksheet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81EA0-F283-4108-B734-34C98F02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drjaan</dc:creator>
  <cp:lastModifiedBy>drjaan</cp:lastModifiedBy>
  <cp:revision>2</cp:revision>
  <dcterms:created xsi:type="dcterms:W3CDTF">2018-07-31T21:35:00Z</dcterms:created>
  <dcterms:modified xsi:type="dcterms:W3CDTF">2018-07-31T21:35:00Z</dcterms:modified>
</cp:coreProperties>
</file>