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512" w:rsidRDefault="00591512">
      <w:pPr>
        <w:rPr>
          <w:b/>
        </w:rPr>
      </w:pPr>
    </w:p>
    <w:p w:rsidR="00591512" w:rsidRPr="00591512" w:rsidRDefault="00F57E03" w:rsidP="00591512">
      <w:pPr>
        <w:spacing w:line="48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Additional file</w:t>
      </w:r>
    </w:p>
    <w:p w:rsidR="00591512" w:rsidRDefault="00591512" w:rsidP="00591512">
      <w:pPr>
        <w:spacing w:line="480" w:lineRule="auto"/>
        <w:rPr>
          <w:rFonts w:ascii="Times New Roman" w:hAnsi="Times New Roman" w:cs="Times New Roman"/>
          <w:b/>
        </w:rPr>
      </w:pPr>
    </w:p>
    <w:p w:rsidR="00591512" w:rsidRPr="00591512" w:rsidRDefault="00591512" w:rsidP="00591512">
      <w:pPr>
        <w:spacing w:line="480" w:lineRule="auto"/>
        <w:rPr>
          <w:rFonts w:ascii="Times New Roman" w:hAnsi="Times New Roman" w:cs="Times New Roman"/>
          <w:b/>
          <w:sz w:val="20"/>
        </w:rPr>
      </w:pPr>
      <w:r w:rsidRPr="00591512">
        <w:rPr>
          <w:rFonts w:ascii="Times New Roman" w:hAnsi="Times New Roman" w:cs="Times New Roman"/>
          <w:b/>
          <w:sz w:val="20"/>
        </w:rPr>
        <w:t xml:space="preserve">Using ante-natal clinic prevalence data to monitor temporal changes in malaria incidence in a humanitarian setting in the Democratic Republic of Congo </w:t>
      </w:r>
    </w:p>
    <w:p w:rsidR="00591512" w:rsidRPr="00591512" w:rsidRDefault="00591512" w:rsidP="00591512">
      <w:pPr>
        <w:spacing w:line="480" w:lineRule="auto"/>
        <w:rPr>
          <w:rFonts w:ascii="Times New Roman" w:hAnsi="Times New Roman" w:cs="Times New Roman"/>
          <w:sz w:val="20"/>
        </w:rPr>
      </w:pPr>
      <w:r w:rsidRPr="00591512">
        <w:rPr>
          <w:rFonts w:ascii="Times New Roman" w:hAnsi="Times New Roman" w:cs="Times New Roman"/>
          <w:sz w:val="20"/>
        </w:rPr>
        <w:t>Joel Hellewell</w:t>
      </w:r>
      <w:r w:rsidRPr="00591512">
        <w:rPr>
          <w:rFonts w:ascii="Times New Roman" w:hAnsi="Times New Roman" w:cs="Times New Roman"/>
          <w:sz w:val="20"/>
          <w:vertAlign w:val="superscript"/>
        </w:rPr>
        <w:t>1^</w:t>
      </w:r>
      <w:r w:rsidRPr="00591512">
        <w:rPr>
          <w:rFonts w:ascii="Times New Roman" w:hAnsi="Times New Roman" w:cs="Times New Roman"/>
          <w:sz w:val="20"/>
        </w:rPr>
        <w:t xml:space="preserve"> (j.hellewell14@imperial.ac.uk), Patrick Walker</w:t>
      </w:r>
      <w:r w:rsidRPr="00591512">
        <w:rPr>
          <w:rFonts w:ascii="Times New Roman" w:hAnsi="Times New Roman" w:cs="Times New Roman"/>
          <w:sz w:val="20"/>
          <w:vertAlign w:val="superscript"/>
        </w:rPr>
        <w:t xml:space="preserve">1 </w:t>
      </w:r>
      <w:r w:rsidRPr="00591512">
        <w:rPr>
          <w:rFonts w:ascii="Times New Roman" w:hAnsi="Times New Roman" w:cs="Times New Roman"/>
          <w:sz w:val="20"/>
        </w:rPr>
        <w:t xml:space="preserve">(patrick.walker06@imperial.ac.uk), </w:t>
      </w:r>
      <w:proofErr w:type="spellStart"/>
      <w:r w:rsidRPr="00591512">
        <w:rPr>
          <w:rFonts w:ascii="Times New Roman" w:hAnsi="Times New Roman" w:cs="Times New Roman"/>
          <w:sz w:val="20"/>
        </w:rPr>
        <w:t>Azra</w:t>
      </w:r>
      <w:proofErr w:type="spellEnd"/>
      <w:r w:rsidRPr="00591512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591512">
        <w:rPr>
          <w:rFonts w:ascii="Times New Roman" w:hAnsi="Times New Roman" w:cs="Times New Roman"/>
          <w:sz w:val="20"/>
        </w:rPr>
        <w:t>Ghani</w:t>
      </w:r>
      <w:r w:rsidRPr="00591512">
        <w:rPr>
          <w:rFonts w:ascii="Times New Roman" w:hAnsi="Times New Roman" w:cs="Times New Roman"/>
          <w:sz w:val="20"/>
          <w:vertAlign w:val="superscript"/>
        </w:rPr>
        <w:t>1</w:t>
      </w:r>
      <w:proofErr w:type="spellEnd"/>
      <w:r w:rsidRPr="00591512">
        <w:rPr>
          <w:rFonts w:ascii="Times New Roman" w:hAnsi="Times New Roman" w:cs="Times New Roman"/>
          <w:sz w:val="20"/>
          <w:vertAlign w:val="superscript"/>
        </w:rPr>
        <w:t xml:space="preserve"> </w:t>
      </w:r>
      <w:r w:rsidRPr="00591512">
        <w:rPr>
          <w:rFonts w:ascii="Times New Roman" w:hAnsi="Times New Roman" w:cs="Times New Roman"/>
          <w:sz w:val="20"/>
        </w:rPr>
        <w:t>(a.ghani@imperial.ac.</w:t>
      </w:r>
      <w:bookmarkStart w:id="0" w:name="_GoBack"/>
      <w:bookmarkEnd w:id="0"/>
      <w:r w:rsidRPr="00591512">
        <w:rPr>
          <w:rFonts w:ascii="Times New Roman" w:hAnsi="Times New Roman" w:cs="Times New Roman"/>
          <w:sz w:val="20"/>
        </w:rPr>
        <w:t>uk), Bhargavi Rao</w:t>
      </w:r>
      <w:r w:rsidRPr="00591512">
        <w:rPr>
          <w:rFonts w:ascii="Times New Roman" w:hAnsi="Times New Roman" w:cs="Times New Roman"/>
          <w:sz w:val="20"/>
          <w:vertAlign w:val="superscript"/>
        </w:rPr>
        <w:t xml:space="preserve">2* </w:t>
      </w:r>
      <w:r w:rsidRPr="00591512">
        <w:rPr>
          <w:rFonts w:ascii="Times New Roman" w:hAnsi="Times New Roman" w:cs="Times New Roman"/>
          <w:sz w:val="20"/>
        </w:rPr>
        <w:t>(bhargavi.rao@london.msf.org), Thomas S. Churcher</w:t>
      </w:r>
      <w:r w:rsidRPr="00591512">
        <w:rPr>
          <w:rFonts w:ascii="Times New Roman" w:hAnsi="Times New Roman" w:cs="Times New Roman"/>
          <w:sz w:val="20"/>
          <w:vertAlign w:val="superscript"/>
        </w:rPr>
        <w:t xml:space="preserve">1* </w:t>
      </w:r>
      <w:r w:rsidRPr="00591512">
        <w:rPr>
          <w:rFonts w:ascii="Times New Roman" w:hAnsi="Times New Roman" w:cs="Times New Roman"/>
          <w:sz w:val="20"/>
        </w:rPr>
        <w:t>(thomas.churcher@imperial.ac.uk)</w:t>
      </w:r>
    </w:p>
    <w:p w:rsidR="00591512" w:rsidRPr="00591512" w:rsidRDefault="00591512" w:rsidP="00591512">
      <w:pPr>
        <w:spacing w:line="480" w:lineRule="auto"/>
        <w:rPr>
          <w:rFonts w:ascii="Times New Roman" w:hAnsi="Times New Roman" w:cs="Times New Roman"/>
          <w:b/>
          <w:sz w:val="20"/>
          <w:u w:val="single"/>
        </w:rPr>
      </w:pPr>
    </w:p>
    <w:p w:rsidR="00591512" w:rsidRPr="00591512" w:rsidRDefault="00591512" w:rsidP="00591512">
      <w:pPr>
        <w:spacing w:line="480" w:lineRule="auto"/>
        <w:rPr>
          <w:rFonts w:ascii="Times New Roman" w:hAnsi="Times New Roman" w:cs="Times New Roman"/>
          <w:sz w:val="20"/>
        </w:rPr>
      </w:pPr>
      <w:r w:rsidRPr="00591512">
        <w:rPr>
          <w:rFonts w:ascii="Times New Roman" w:hAnsi="Times New Roman" w:cs="Times New Roman"/>
          <w:sz w:val="20"/>
          <w:vertAlign w:val="superscript"/>
        </w:rPr>
        <w:t>1</w:t>
      </w:r>
      <w:r w:rsidRPr="00591512">
        <w:rPr>
          <w:rFonts w:ascii="Times New Roman" w:hAnsi="Times New Roman" w:cs="Times New Roman"/>
          <w:sz w:val="20"/>
        </w:rPr>
        <w:t xml:space="preserve"> MRC Centre for Outbreak Analysis and Modelling, Imperial College London, London, United Kingdom. </w:t>
      </w:r>
    </w:p>
    <w:p w:rsidR="00591512" w:rsidRPr="00591512" w:rsidRDefault="00591512" w:rsidP="00591512">
      <w:pPr>
        <w:spacing w:line="480" w:lineRule="auto"/>
        <w:rPr>
          <w:rFonts w:ascii="Times New Roman" w:hAnsi="Times New Roman" w:cs="Times New Roman"/>
          <w:sz w:val="20"/>
        </w:rPr>
      </w:pPr>
      <w:r w:rsidRPr="00591512">
        <w:rPr>
          <w:rFonts w:ascii="Times New Roman" w:hAnsi="Times New Roman" w:cs="Times New Roman"/>
          <w:sz w:val="20"/>
          <w:vertAlign w:val="superscript"/>
        </w:rPr>
        <w:t xml:space="preserve">2 </w:t>
      </w:r>
      <w:r w:rsidRPr="00591512">
        <w:rPr>
          <w:rFonts w:ascii="Times New Roman" w:hAnsi="Times New Roman" w:cs="Times New Roman"/>
          <w:sz w:val="20"/>
        </w:rPr>
        <w:t xml:space="preserve">Manson Unit, </w:t>
      </w:r>
      <w:proofErr w:type="spellStart"/>
      <w:r w:rsidRPr="00591512">
        <w:rPr>
          <w:rFonts w:ascii="Times New Roman" w:hAnsi="Times New Roman" w:cs="Times New Roman"/>
          <w:sz w:val="20"/>
        </w:rPr>
        <w:t>Médecins</w:t>
      </w:r>
      <w:proofErr w:type="spellEnd"/>
      <w:r w:rsidRPr="00591512">
        <w:rPr>
          <w:rFonts w:ascii="Times New Roman" w:hAnsi="Times New Roman" w:cs="Times New Roman"/>
          <w:sz w:val="20"/>
        </w:rPr>
        <w:t xml:space="preserve"> Sans </w:t>
      </w:r>
      <w:proofErr w:type="spellStart"/>
      <w:r w:rsidRPr="00591512">
        <w:rPr>
          <w:rFonts w:ascii="Times New Roman" w:hAnsi="Times New Roman" w:cs="Times New Roman"/>
          <w:sz w:val="20"/>
        </w:rPr>
        <w:t>Frontières</w:t>
      </w:r>
      <w:proofErr w:type="spellEnd"/>
      <w:r w:rsidRPr="00591512">
        <w:rPr>
          <w:rFonts w:ascii="Times New Roman" w:hAnsi="Times New Roman" w:cs="Times New Roman"/>
          <w:sz w:val="20"/>
        </w:rPr>
        <w:t xml:space="preserve"> (Operational Centre Amsterdam), London, United </w:t>
      </w:r>
      <w:proofErr w:type="spellStart"/>
      <w:r w:rsidRPr="00591512">
        <w:rPr>
          <w:rFonts w:ascii="Times New Roman" w:hAnsi="Times New Roman" w:cs="Times New Roman"/>
          <w:sz w:val="20"/>
        </w:rPr>
        <w:t>Kingdon</w:t>
      </w:r>
      <w:proofErr w:type="spellEnd"/>
      <w:r w:rsidRPr="00591512">
        <w:rPr>
          <w:rFonts w:ascii="Times New Roman" w:hAnsi="Times New Roman" w:cs="Times New Roman"/>
          <w:sz w:val="20"/>
        </w:rPr>
        <w:t xml:space="preserve">. </w:t>
      </w:r>
    </w:p>
    <w:p w:rsidR="00591512" w:rsidRPr="00591512" w:rsidRDefault="00591512" w:rsidP="00591512">
      <w:pPr>
        <w:spacing w:line="480" w:lineRule="auto"/>
        <w:rPr>
          <w:rFonts w:ascii="Times New Roman" w:hAnsi="Times New Roman" w:cs="Times New Roman"/>
          <w:sz w:val="20"/>
        </w:rPr>
      </w:pPr>
      <w:r w:rsidRPr="00591512">
        <w:rPr>
          <w:rFonts w:ascii="Times New Roman" w:hAnsi="Times New Roman" w:cs="Times New Roman"/>
          <w:sz w:val="20"/>
          <w:vertAlign w:val="superscript"/>
        </w:rPr>
        <w:t>^</w:t>
      </w:r>
      <w:r w:rsidRPr="00591512">
        <w:rPr>
          <w:rFonts w:ascii="Times New Roman" w:hAnsi="Times New Roman" w:cs="Times New Roman"/>
          <w:sz w:val="20"/>
        </w:rPr>
        <w:t>Corresponding author</w:t>
      </w:r>
    </w:p>
    <w:p w:rsidR="00591512" w:rsidRPr="00591512" w:rsidRDefault="00591512" w:rsidP="00591512">
      <w:pPr>
        <w:spacing w:line="480" w:lineRule="auto"/>
        <w:rPr>
          <w:rFonts w:ascii="Times New Roman" w:hAnsi="Times New Roman" w:cs="Times New Roman"/>
          <w:sz w:val="20"/>
        </w:rPr>
      </w:pPr>
      <w:r w:rsidRPr="00591512">
        <w:rPr>
          <w:rFonts w:ascii="Times New Roman" w:hAnsi="Times New Roman" w:cs="Times New Roman"/>
          <w:sz w:val="20"/>
          <w:vertAlign w:val="superscript"/>
        </w:rPr>
        <w:t>*</w:t>
      </w:r>
      <w:r w:rsidRPr="00591512">
        <w:rPr>
          <w:rFonts w:ascii="Times New Roman" w:hAnsi="Times New Roman" w:cs="Times New Roman"/>
          <w:sz w:val="20"/>
        </w:rPr>
        <w:t>T.C. and B.R. are shared last authorship</w:t>
      </w:r>
    </w:p>
    <w:p w:rsidR="00591512" w:rsidRDefault="00591512">
      <w:pPr>
        <w:rPr>
          <w:b/>
        </w:rPr>
        <w:sectPr w:rsidR="00591512" w:rsidSect="009F7D18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:rsidR="00591512" w:rsidRDefault="00591512">
      <w:pPr>
        <w:rPr>
          <w:b/>
        </w:rPr>
      </w:pPr>
    </w:p>
    <w:p w:rsidR="00775FF7" w:rsidRPr="00675D6A" w:rsidRDefault="00775FF7">
      <w:pPr>
        <w:rPr>
          <w:b/>
        </w:rPr>
      </w:pPr>
      <w:r w:rsidRPr="00675D6A">
        <w:rPr>
          <w:b/>
        </w:rPr>
        <w:t xml:space="preserve">Table S1: A table of the values for 4 different information </w:t>
      </w:r>
      <w:proofErr w:type="gramStart"/>
      <w:r w:rsidRPr="00675D6A">
        <w:rPr>
          <w:b/>
        </w:rPr>
        <w:t>criterion</w:t>
      </w:r>
      <w:proofErr w:type="gramEnd"/>
      <w:r w:rsidRPr="00675D6A">
        <w:rPr>
          <w:b/>
        </w:rPr>
        <w:t xml:space="preserve"> when fitting VAR models with different lag orders.</w:t>
      </w:r>
      <w:r w:rsidR="00675D6A" w:rsidRPr="00675D6A">
        <w:rPr>
          <w:b/>
        </w:rPr>
        <w:t xml:space="preserve"> In the manuscript AIC is used to choose a lag order of 3. Below the DLNM model “NENL” is fit to different lag orders to show how the choice of lag order affects the results presented in the manuscript. </w:t>
      </w:r>
    </w:p>
    <w:p w:rsidR="00775FF7" w:rsidRDefault="00775FF7"/>
    <w:tbl>
      <w:tblPr>
        <w:tblStyle w:val="TableGrid"/>
        <w:tblW w:w="0" w:type="auto"/>
        <w:tblLook w:val="04A0"/>
      </w:tblPr>
      <w:tblGrid>
        <w:gridCol w:w="1802"/>
        <w:gridCol w:w="1802"/>
        <w:gridCol w:w="1802"/>
        <w:gridCol w:w="1802"/>
        <w:gridCol w:w="1802"/>
      </w:tblGrid>
      <w:tr w:rsidR="00775FF7" w:rsidTr="00F827FC">
        <w:tc>
          <w:tcPr>
            <w:tcW w:w="1802" w:type="dxa"/>
          </w:tcPr>
          <w:p w:rsidR="00775FF7" w:rsidRDefault="00775FF7" w:rsidP="00F827FC"/>
        </w:tc>
        <w:tc>
          <w:tcPr>
            <w:tcW w:w="1802" w:type="dxa"/>
          </w:tcPr>
          <w:p w:rsidR="00775FF7" w:rsidRDefault="00775FF7" w:rsidP="00F827FC">
            <w:r>
              <w:t>Lag order = 1</w:t>
            </w:r>
          </w:p>
        </w:tc>
        <w:tc>
          <w:tcPr>
            <w:tcW w:w="1802" w:type="dxa"/>
          </w:tcPr>
          <w:p w:rsidR="00775FF7" w:rsidRDefault="00775FF7" w:rsidP="00F827FC">
            <w:r>
              <w:t>Lag order = 2</w:t>
            </w:r>
          </w:p>
        </w:tc>
        <w:tc>
          <w:tcPr>
            <w:tcW w:w="1802" w:type="dxa"/>
          </w:tcPr>
          <w:p w:rsidR="00775FF7" w:rsidRDefault="00775FF7" w:rsidP="00F827FC">
            <w:r>
              <w:t>Lag order = 3</w:t>
            </w:r>
          </w:p>
        </w:tc>
        <w:tc>
          <w:tcPr>
            <w:tcW w:w="1802" w:type="dxa"/>
          </w:tcPr>
          <w:p w:rsidR="00775FF7" w:rsidRDefault="00775FF7" w:rsidP="00F827FC">
            <w:r>
              <w:t>Lag order = 4</w:t>
            </w:r>
          </w:p>
        </w:tc>
      </w:tr>
      <w:tr w:rsidR="00775FF7" w:rsidTr="00F827FC">
        <w:tc>
          <w:tcPr>
            <w:tcW w:w="1802" w:type="dxa"/>
          </w:tcPr>
          <w:p w:rsidR="00775FF7" w:rsidRDefault="00775FF7" w:rsidP="00F827FC">
            <w:r>
              <w:t>Akaike information criterion (AIC)</w:t>
            </w:r>
          </w:p>
        </w:tc>
        <w:tc>
          <w:tcPr>
            <w:tcW w:w="1802" w:type="dxa"/>
          </w:tcPr>
          <w:p w:rsidR="00775FF7" w:rsidRDefault="00775FF7" w:rsidP="00F827FC">
            <w:r>
              <w:t>-6.53649</w:t>
            </w:r>
          </w:p>
        </w:tc>
        <w:tc>
          <w:tcPr>
            <w:tcW w:w="1802" w:type="dxa"/>
          </w:tcPr>
          <w:p w:rsidR="00775FF7" w:rsidRDefault="00775FF7" w:rsidP="00F827FC">
            <w:r>
              <w:t>-6.55116</w:t>
            </w:r>
          </w:p>
        </w:tc>
        <w:tc>
          <w:tcPr>
            <w:tcW w:w="1802" w:type="dxa"/>
          </w:tcPr>
          <w:p w:rsidR="00775FF7" w:rsidRPr="00E72637" w:rsidRDefault="00775FF7" w:rsidP="00F827FC">
            <w:pPr>
              <w:rPr>
                <w:b/>
              </w:rPr>
            </w:pPr>
            <w:r w:rsidRPr="00E72637">
              <w:rPr>
                <w:b/>
              </w:rPr>
              <w:t>-6.58123</w:t>
            </w:r>
          </w:p>
        </w:tc>
        <w:tc>
          <w:tcPr>
            <w:tcW w:w="1802" w:type="dxa"/>
          </w:tcPr>
          <w:p w:rsidR="00775FF7" w:rsidRDefault="00775FF7" w:rsidP="00F827FC">
            <w:r>
              <w:t>-6.57792</w:t>
            </w:r>
          </w:p>
        </w:tc>
      </w:tr>
      <w:tr w:rsidR="00775FF7" w:rsidTr="00F827FC">
        <w:tc>
          <w:tcPr>
            <w:tcW w:w="1802" w:type="dxa"/>
          </w:tcPr>
          <w:p w:rsidR="00775FF7" w:rsidRDefault="00775FF7" w:rsidP="00F827FC">
            <w:r>
              <w:t>Bayesian information criterion (BIC)</w:t>
            </w:r>
          </w:p>
        </w:tc>
        <w:tc>
          <w:tcPr>
            <w:tcW w:w="1802" w:type="dxa"/>
          </w:tcPr>
          <w:p w:rsidR="00775FF7" w:rsidRPr="00D20009" w:rsidRDefault="00775FF7" w:rsidP="00F827FC">
            <w:pPr>
              <w:rPr>
                <w:b/>
              </w:rPr>
            </w:pPr>
            <w:r w:rsidRPr="00D20009">
              <w:rPr>
                <w:b/>
              </w:rPr>
              <w:t>-6.33772</w:t>
            </w:r>
          </w:p>
        </w:tc>
        <w:tc>
          <w:tcPr>
            <w:tcW w:w="1802" w:type="dxa"/>
          </w:tcPr>
          <w:p w:rsidR="00775FF7" w:rsidRDefault="00775FF7" w:rsidP="00F827FC">
            <w:r>
              <w:t>-6.33085</w:t>
            </w:r>
          </w:p>
        </w:tc>
        <w:tc>
          <w:tcPr>
            <w:tcW w:w="1802" w:type="dxa"/>
          </w:tcPr>
          <w:p w:rsidR="00775FF7" w:rsidRDefault="00775FF7" w:rsidP="00F827FC">
            <w:r>
              <w:t>-6.29626</w:t>
            </w:r>
          </w:p>
        </w:tc>
        <w:tc>
          <w:tcPr>
            <w:tcW w:w="1802" w:type="dxa"/>
          </w:tcPr>
          <w:p w:rsidR="00775FF7" w:rsidRDefault="00775FF7" w:rsidP="00F827FC">
            <w:r>
              <w:t>-6.232539</w:t>
            </w:r>
          </w:p>
        </w:tc>
      </w:tr>
      <w:tr w:rsidR="00775FF7" w:rsidTr="00F827FC">
        <w:tc>
          <w:tcPr>
            <w:tcW w:w="1802" w:type="dxa"/>
          </w:tcPr>
          <w:p w:rsidR="00775FF7" w:rsidRDefault="00775FF7" w:rsidP="00F827FC">
            <w:r>
              <w:t>Final prediction error (FPE)</w:t>
            </w:r>
          </w:p>
        </w:tc>
        <w:tc>
          <w:tcPr>
            <w:tcW w:w="1802" w:type="dxa"/>
          </w:tcPr>
          <w:p w:rsidR="00775FF7" w:rsidRDefault="00775FF7" w:rsidP="00F827FC">
            <w:r>
              <w:t>0.00145</w:t>
            </w:r>
          </w:p>
        </w:tc>
        <w:tc>
          <w:tcPr>
            <w:tcW w:w="1802" w:type="dxa"/>
          </w:tcPr>
          <w:p w:rsidR="00775FF7" w:rsidRDefault="00775FF7" w:rsidP="00F827FC">
            <w:r>
              <w:t>0.00143</w:t>
            </w:r>
          </w:p>
        </w:tc>
        <w:tc>
          <w:tcPr>
            <w:tcW w:w="1802" w:type="dxa"/>
          </w:tcPr>
          <w:p w:rsidR="00775FF7" w:rsidRPr="00D20009" w:rsidRDefault="00775FF7" w:rsidP="00F827FC">
            <w:pPr>
              <w:rPr>
                <w:b/>
              </w:rPr>
            </w:pPr>
            <w:r w:rsidRPr="00D20009">
              <w:rPr>
                <w:b/>
              </w:rPr>
              <w:t>0.001387</w:t>
            </w:r>
          </w:p>
        </w:tc>
        <w:tc>
          <w:tcPr>
            <w:tcW w:w="1802" w:type="dxa"/>
          </w:tcPr>
          <w:p w:rsidR="00775FF7" w:rsidRDefault="00775FF7" w:rsidP="00F827FC">
            <w:r>
              <w:t>0.001392</w:t>
            </w:r>
          </w:p>
        </w:tc>
      </w:tr>
      <w:tr w:rsidR="00775FF7" w:rsidTr="00F827FC">
        <w:tc>
          <w:tcPr>
            <w:tcW w:w="1802" w:type="dxa"/>
          </w:tcPr>
          <w:p w:rsidR="00775FF7" w:rsidRDefault="00775FF7" w:rsidP="00F827FC">
            <w:r>
              <w:t>Schwarz criterion (SC)</w:t>
            </w:r>
          </w:p>
        </w:tc>
        <w:tc>
          <w:tcPr>
            <w:tcW w:w="1802" w:type="dxa"/>
          </w:tcPr>
          <w:p w:rsidR="00775FF7" w:rsidRPr="00D20009" w:rsidRDefault="00775FF7" w:rsidP="00F827FC">
            <w:pPr>
              <w:rPr>
                <w:b/>
              </w:rPr>
            </w:pPr>
            <w:r w:rsidRPr="00D20009">
              <w:rPr>
                <w:b/>
              </w:rPr>
              <w:t>-6.09881</w:t>
            </w:r>
          </w:p>
        </w:tc>
        <w:tc>
          <w:tcPr>
            <w:tcW w:w="1802" w:type="dxa"/>
          </w:tcPr>
          <w:p w:rsidR="00775FF7" w:rsidRDefault="00775FF7" w:rsidP="00F827FC">
            <w:r>
              <w:t>-6.05512</w:t>
            </w:r>
          </w:p>
        </w:tc>
        <w:tc>
          <w:tcPr>
            <w:tcW w:w="1802" w:type="dxa"/>
          </w:tcPr>
          <w:p w:rsidR="00775FF7" w:rsidRDefault="00775FF7" w:rsidP="00F827FC">
            <w:r>
              <w:t>-6.02684</w:t>
            </w:r>
          </w:p>
        </w:tc>
        <w:tc>
          <w:tcPr>
            <w:tcW w:w="1802" w:type="dxa"/>
          </w:tcPr>
          <w:p w:rsidR="00775FF7" w:rsidRDefault="00775FF7" w:rsidP="00F827FC">
            <w:r>
              <w:t>-5.96516</w:t>
            </w:r>
          </w:p>
        </w:tc>
      </w:tr>
    </w:tbl>
    <w:p w:rsidR="00EE3D30" w:rsidRDefault="00F57E03"/>
    <w:p w:rsidR="00BD4D35" w:rsidRDefault="00BD4D35"/>
    <w:p w:rsidR="00D441C1" w:rsidRPr="00D441C1" w:rsidRDefault="00BD4D35">
      <w:pPr>
        <w:rPr>
          <w:b/>
        </w:rPr>
      </w:pPr>
      <w:r w:rsidRPr="00D441C1">
        <w:rPr>
          <w:b/>
        </w:rPr>
        <w:t>Fig</w:t>
      </w:r>
      <w:r w:rsidR="00D441C1" w:rsidRPr="00D441C1">
        <w:rPr>
          <w:b/>
        </w:rPr>
        <w:t>ure S2: A copy of Figure 4 when using 1 month of previous data on the clinical incidence in under 5s to predict future ANC prevalence</w:t>
      </w:r>
    </w:p>
    <w:p w:rsidR="0025041E" w:rsidRDefault="0025041E">
      <w:r w:rsidRPr="0025041E">
        <w:rPr>
          <w:noProof/>
          <w:lang w:val="en-US"/>
        </w:rPr>
        <w:drawing>
          <wp:inline distT="0" distB="0" distL="0" distR="0">
            <wp:extent cx="5727700" cy="3014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Default="00D441C1" w:rsidP="00D441C1">
      <w:pPr>
        <w:rPr>
          <w:b/>
        </w:rPr>
      </w:pPr>
    </w:p>
    <w:p w:rsidR="00D441C1" w:rsidRPr="00D441C1" w:rsidRDefault="00D441C1" w:rsidP="00D441C1">
      <w:pPr>
        <w:rPr>
          <w:b/>
        </w:rPr>
      </w:pPr>
      <w:r w:rsidRPr="00D441C1">
        <w:rPr>
          <w:b/>
        </w:rPr>
        <w:lastRenderedPageBreak/>
        <w:t>Figure S</w:t>
      </w:r>
      <w:r>
        <w:rPr>
          <w:b/>
        </w:rPr>
        <w:t>3</w:t>
      </w:r>
      <w:r w:rsidRPr="00D441C1">
        <w:rPr>
          <w:b/>
        </w:rPr>
        <w:t xml:space="preserve">: A copy of Figure 4 when using </w:t>
      </w:r>
      <w:r>
        <w:rPr>
          <w:b/>
        </w:rPr>
        <w:t>2</w:t>
      </w:r>
      <w:r w:rsidRPr="00D441C1">
        <w:rPr>
          <w:b/>
        </w:rPr>
        <w:t xml:space="preserve"> month</w:t>
      </w:r>
      <w:r>
        <w:rPr>
          <w:b/>
        </w:rPr>
        <w:t>s</w:t>
      </w:r>
      <w:r w:rsidRPr="00D441C1">
        <w:rPr>
          <w:b/>
        </w:rPr>
        <w:t xml:space="preserve"> of previous data on the clinical incidence in under 5s to predict future ANC prevalence</w:t>
      </w:r>
    </w:p>
    <w:p w:rsidR="00D441C1" w:rsidRDefault="00D441C1"/>
    <w:p w:rsidR="0025041E" w:rsidRDefault="0025041E">
      <w:r w:rsidRPr="0025041E">
        <w:rPr>
          <w:noProof/>
          <w:lang w:val="en-US"/>
        </w:rPr>
        <w:drawing>
          <wp:inline distT="0" distB="0" distL="0" distR="0">
            <wp:extent cx="5638800" cy="3060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C1" w:rsidRDefault="00D441C1"/>
    <w:p w:rsidR="00D441C1" w:rsidRPr="00D441C1" w:rsidRDefault="00D441C1" w:rsidP="00D441C1">
      <w:pPr>
        <w:rPr>
          <w:b/>
        </w:rPr>
      </w:pPr>
      <w:r w:rsidRPr="00D441C1">
        <w:rPr>
          <w:b/>
        </w:rPr>
        <w:t>Figure S</w:t>
      </w:r>
      <w:r>
        <w:rPr>
          <w:b/>
        </w:rPr>
        <w:t>4</w:t>
      </w:r>
      <w:r w:rsidRPr="00D441C1">
        <w:rPr>
          <w:b/>
        </w:rPr>
        <w:t xml:space="preserve">: A copy of Figure 4 when using </w:t>
      </w:r>
      <w:r>
        <w:rPr>
          <w:b/>
        </w:rPr>
        <w:t>4</w:t>
      </w:r>
      <w:r w:rsidRPr="00D441C1">
        <w:rPr>
          <w:b/>
        </w:rPr>
        <w:t xml:space="preserve"> month</w:t>
      </w:r>
      <w:r>
        <w:rPr>
          <w:b/>
        </w:rPr>
        <w:t>s</w:t>
      </w:r>
      <w:r w:rsidRPr="00D441C1">
        <w:rPr>
          <w:b/>
        </w:rPr>
        <w:t xml:space="preserve"> of previous data on the clinical incidence in under 5s to predict future ANC prevalence</w:t>
      </w:r>
    </w:p>
    <w:p w:rsidR="00D441C1" w:rsidRDefault="00D441C1"/>
    <w:p w:rsidR="0025041E" w:rsidRDefault="0025041E">
      <w:r w:rsidRPr="0025041E">
        <w:rPr>
          <w:noProof/>
          <w:lang w:val="en-US"/>
        </w:rPr>
        <w:drawing>
          <wp:inline distT="0" distB="0" distL="0" distR="0">
            <wp:extent cx="5473700" cy="294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7A" w:rsidRDefault="00BE427A"/>
    <w:p w:rsidR="00BE427A" w:rsidRDefault="00BE427A"/>
    <w:p w:rsidR="00BE427A" w:rsidRDefault="00BE427A"/>
    <w:p w:rsidR="00BE427A" w:rsidRDefault="00BE427A"/>
    <w:p w:rsidR="00BE427A" w:rsidRDefault="00BE427A"/>
    <w:p w:rsidR="00BE427A" w:rsidRDefault="00BE427A"/>
    <w:p w:rsidR="00BE427A" w:rsidRDefault="00BE427A"/>
    <w:p w:rsidR="00BE427A" w:rsidRDefault="00BE427A"/>
    <w:p w:rsidR="00BE427A" w:rsidRDefault="00BE427A"/>
    <w:p w:rsidR="00BE427A" w:rsidRPr="00BE427A" w:rsidRDefault="00BE427A">
      <w:pPr>
        <w:rPr>
          <w:b/>
        </w:rPr>
      </w:pPr>
      <w:r w:rsidRPr="00BE427A">
        <w:rPr>
          <w:b/>
        </w:rPr>
        <w:t>Figure S5: A copy of figure 4 using the NELL mo</w:t>
      </w:r>
      <w:r>
        <w:rPr>
          <w:b/>
        </w:rPr>
        <w:t>del with maximum lag value of 3</w:t>
      </w:r>
    </w:p>
    <w:p w:rsidR="00BE427A" w:rsidRDefault="00BE427A"/>
    <w:p w:rsidR="00BE427A" w:rsidRDefault="00BE427A">
      <w:r w:rsidRPr="00BE427A">
        <w:rPr>
          <w:noProof/>
          <w:lang w:val="en-US"/>
        </w:rPr>
        <w:drawing>
          <wp:inline distT="0" distB="0" distL="0" distR="0">
            <wp:extent cx="5727700" cy="27120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27A" w:rsidSect="009F7D1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20"/>
  <w:characterSpacingControl w:val="doNotCompress"/>
  <w:compat/>
  <w:rsids>
    <w:rsidRoot w:val="00B3049A"/>
    <w:rsid w:val="0025041E"/>
    <w:rsid w:val="002900CB"/>
    <w:rsid w:val="004A3FB7"/>
    <w:rsid w:val="00591512"/>
    <w:rsid w:val="00675D6A"/>
    <w:rsid w:val="006B7D37"/>
    <w:rsid w:val="00775FF7"/>
    <w:rsid w:val="009F7D18"/>
    <w:rsid w:val="00B3049A"/>
    <w:rsid w:val="00BD4D35"/>
    <w:rsid w:val="00BE427A"/>
    <w:rsid w:val="00D441C1"/>
    <w:rsid w:val="00D547F8"/>
    <w:rsid w:val="00F5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F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5F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E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Hellewell, Joel</dc:creator>
  <cp:keywords/>
  <dc:description/>
  <cp:lastModifiedBy>0014777</cp:lastModifiedBy>
  <cp:revision>8</cp:revision>
  <dcterms:created xsi:type="dcterms:W3CDTF">2018-07-23T12:47:00Z</dcterms:created>
  <dcterms:modified xsi:type="dcterms:W3CDTF">2018-08-21T14:53:00Z</dcterms:modified>
</cp:coreProperties>
</file>