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76" w:rsidRDefault="00957576"/>
    <w:p w:rsidR="000C7C86" w:rsidRPr="00BC5BBA" w:rsidRDefault="00B15EDA" w:rsidP="00BC5BBA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Table </w:t>
      </w:r>
      <w:r w:rsidR="00BC5BBA"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1</w:t>
      </w:r>
      <w:r w:rsidR="00BC5BBA"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11E7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Quality control metrics of targeted sequencing data</w:t>
      </w:r>
    </w:p>
    <w:tbl>
      <w:tblPr>
        <w:tblW w:w="7660" w:type="dxa"/>
        <w:tblInd w:w="95" w:type="dxa"/>
        <w:tblLook w:val="04A0"/>
      </w:tblPr>
      <w:tblGrid>
        <w:gridCol w:w="2281"/>
        <w:gridCol w:w="2979"/>
        <w:gridCol w:w="2400"/>
      </w:tblGrid>
      <w:tr w:rsidR="000C7C86" w:rsidRPr="000C7C86" w:rsidTr="000D6E2E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240761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240761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DNA-seq</w:t>
            </w:r>
            <w:r w:rsidR="00240761" w:rsidRPr="00240761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="002407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40761" w:rsidRPr="002407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tatistics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3659F4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etastatic tumor sample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Normal Blood sample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Total paired 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511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706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Aligned 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020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766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Aligned </w:t>
            </w:r>
            <w:proofErr w:type="gram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reads(</w:t>
            </w:r>
            <w:proofErr w:type="gramEnd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98.4%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99.3%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Total 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966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484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414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Aligned 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766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788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394</w:t>
            </w:r>
            <w:r w:rsidR="00DF66F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917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Aligned </w:t>
            </w:r>
            <w:proofErr w:type="gram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98.0%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99.6%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74168F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Seq </w:t>
            </w:r>
            <w:proofErr w:type="spell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coverage</w:t>
            </w:r>
            <w:r w:rsidR="008B4175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479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dedup</w:t>
            </w:r>
            <w:r w:rsidR="00FD543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</w:t>
            </w:r>
            <w:proofErr w:type="spell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coverage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986291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On </w:t>
            </w:r>
            <w:proofErr w:type="gram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target(</w:t>
            </w:r>
            <w:proofErr w:type="gramEnd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71.63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986291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On </w:t>
            </w:r>
            <w:proofErr w:type="gram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flanking(</w:t>
            </w:r>
            <w:proofErr w:type="gramEnd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17.09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986291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Off </w:t>
            </w:r>
            <w:proofErr w:type="gramStart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target(</w:t>
            </w:r>
            <w:proofErr w:type="gramEnd"/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11.28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986291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Seq error-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rate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0.0039</w:t>
            </w:r>
          </w:p>
        </w:tc>
      </w:tr>
      <w:tr w:rsidR="000C7C86" w:rsidRPr="000C7C86" w:rsidTr="000D6E2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986291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Insert </w:t>
            </w:r>
            <w:r w:rsidR="000C7C86"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size</w:t>
            </w:r>
            <w:r w:rsidR="005A747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estimated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224.49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C86" w:rsidRPr="000C7C86" w:rsidRDefault="000C7C86" w:rsidP="000C7C8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223.87</w:t>
            </w:r>
          </w:p>
        </w:tc>
      </w:tr>
    </w:tbl>
    <w:p w:rsidR="000C7C86" w:rsidRDefault="008B4175">
      <w:proofErr w:type="gramStart"/>
      <w:r>
        <w:rPr>
          <w:rFonts w:hint="eastAsia"/>
          <w:vertAlign w:val="superscript"/>
        </w:rPr>
        <w:t>a</w:t>
      </w:r>
      <w:proofErr w:type="gramEnd"/>
      <w:r w:rsidR="00DE24DF">
        <w:rPr>
          <w:vertAlign w:val="superscript"/>
        </w:rPr>
        <w:t xml:space="preserve"> </w:t>
      </w:r>
      <w:r w:rsidR="0074168F">
        <w:rPr>
          <w:rFonts w:hint="eastAsia"/>
        </w:rPr>
        <w:t>sequence coverage before de-</w:t>
      </w:r>
      <w:r w:rsidR="0074168F">
        <w:t>duplication</w:t>
      </w:r>
      <w:r w:rsidR="0074168F">
        <w:rPr>
          <w:rFonts w:hint="eastAsia"/>
        </w:rPr>
        <w:t>.</w:t>
      </w:r>
    </w:p>
    <w:p w:rsidR="00737787" w:rsidRDefault="00737787" w:rsidP="0028180C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:rsidR="00737787" w:rsidRDefault="00737787" w:rsidP="0028180C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:rsidR="000C7C86" w:rsidRPr="0028180C" w:rsidRDefault="0028180C" w:rsidP="0028180C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28180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Table S2</w:t>
      </w:r>
      <w:r w:rsidR="004C014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011E7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Quality control metrics of RNA-seq data</w:t>
      </w:r>
    </w:p>
    <w:tbl>
      <w:tblPr>
        <w:tblW w:w="7660" w:type="dxa"/>
        <w:tblInd w:w="95" w:type="dxa"/>
        <w:tblLook w:val="04A0"/>
      </w:tblPr>
      <w:tblGrid>
        <w:gridCol w:w="3322"/>
        <w:gridCol w:w="4338"/>
      </w:tblGrid>
      <w:tr w:rsidR="0028180C" w:rsidRPr="000C7C86" w:rsidTr="0067105E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B006E7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006E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RNA-seq</w:t>
            </w:r>
            <w:r w:rsidR="00B006E7" w:rsidRPr="00B006E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  <w:r w:rsidR="00B006E7" w:rsidRPr="00B006E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statistics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etastatic tumor sample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843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Aligned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785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763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Aligned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888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724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Aligned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Aligned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Ribosomal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983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Ribosomal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Coding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976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Coding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UTR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737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703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UTR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Intronic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494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043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Intronic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7%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511</w:t>
            </w:r>
            <w:r w:rsidR="007377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</w:t>
            </w: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437</w:t>
            </w:r>
          </w:p>
        </w:tc>
      </w:tr>
      <w:tr w:rsidR="0028180C" w:rsidRPr="000C7C86" w:rsidTr="0067105E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</w:t>
            </w:r>
            <w:r w:rsidR="008023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bases(</w:t>
            </w:r>
            <w:proofErr w:type="gramEnd"/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80C" w:rsidRPr="000C7C86" w:rsidRDefault="0028180C" w:rsidP="0067105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7C8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42%</w:t>
            </w:r>
          </w:p>
        </w:tc>
      </w:tr>
    </w:tbl>
    <w:p w:rsidR="00BC5BBA" w:rsidRDefault="00BC5BBA">
      <w:pPr>
        <w:widowControl/>
        <w:jc w:val="left"/>
      </w:pPr>
      <w:r>
        <w:br w:type="page"/>
      </w:r>
    </w:p>
    <w:p w:rsidR="00BC5BBA" w:rsidRPr="005431F3" w:rsidRDefault="00BC5BBA" w:rsidP="00BC5BBA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lastRenderedPageBreak/>
        <w:t>Figure S1.</w:t>
      </w:r>
      <w:r w:rsidR="0015164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Average co</w:t>
      </w:r>
      <w:r w:rsidR="00011E7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verage</w:t>
      </w:r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011E7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(Log10 transformed) of targeted genes </w:t>
      </w:r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with data </w:t>
      </w:r>
      <w:proofErr w:type="spellStart"/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deduplication</w:t>
      </w:r>
      <w:proofErr w:type="spellEnd"/>
      <w:r w:rsidR="00E65D7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.</w:t>
      </w:r>
      <w:r w:rsidR="00EF2C3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5431F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Coverage of mutant genes were shown in grey bar, e</w:t>
      </w:r>
      <w:r w:rsidR="007D2AE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rror bar</w:t>
      </w:r>
      <w:r w:rsidR="005D788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</w:t>
      </w:r>
      <w:r w:rsidR="007D2AE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EE16B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indicted</w:t>
      </w:r>
      <w:r w:rsidR="000E27D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682905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standard deviation </w:t>
      </w:r>
      <w:r w:rsidR="00F248F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of</w:t>
      </w:r>
      <w:r w:rsidR="00D07521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sequencing </w:t>
      </w:r>
      <w:r w:rsidR="00802D3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depths </w:t>
      </w:r>
      <w:r w:rsidR="009C77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for</w:t>
      </w:r>
      <w:r w:rsidR="001F33B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each</w:t>
      </w:r>
      <w:r w:rsidR="0046475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gene</w:t>
      </w:r>
      <w:r w:rsidR="00CE7055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. </w:t>
      </w:r>
      <w:r w:rsidR="007B0DE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</w:t>
      </w:r>
      <w:r w:rsidR="007C051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overage</w:t>
      </w:r>
      <w:r w:rsidR="006C5F6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of all genes</w:t>
      </w:r>
      <w:r w:rsidR="00700C6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sequenced</w:t>
      </w:r>
      <w:r w:rsidR="006C5F6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6C5F6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were</w:t>
      </w:r>
      <w:proofErr w:type="gramEnd"/>
      <w:r w:rsidR="006C5F6C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shown in red line. </w:t>
      </w:r>
    </w:p>
    <w:p w:rsidR="00BC5BBA" w:rsidRDefault="00230F73">
      <w:r>
        <w:rPr>
          <w:noProof/>
          <w:lang w:val="en-IN" w:eastAsia="en-IN"/>
        </w:rPr>
        <w:drawing>
          <wp:inline distT="0" distB="0" distL="0" distR="0">
            <wp:extent cx="5266690" cy="5172075"/>
            <wp:effectExtent l="0" t="0" r="0" b="0"/>
            <wp:docPr id="8" name="图片 8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07B" w:rsidRDefault="00C3007B"/>
    <w:p w:rsidR="00BC5BBA" w:rsidRDefault="00BC5BBA">
      <w:pPr>
        <w:widowControl/>
        <w:jc w:val="left"/>
      </w:pPr>
      <w:r>
        <w:br w:type="page"/>
      </w:r>
    </w:p>
    <w:p w:rsidR="004128C1" w:rsidRPr="009D202F" w:rsidRDefault="003B13F0" w:rsidP="000B399D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lastRenderedPageBreak/>
        <w:t xml:space="preserve">Figure </w:t>
      </w:r>
      <w:r w:rsidR="00BC5BBA" w:rsidRPr="00BC5BBA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S2.</w:t>
      </w:r>
      <w:r w:rsidR="00BC5BBA" w:rsidRPr="000B399D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CF126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Fraction of reads that mapped to </w:t>
      </w:r>
      <w:r w:rsidR="00CF1269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coding</w:t>
      </w:r>
      <w:r w:rsidR="00CF126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, </w:t>
      </w:r>
      <w:r w:rsidR="00D615F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intergenic, </w:t>
      </w:r>
      <w:r w:rsidR="00D95EA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ribosomal</w:t>
      </w:r>
      <w:r w:rsidR="00D95EA3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,</w:t>
      </w:r>
      <w:r w:rsidR="00D615F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intronic, UTR and unmapped reads for </w:t>
      </w:r>
      <w:r w:rsidR="00CF126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metastasis</w:t>
      </w:r>
      <w:r w:rsidR="00D615F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RNA-seq</w:t>
      </w:r>
      <w:r w:rsidR="001C02C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CF2EC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C7C86" w:rsidRDefault="00BC5BBA" w:rsidP="00BC5BBA">
      <w:pPr>
        <w:widowControl/>
        <w:jc w:val="left"/>
      </w:pPr>
      <w:r>
        <w:rPr>
          <w:rFonts w:hint="eastAsia"/>
        </w:rPr>
        <w:t xml:space="preserve"> </w:t>
      </w:r>
      <w:r w:rsidR="00432419">
        <w:t xml:space="preserve"> </w:t>
      </w:r>
    </w:p>
    <w:p w:rsidR="00BC5BBA" w:rsidRDefault="00BC5BBA">
      <w:r>
        <w:rPr>
          <w:noProof/>
          <w:lang w:val="en-IN" w:eastAsia="en-IN"/>
        </w:rPr>
        <w:drawing>
          <wp:inline distT="0" distB="0" distL="0" distR="0">
            <wp:extent cx="3863300" cy="3856383"/>
            <wp:effectExtent l="19050" t="0" r="38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09" cy="38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BA" w:rsidSect="000B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5A" w:rsidRDefault="00110D5A" w:rsidP="00011E7E">
      <w:r>
        <w:separator/>
      </w:r>
    </w:p>
  </w:endnote>
  <w:endnote w:type="continuationSeparator" w:id="0">
    <w:p w:rsidR="00110D5A" w:rsidRDefault="00110D5A" w:rsidP="0001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5A" w:rsidRDefault="00110D5A" w:rsidP="00011E7E">
      <w:r>
        <w:separator/>
      </w:r>
    </w:p>
  </w:footnote>
  <w:footnote w:type="continuationSeparator" w:id="0">
    <w:p w:rsidR="00110D5A" w:rsidRDefault="00110D5A" w:rsidP="00011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86"/>
    <w:rsid w:val="00011E7E"/>
    <w:rsid w:val="00014B05"/>
    <w:rsid w:val="00017089"/>
    <w:rsid w:val="0007296B"/>
    <w:rsid w:val="00075FCB"/>
    <w:rsid w:val="000769C5"/>
    <w:rsid w:val="00085754"/>
    <w:rsid w:val="000B2974"/>
    <w:rsid w:val="000B399D"/>
    <w:rsid w:val="000C45FA"/>
    <w:rsid w:val="000C7C86"/>
    <w:rsid w:val="000D6E2E"/>
    <w:rsid w:val="000D75EE"/>
    <w:rsid w:val="000E27D8"/>
    <w:rsid w:val="00110D5A"/>
    <w:rsid w:val="00117817"/>
    <w:rsid w:val="0012122A"/>
    <w:rsid w:val="0012510D"/>
    <w:rsid w:val="00151643"/>
    <w:rsid w:val="001711D2"/>
    <w:rsid w:val="00175C55"/>
    <w:rsid w:val="001B27AA"/>
    <w:rsid w:val="001C02C9"/>
    <w:rsid w:val="001F33B0"/>
    <w:rsid w:val="002246AF"/>
    <w:rsid w:val="00230F73"/>
    <w:rsid w:val="00240495"/>
    <w:rsid w:val="00240761"/>
    <w:rsid w:val="00262019"/>
    <w:rsid w:val="00270B63"/>
    <w:rsid w:val="0028180C"/>
    <w:rsid w:val="002B257A"/>
    <w:rsid w:val="002E1E38"/>
    <w:rsid w:val="002E79AC"/>
    <w:rsid w:val="002F406C"/>
    <w:rsid w:val="00306A28"/>
    <w:rsid w:val="00314FE5"/>
    <w:rsid w:val="00326192"/>
    <w:rsid w:val="00341050"/>
    <w:rsid w:val="00360A51"/>
    <w:rsid w:val="003659F4"/>
    <w:rsid w:val="00370D96"/>
    <w:rsid w:val="003825B9"/>
    <w:rsid w:val="003B13F0"/>
    <w:rsid w:val="003B18E0"/>
    <w:rsid w:val="003D7280"/>
    <w:rsid w:val="003E2AB4"/>
    <w:rsid w:val="004055C6"/>
    <w:rsid w:val="004128C1"/>
    <w:rsid w:val="00422EB4"/>
    <w:rsid w:val="00424F7F"/>
    <w:rsid w:val="00432419"/>
    <w:rsid w:val="00464750"/>
    <w:rsid w:val="004C0140"/>
    <w:rsid w:val="004D1199"/>
    <w:rsid w:val="004E04A7"/>
    <w:rsid w:val="005003B9"/>
    <w:rsid w:val="00510058"/>
    <w:rsid w:val="005267FD"/>
    <w:rsid w:val="00530AFC"/>
    <w:rsid w:val="005431F3"/>
    <w:rsid w:val="0056370C"/>
    <w:rsid w:val="005653E8"/>
    <w:rsid w:val="005A0D41"/>
    <w:rsid w:val="005A7471"/>
    <w:rsid w:val="005B0FEC"/>
    <w:rsid w:val="005B28AE"/>
    <w:rsid w:val="005B2D44"/>
    <w:rsid w:val="005C4D8C"/>
    <w:rsid w:val="005D6F51"/>
    <w:rsid w:val="005D7880"/>
    <w:rsid w:val="005E3E8B"/>
    <w:rsid w:val="00631F4C"/>
    <w:rsid w:val="00634CA1"/>
    <w:rsid w:val="006403F8"/>
    <w:rsid w:val="00673118"/>
    <w:rsid w:val="00682905"/>
    <w:rsid w:val="006927A6"/>
    <w:rsid w:val="00694342"/>
    <w:rsid w:val="006B3494"/>
    <w:rsid w:val="006C5B19"/>
    <w:rsid w:val="006C5F6C"/>
    <w:rsid w:val="006E2F78"/>
    <w:rsid w:val="006F6607"/>
    <w:rsid w:val="00700C6C"/>
    <w:rsid w:val="00723EBC"/>
    <w:rsid w:val="00727E25"/>
    <w:rsid w:val="00731AED"/>
    <w:rsid w:val="00736EFA"/>
    <w:rsid w:val="00737787"/>
    <w:rsid w:val="0074168F"/>
    <w:rsid w:val="00742FBC"/>
    <w:rsid w:val="00750515"/>
    <w:rsid w:val="00761AFD"/>
    <w:rsid w:val="0078150A"/>
    <w:rsid w:val="007B0DED"/>
    <w:rsid w:val="007C0514"/>
    <w:rsid w:val="007C2293"/>
    <w:rsid w:val="007D2AE0"/>
    <w:rsid w:val="00802341"/>
    <w:rsid w:val="00802D39"/>
    <w:rsid w:val="0084767E"/>
    <w:rsid w:val="00866B63"/>
    <w:rsid w:val="00890591"/>
    <w:rsid w:val="00890674"/>
    <w:rsid w:val="008B4175"/>
    <w:rsid w:val="008D2044"/>
    <w:rsid w:val="008D3A12"/>
    <w:rsid w:val="008E3795"/>
    <w:rsid w:val="00912EB1"/>
    <w:rsid w:val="00922283"/>
    <w:rsid w:val="00937059"/>
    <w:rsid w:val="00942454"/>
    <w:rsid w:val="00957576"/>
    <w:rsid w:val="00963221"/>
    <w:rsid w:val="00986291"/>
    <w:rsid w:val="00990069"/>
    <w:rsid w:val="009A1238"/>
    <w:rsid w:val="009B6A78"/>
    <w:rsid w:val="009C771D"/>
    <w:rsid w:val="009D202F"/>
    <w:rsid w:val="009D2D77"/>
    <w:rsid w:val="009E33AA"/>
    <w:rsid w:val="009F57EE"/>
    <w:rsid w:val="00A00C16"/>
    <w:rsid w:val="00A0333D"/>
    <w:rsid w:val="00A161F7"/>
    <w:rsid w:val="00A26454"/>
    <w:rsid w:val="00A32954"/>
    <w:rsid w:val="00A405BE"/>
    <w:rsid w:val="00A42AA4"/>
    <w:rsid w:val="00A84226"/>
    <w:rsid w:val="00AB344B"/>
    <w:rsid w:val="00AC1BF0"/>
    <w:rsid w:val="00AF767F"/>
    <w:rsid w:val="00B006E7"/>
    <w:rsid w:val="00B04476"/>
    <w:rsid w:val="00B15EDA"/>
    <w:rsid w:val="00B230A7"/>
    <w:rsid w:val="00B26EA7"/>
    <w:rsid w:val="00B32A5B"/>
    <w:rsid w:val="00B40137"/>
    <w:rsid w:val="00B6471E"/>
    <w:rsid w:val="00B65331"/>
    <w:rsid w:val="00BA4ED5"/>
    <w:rsid w:val="00BC5BBA"/>
    <w:rsid w:val="00BE1180"/>
    <w:rsid w:val="00BF4DC0"/>
    <w:rsid w:val="00C0369C"/>
    <w:rsid w:val="00C05F25"/>
    <w:rsid w:val="00C072BA"/>
    <w:rsid w:val="00C3007B"/>
    <w:rsid w:val="00C33627"/>
    <w:rsid w:val="00C40641"/>
    <w:rsid w:val="00C54544"/>
    <w:rsid w:val="00C65693"/>
    <w:rsid w:val="00C821FB"/>
    <w:rsid w:val="00C977D3"/>
    <w:rsid w:val="00CA7276"/>
    <w:rsid w:val="00CB064E"/>
    <w:rsid w:val="00CB7F5A"/>
    <w:rsid w:val="00CD14C1"/>
    <w:rsid w:val="00CE7055"/>
    <w:rsid w:val="00CF1269"/>
    <w:rsid w:val="00CF2ECF"/>
    <w:rsid w:val="00D07521"/>
    <w:rsid w:val="00D24B8D"/>
    <w:rsid w:val="00D24D95"/>
    <w:rsid w:val="00D30B9B"/>
    <w:rsid w:val="00D35393"/>
    <w:rsid w:val="00D4000F"/>
    <w:rsid w:val="00D50EB7"/>
    <w:rsid w:val="00D5758A"/>
    <w:rsid w:val="00D57DD6"/>
    <w:rsid w:val="00D615F3"/>
    <w:rsid w:val="00D95EA3"/>
    <w:rsid w:val="00DB0174"/>
    <w:rsid w:val="00DC04C7"/>
    <w:rsid w:val="00DE24DF"/>
    <w:rsid w:val="00DE3928"/>
    <w:rsid w:val="00DE7AF5"/>
    <w:rsid w:val="00DF66F3"/>
    <w:rsid w:val="00DF7E5D"/>
    <w:rsid w:val="00E17C50"/>
    <w:rsid w:val="00E2004D"/>
    <w:rsid w:val="00E65D77"/>
    <w:rsid w:val="00E75B77"/>
    <w:rsid w:val="00E873C4"/>
    <w:rsid w:val="00E921EF"/>
    <w:rsid w:val="00ED2486"/>
    <w:rsid w:val="00EE09AE"/>
    <w:rsid w:val="00EE16BE"/>
    <w:rsid w:val="00EE56BD"/>
    <w:rsid w:val="00EE600F"/>
    <w:rsid w:val="00EF2C32"/>
    <w:rsid w:val="00F025A3"/>
    <w:rsid w:val="00F14402"/>
    <w:rsid w:val="00F248F3"/>
    <w:rsid w:val="00F26753"/>
    <w:rsid w:val="00F44E9F"/>
    <w:rsid w:val="00F46D34"/>
    <w:rsid w:val="00F537BA"/>
    <w:rsid w:val="00F601FD"/>
    <w:rsid w:val="00F974D4"/>
    <w:rsid w:val="00FB0ECC"/>
    <w:rsid w:val="00FC3D44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7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E7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1E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1E7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1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0013359</cp:lastModifiedBy>
  <cp:revision>205</cp:revision>
  <dcterms:created xsi:type="dcterms:W3CDTF">2017-10-25T14:35:00Z</dcterms:created>
  <dcterms:modified xsi:type="dcterms:W3CDTF">2018-08-16T05:30:00Z</dcterms:modified>
</cp:coreProperties>
</file>