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9" w:rsidRDefault="00BB0210" w:rsidP="00683E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83ECB">
        <w:rPr>
          <w:rFonts w:ascii="Times New Roman" w:hAnsi="Times New Roman" w:cs="Times New Roman"/>
          <w:i/>
          <w:sz w:val="24"/>
          <w:szCs w:val="24"/>
          <w:lang w:val="en-US"/>
        </w:rPr>
        <w:t>Schematic representation of the study design.</w:t>
      </w:r>
      <w:proofErr w:type="gramEnd"/>
      <w:r w:rsidRPr="00683E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96304" w:rsidRDefault="00E96304" w:rsidP="00E963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EF56599" wp14:editId="77475234">
            <wp:extent cx="4524500" cy="34078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21" cy="340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210" w:rsidRPr="00550832" w:rsidRDefault="00CD13F4" w:rsidP="00E963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phase 1, l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esion was created in one random radio-carpal 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>(RC)-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joint of each animal. 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bookmarkStart w:id="0" w:name="_GoBack"/>
      <w:bookmarkEnd w:id="0"/>
      <w:r w:rsidR="008137C4">
        <w:rPr>
          <w:rFonts w:ascii="Times New Roman" w:hAnsi="Times New Roman" w:cs="Times New Roman"/>
          <w:sz w:val="24"/>
          <w:szCs w:val="24"/>
          <w:lang w:val="en-US"/>
        </w:rPr>
        <w:t>weeks 2 and 5 after inducing the arthritis, repeat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 injections of corresponding substance 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 xml:space="preserve">(TREATM = treatment: 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>10·10</w:t>
      </w:r>
      <w:r w:rsidR="00114F5F" w:rsidRPr="00114F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 unstimulated mesenchymal stem cells [MSC-naïve] or 10·10</w:t>
      </w:r>
      <w:r w:rsidR="00114F5F" w:rsidRPr="00114F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114F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>of TNFα + IFNγ-stimulated cells [MSC-primed]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>; or CTRL = control:</w:t>
      </w:r>
      <w:r w:rsidR="00E96304" w:rsidRPr="00E96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>Lactate’s Ringer Solution [LRS]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) were administered to corresponding 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>RC-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>joints from animals in the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 MSC-naïve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 MSC-primed 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>groups; respectively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4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Serial follow-up 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 xml:space="preserve">(clinical, synovial and imaging assessments)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was carried out up to two months and animals “rested” for additional two months. Thus, four months after inducing the first lesion, </w:t>
      </w:r>
      <w:r>
        <w:rPr>
          <w:rFonts w:ascii="Times New Roman" w:hAnsi="Times New Roman" w:cs="Times New Roman"/>
          <w:sz w:val="24"/>
          <w:szCs w:val="24"/>
          <w:lang w:val="en-US"/>
        </w:rPr>
        <w:t>phase 2 was carried out in which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contralateral 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>RC-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joint of each animal was subjected to the same corresponding procedure: second lesion was induced, 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>identical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injections administered </w:t>
      </w:r>
      <w:r w:rsidR="00E96304">
        <w:rPr>
          <w:rFonts w:ascii="Times New Roman" w:hAnsi="Times New Roman" w:cs="Times New Roman"/>
          <w:sz w:val="24"/>
          <w:szCs w:val="24"/>
          <w:lang w:val="en-US"/>
        </w:rPr>
        <w:t xml:space="preserve">–depending on the group-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and follow-up performed during two months. At this point (six months since the 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>first lesion induction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phase 1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>, two months since the second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phase 2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>), animals were euthanized to conduct post-mortem assessments</w:t>
      </w:r>
      <w:r w:rsidR="008137C4">
        <w:rPr>
          <w:rFonts w:ascii="Times New Roman" w:hAnsi="Times New Roman" w:cs="Times New Roman"/>
          <w:sz w:val="24"/>
          <w:szCs w:val="24"/>
          <w:lang w:val="en-US"/>
        </w:rPr>
        <w:t xml:space="preserve"> including magnetic resonance imaging (MRI), gross anatomy, histopathology and gene expression analysis. Therefore,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 first lesion induced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phase 1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had progressed along six months 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 xml:space="preserve">(long-term)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 xml:space="preserve">while second lesion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created in phase 2 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>had progressed for only two months</w:t>
      </w:r>
      <w:r w:rsidR="00BC794E">
        <w:rPr>
          <w:rFonts w:ascii="Times New Roman" w:hAnsi="Times New Roman" w:cs="Times New Roman"/>
          <w:sz w:val="24"/>
          <w:szCs w:val="24"/>
          <w:lang w:val="en-US"/>
        </w:rPr>
        <w:t xml:space="preserve"> (short-term)</w:t>
      </w:r>
      <w:r w:rsidR="00683ECB">
        <w:rPr>
          <w:rFonts w:ascii="Times New Roman" w:hAnsi="Times New Roman" w:cs="Times New Roman"/>
          <w:sz w:val="24"/>
          <w:szCs w:val="24"/>
          <w:lang w:val="en-US"/>
        </w:rPr>
        <w:t>, providing two different end-points for post-mortem assessments without duplicating the number of animals involved.</w:t>
      </w:r>
    </w:p>
    <w:sectPr w:rsidR="00BB0210" w:rsidRPr="00550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10"/>
    <w:rsid w:val="00060E39"/>
    <w:rsid w:val="000968BD"/>
    <w:rsid w:val="00114F5F"/>
    <w:rsid w:val="002A0D6B"/>
    <w:rsid w:val="002F2C17"/>
    <w:rsid w:val="00397E3E"/>
    <w:rsid w:val="00550832"/>
    <w:rsid w:val="00683ECB"/>
    <w:rsid w:val="008137C4"/>
    <w:rsid w:val="00B40509"/>
    <w:rsid w:val="00B46D7D"/>
    <w:rsid w:val="00BB0210"/>
    <w:rsid w:val="00BC794E"/>
    <w:rsid w:val="00CD13F4"/>
    <w:rsid w:val="00E612CD"/>
    <w:rsid w:val="00E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2017-07-07T16:17:00Z</dcterms:created>
  <dcterms:modified xsi:type="dcterms:W3CDTF">2018-03-16T16:59:00Z</dcterms:modified>
</cp:coreProperties>
</file>