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15" w:rsidRPr="0017742B" w:rsidRDefault="00A03115" w:rsidP="00323203">
      <w:pPr>
        <w:rPr>
          <w:rFonts w:cs="Times New Roman"/>
          <w:b/>
          <w:sz w:val="24"/>
          <w:szCs w:val="24"/>
          <w:lang w:val="en-US"/>
        </w:rPr>
      </w:pPr>
      <w:r w:rsidRPr="0017742B">
        <w:rPr>
          <w:rFonts w:cs="Times New Roman"/>
          <w:b/>
          <w:sz w:val="24"/>
          <w:szCs w:val="24"/>
          <w:lang w:val="en-US"/>
        </w:rPr>
        <w:t>Supplement/Appendix</w:t>
      </w:r>
      <w:r w:rsidR="00056567" w:rsidRPr="0017742B">
        <w:rPr>
          <w:rFonts w:cs="Times New Roman"/>
          <w:b/>
          <w:sz w:val="24"/>
          <w:szCs w:val="24"/>
          <w:lang w:val="en-US"/>
        </w:rPr>
        <w:t xml:space="preserve"> – Revised version R1</w:t>
      </w:r>
    </w:p>
    <w:p w:rsidR="00712E87" w:rsidRPr="0017742B" w:rsidRDefault="00712E87" w:rsidP="00CE35B9">
      <w:pPr>
        <w:jc w:val="both"/>
        <w:rPr>
          <w:rFonts w:cs="Times New Roman"/>
          <w:b/>
          <w:sz w:val="20"/>
          <w:szCs w:val="20"/>
          <w:u w:val="single"/>
          <w:lang w:val="en-US"/>
        </w:rPr>
      </w:pPr>
      <w:r w:rsidRPr="0017742B">
        <w:rPr>
          <w:rFonts w:cs="Times New Roman"/>
          <w:b/>
          <w:sz w:val="20"/>
          <w:szCs w:val="20"/>
          <w:u w:val="single"/>
          <w:lang w:val="en-US"/>
        </w:rPr>
        <w:t>Supplement S</w:t>
      </w:r>
      <w:r w:rsidR="00776894" w:rsidRPr="0017742B">
        <w:rPr>
          <w:rFonts w:cs="Times New Roman"/>
          <w:b/>
          <w:sz w:val="20"/>
          <w:szCs w:val="20"/>
          <w:u w:val="single"/>
          <w:lang w:val="en-US"/>
        </w:rPr>
        <w:t>1</w:t>
      </w:r>
      <w:r w:rsidR="0041617E" w:rsidRPr="0017742B">
        <w:rPr>
          <w:rFonts w:cs="Times New Roman"/>
          <w:b/>
          <w:sz w:val="20"/>
          <w:szCs w:val="20"/>
          <w:u w:val="single"/>
          <w:lang w:val="en-US"/>
        </w:rPr>
        <w:t>.</w:t>
      </w:r>
      <w:r w:rsidRPr="0017742B">
        <w:rPr>
          <w:rFonts w:cs="Times New Roman"/>
          <w:b/>
          <w:sz w:val="20"/>
          <w:szCs w:val="20"/>
          <w:u w:val="single"/>
          <w:lang w:val="en-US"/>
        </w:rPr>
        <w:t xml:space="preserve"> </w:t>
      </w:r>
      <w:r w:rsidR="00C62C6E" w:rsidRPr="0017742B">
        <w:rPr>
          <w:rFonts w:cs="Times New Roman"/>
          <w:b/>
          <w:sz w:val="20"/>
          <w:szCs w:val="20"/>
          <w:u w:val="single"/>
          <w:lang w:val="en-US"/>
        </w:rPr>
        <w:t>Sample size</w:t>
      </w:r>
      <w:r w:rsidR="004803AB" w:rsidRPr="0017742B">
        <w:rPr>
          <w:rFonts w:cs="Times New Roman"/>
          <w:b/>
          <w:sz w:val="20"/>
          <w:szCs w:val="20"/>
          <w:u w:val="single"/>
          <w:lang w:val="en-US"/>
        </w:rPr>
        <w:t xml:space="preserve"> calculation</w:t>
      </w:r>
    </w:p>
    <w:p w:rsidR="004803AB" w:rsidRPr="0017742B" w:rsidRDefault="000E1141" w:rsidP="00323203">
      <w:pPr>
        <w:jc w:val="both"/>
        <w:rPr>
          <w:rFonts w:cs="Times New Roman"/>
          <w:sz w:val="20"/>
          <w:szCs w:val="20"/>
          <w:lang w:val="en-US"/>
        </w:rPr>
      </w:pPr>
      <w:r w:rsidRPr="0017742B">
        <w:rPr>
          <w:rFonts w:cs="Times New Roman"/>
          <w:sz w:val="20"/>
          <w:szCs w:val="20"/>
          <w:lang w:val="en-US"/>
        </w:rPr>
        <w:t>In the</w:t>
      </w:r>
      <w:r w:rsidR="004803AB" w:rsidRPr="0017742B">
        <w:rPr>
          <w:rFonts w:cs="Times New Roman"/>
          <w:sz w:val="20"/>
          <w:szCs w:val="20"/>
          <w:lang w:val="en-US"/>
        </w:rPr>
        <w:t xml:space="preserve"> initial </w:t>
      </w:r>
      <w:r w:rsidR="00C62C6E" w:rsidRPr="0017742B">
        <w:rPr>
          <w:rFonts w:cs="Times New Roman"/>
          <w:sz w:val="20"/>
          <w:szCs w:val="20"/>
          <w:lang w:val="en-US"/>
        </w:rPr>
        <w:t>sample size</w:t>
      </w:r>
      <w:r w:rsidR="004803AB" w:rsidRPr="0017742B">
        <w:rPr>
          <w:rFonts w:cs="Times New Roman"/>
          <w:sz w:val="20"/>
          <w:szCs w:val="20"/>
          <w:lang w:val="en-US"/>
        </w:rPr>
        <w:t xml:space="preserve"> calculation</w:t>
      </w:r>
      <w:r w:rsidRPr="0017742B">
        <w:rPr>
          <w:rFonts w:cs="Times New Roman"/>
          <w:sz w:val="20"/>
          <w:szCs w:val="20"/>
          <w:lang w:val="en-US"/>
        </w:rPr>
        <w:t>, we</w:t>
      </w:r>
      <w:r w:rsidR="004803AB" w:rsidRPr="0017742B">
        <w:rPr>
          <w:rFonts w:cs="Times New Roman"/>
          <w:sz w:val="20"/>
          <w:szCs w:val="20"/>
          <w:lang w:val="en-US"/>
        </w:rPr>
        <w:t xml:space="preserve"> estimated that group sizes of 73 in the IFX+MTX and the MTX groups, respectively, were needed to achieve 80% power to detect a difference of 0.25 between the null hypothesis that both the MTX+IFX and MTX proportions are 0.55 and the alternative hypothesis that the proportion in MTX+IFX is 0.80 using a two-sided Chi-square test with continuity correction and a significance level of 0.025 (0.05/2). Furthermore, a group size of 12 in the PL was needed to achieve 80% power to detect a difference of 0.50 between the null hypothesis that both the PL and the IFX-MTX group proportions are 0.30 and the alternative hypothesis that the proportion in IFX+MTX is 0.80. </w:t>
      </w:r>
      <w:r w:rsidRPr="0017742B">
        <w:rPr>
          <w:rFonts w:cs="Times New Roman"/>
          <w:sz w:val="20"/>
          <w:szCs w:val="20"/>
          <w:lang w:val="en-US"/>
        </w:rPr>
        <w:t>However,</w:t>
      </w:r>
      <w:r w:rsidR="004803AB" w:rsidRPr="0017742B">
        <w:rPr>
          <w:rFonts w:cs="Times New Roman"/>
          <w:sz w:val="20"/>
          <w:szCs w:val="20"/>
          <w:lang w:val="en-US"/>
        </w:rPr>
        <w:t xml:space="preserve"> since the time of the original study design, new studies were published which allowed </w:t>
      </w:r>
      <w:r w:rsidRPr="0017742B">
        <w:rPr>
          <w:rFonts w:cs="Times New Roman"/>
          <w:sz w:val="20"/>
          <w:szCs w:val="20"/>
          <w:lang w:val="en-US"/>
        </w:rPr>
        <w:t>re-calculating the</w:t>
      </w:r>
      <w:r w:rsidR="004803AB" w:rsidRPr="0017742B">
        <w:rPr>
          <w:rFonts w:cs="Times New Roman"/>
          <w:sz w:val="20"/>
          <w:szCs w:val="20"/>
          <w:lang w:val="en-US"/>
        </w:rPr>
        <w:t xml:space="preserve"> sample size</w:t>
      </w:r>
      <w:r w:rsidRPr="0017742B">
        <w:rPr>
          <w:rFonts w:cs="Times New Roman"/>
          <w:sz w:val="20"/>
          <w:szCs w:val="20"/>
          <w:lang w:val="en-US"/>
        </w:rPr>
        <w:t xml:space="preserve"> as described in the following paragraph</w:t>
      </w:r>
      <w:r w:rsidR="004803AB" w:rsidRPr="0017742B">
        <w:rPr>
          <w:rFonts w:cs="Times New Roman"/>
          <w:sz w:val="20"/>
          <w:szCs w:val="20"/>
          <w:lang w:val="en-US"/>
        </w:rPr>
        <w:t>.</w:t>
      </w:r>
    </w:p>
    <w:p w:rsidR="004803AB" w:rsidRPr="0017742B" w:rsidRDefault="00B109D4" w:rsidP="00C62C6E">
      <w:pPr>
        <w:spacing w:after="0"/>
        <w:jc w:val="both"/>
        <w:rPr>
          <w:rFonts w:cs="Times New Roman"/>
          <w:sz w:val="20"/>
          <w:szCs w:val="20"/>
          <w:lang w:val="en-US"/>
        </w:rPr>
      </w:pPr>
      <w:r w:rsidRPr="0017742B">
        <w:rPr>
          <w:rFonts w:cs="Times New Roman"/>
          <w:sz w:val="20"/>
          <w:szCs w:val="20"/>
          <w:lang w:val="en-US"/>
        </w:rPr>
        <w:t xml:space="preserve">These studies included the </w:t>
      </w:r>
      <w:r w:rsidRPr="0017742B">
        <w:rPr>
          <w:rFonts w:cs="Times New Roman"/>
          <w:noProof/>
          <w:sz w:val="20"/>
          <w:szCs w:val="20"/>
          <w:lang w:val="en-US"/>
        </w:rPr>
        <w:t>Stop Arthritis Very Early</w:t>
      </w:r>
      <w:r w:rsidRPr="0017742B">
        <w:rPr>
          <w:rFonts w:cs="Times New Roman"/>
          <w:sz w:val="20"/>
          <w:szCs w:val="20"/>
          <w:lang w:val="en-US"/>
        </w:rPr>
        <w:t xml:space="preserve"> (SAVE) and the </w:t>
      </w:r>
      <w:r w:rsidRPr="0017742B">
        <w:rPr>
          <w:rFonts w:cs="Times New Roman"/>
          <w:noProof/>
          <w:sz w:val="20"/>
          <w:szCs w:val="20"/>
          <w:lang w:val="en-US"/>
        </w:rPr>
        <w:t>3-week course of intramuscular glucocorticoid injections in patients with very early inflammatory polyarthritis</w:t>
      </w:r>
      <w:r w:rsidRPr="0017742B">
        <w:rPr>
          <w:rFonts w:cs="Times New Roman"/>
          <w:sz w:val="20"/>
          <w:szCs w:val="20"/>
          <w:lang w:val="en-US"/>
        </w:rPr>
        <w:t xml:space="preserve"> (STIVEA) trials </w:t>
      </w:r>
      <w:r w:rsidRPr="0017742B">
        <w:rPr>
          <w:rFonts w:cs="Times New Roman"/>
          <w:sz w:val="20"/>
          <w:szCs w:val="20"/>
          <w:lang w:val="en-US"/>
        </w:rPr>
        <w:fldChar w:fldCharType="begin">
          <w:fldData xml:space="preserve">PEVuZE5vdGU+PENpdGU+PEF1dGhvcj5NYWNob2xkPC9BdXRob3I+PFllYXI+MjAxMDwvWWVhcj48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==
</w:fldData>
        </w:fldChar>
      </w:r>
      <w:r w:rsidR="00776894" w:rsidRPr="0017742B">
        <w:rPr>
          <w:rFonts w:cs="Times New Roman"/>
          <w:sz w:val="20"/>
          <w:szCs w:val="20"/>
          <w:lang w:val="en-US"/>
        </w:rPr>
        <w:instrText xml:space="preserve"> ADDIN EN.CITE </w:instrText>
      </w:r>
      <w:r w:rsidR="00776894" w:rsidRPr="0017742B">
        <w:rPr>
          <w:rFonts w:cs="Times New Roman"/>
          <w:sz w:val="20"/>
          <w:szCs w:val="20"/>
          <w:lang w:val="en-US"/>
        </w:rPr>
        <w:fldChar w:fldCharType="begin">
          <w:fldData xml:space="preserve">PEVuZE5vdGU+PENpdGU+PEF1dGhvcj5NYWNob2xkPC9BdXRob3I+PFllYXI+MjAxMDwvWWVhcj48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==
</w:fldData>
        </w:fldChar>
      </w:r>
      <w:r w:rsidR="00776894" w:rsidRPr="0017742B">
        <w:rPr>
          <w:rFonts w:cs="Times New Roman"/>
          <w:sz w:val="20"/>
          <w:szCs w:val="20"/>
          <w:lang w:val="en-US"/>
        </w:rPr>
        <w:instrText xml:space="preserve"> ADDIN EN.CITE.DATA </w:instrText>
      </w:r>
      <w:r w:rsidR="00776894" w:rsidRPr="0017742B">
        <w:rPr>
          <w:rFonts w:cs="Times New Roman"/>
          <w:sz w:val="20"/>
          <w:szCs w:val="20"/>
          <w:lang w:val="en-US"/>
        </w:rPr>
      </w:r>
      <w:r w:rsidR="00776894" w:rsidRPr="0017742B">
        <w:rPr>
          <w:rFonts w:cs="Times New Roman"/>
          <w:sz w:val="20"/>
          <w:szCs w:val="20"/>
          <w:lang w:val="en-US"/>
        </w:rPr>
        <w:fldChar w:fldCharType="end"/>
      </w:r>
      <w:r w:rsidRPr="0017742B">
        <w:rPr>
          <w:rFonts w:cs="Times New Roman"/>
          <w:sz w:val="20"/>
          <w:szCs w:val="20"/>
          <w:lang w:val="en-US"/>
        </w:rPr>
      </w:r>
      <w:r w:rsidRPr="0017742B">
        <w:rPr>
          <w:rFonts w:cs="Times New Roman"/>
          <w:sz w:val="20"/>
          <w:szCs w:val="20"/>
          <w:lang w:val="en-US"/>
        </w:rPr>
        <w:fldChar w:fldCharType="separate"/>
      </w:r>
      <w:r w:rsidR="00776894" w:rsidRPr="0017742B">
        <w:rPr>
          <w:rFonts w:cs="Times New Roman"/>
          <w:noProof/>
          <w:sz w:val="20"/>
          <w:szCs w:val="20"/>
          <w:lang w:val="en-US"/>
        </w:rPr>
        <w:t>(1, 2)</w:t>
      </w:r>
      <w:r w:rsidRPr="0017742B">
        <w:rPr>
          <w:rFonts w:cs="Times New Roman"/>
          <w:sz w:val="20"/>
          <w:szCs w:val="20"/>
          <w:lang w:val="en-US"/>
        </w:rPr>
        <w:fldChar w:fldCharType="end"/>
      </w:r>
      <w:r w:rsidRPr="0017742B">
        <w:rPr>
          <w:rFonts w:cs="Times New Roman"/>
          <w:sz w:val="20"/>
          <w:szCs w:val="20"/>
          <w:lang w:val="en-US"/>
        </w:rPr>
        <w:t xml:space="preserve">. Therefore, we estimated 50% response rate in the IFX+MTX, 20% in the MTX and 10% in the PL groups, with the placebo response rate (spontaneous stringent remission) based on 8% of patients as seen in SAVE </w:t>
      </w:r>
      <w:r w:rsidRPr="0017742B">
        <w:rPr>
          <w:rFonts w:cs="Times New Roman"/>
          <w:sz w:val="20"/>
          <w:szCs w:val="20"/>
          <w:lang w:val="en-US"/>
        </w:rPr>
        <w:fldChar w:fldCharType="begin">
          <w:fldData xml:space="preserve">PEVuZE5vdGU+PENpdGU+PEF1dGhvcj5NYWNob2xkPC9BdXRob3I+PFllYXI+MjAxMDwvWWVhcj48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</w:fldData>
        </w:fldChar>
      </w:r>
      <w:r w:rsidR="00776894" w:rsidRPr="0017742B">
        <w:rPr>
          <w:rFonts w:cs="Times New Roman"/>
          <w:sz w:val="20"/>
          <w:szCs w:val="20"/>
          <w:lang w:val="en-US"/>
        </w:rPr>
        <w:instrText xml:space="preserve"> ADDIN EN.CITE </w:instrText>
      </w:r>
      <w:r w:rsidR="00776894" w:rsidRPr="0017742B">
        <w:rPr>
          <w:rFonts w:cs="Times New Roman"/>
          <w:sz w:val="20"/>
          <w:szCs w:val="20"/>
          <w:lang w:val="en-US"/>
        </w:rPr>
        <w:fldChar w:fldCharType="begin">
          <w:fldData xml:space="preserve">PEVuZE5vdGU+PENpdGU+PEF1dGhvcj5NYWNob2xkPC9BdXRob3I+PFllYXI+MjAxMDwvWWVhcj48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</w:fldData>
        </w:fldChar>
      </w:r>
      <w:r w:rsidR="00776894" w:rsidRPr="0017742B">
        <w:rPr>
          <w:rFonts w:cs="Times New Roman"/>
          <w:sz w:val="20"/>
          <w:szCs w:val="20"/>
          <w:lang w:val="en-US"/>
        </w:rPr>
        <w:instrText xml:space="preserve"> ADDIN EN.CITE.DATA </w:instrText>
      </w:r>
      <w:r w:rsidR="00776894" w:rsidRPr="0017742B">
        <w:rPr>
          <w:rFonts w:cs="Times New Roman"/>
          <w:sz w:val="20"/>
          <w:szCs w:val="20"/>
          <w:lang w:val="en-US"/>
        </w:rPr>
      </w:r>
      <w:r w:rsidR="00776894" w:rsidRPr="0017742B">
        <w:rPr>
          <w:rFonts w:cs="Times New Roman"/>
          <w:sz w:val="20"/>
          <w:szCs w:val="20"/>
          <w:lang w:val="en-US"/>
        </w:rPr>
        <w:fldChar w:fldCharType="end"/>
      </w:r>
      <w:r w:rsidRPr="0017742B">
        <w:rPr>
          <w:rFonts w:cs="Times New Roman"/>
          <w:sz w:val="20"/>
          <w:szCs w:val="20"/>
          <w:lang w:val="en-US"/>
        </w:rPr>
      </w:r>
      <w:r w:rsidRPr="0017742B">
        <w:rPr>
          <w:rFonts w:cs="Times New Roman"/>
          <w:sz w:val="20"/>
          <w:szCs w:val="20"/>
          <w:lang w:val="en-US"/>
        </w:rPr>
        <w:fldChar w:fldCharType="separate"/>
      </w:r>
      <w:r w:rsidR="00776894" w:rsidRPr="0017742B">
        <w:rPr>
          <w:rFonts w:cs="Times New Roman"/>
          <w:noProof/>
          <w:sz w:val="20"/>
          <w:szCs w:val="20"/>
          <w:lang w:val="en-US"/>
        </w:rPr>
        <w:t>(1)</w:t>
      </w:r>
      <w:r w:rsidRPr="0017742B">
        <w:rPr>
          <w:rFonts w:cs="Times New Roman"/>
          <w:sz w:val="20"/>
          <w:szCs w:val="20"/>
          <w:lang w:val="en-US"/>
        </w:rPr>
        <w:fldChar w:fldCharType="end"/>
      </w:r>
      <w:r w:rsidRPr="0017742B">
        <w:rPr>
          <w:rFonts w:cs="Times New Roman"/>
          <w:sz w:val="20"/>
          <w:szCs w:val="20"/>
          <w:lang w:val="en-US"/>
        </w:rPr>
        <w:t xml:space="preserve"> and various early RA trials for MTX and anti-TNF plus MTX </w:t>
      </w:r>
      <w:r w:rsidRPr="0017742B">
        <w:rPr>
          <w:rFonts w:cs="Times New Roman"/>
          <w:sz w:val="20"/>
          <w:szCs w:val="20"/>
          <w:lang w:val="en-US"/>
        </w:rPr>
        <w:fldChar w:fldCharType="begin">
          <w:fldData xml:space="preserve">PEVuZE5vdGU+PENpdGU+PEF1dGhvcj5TbW9sZW48L0F1dGhvcj48WWVhcj4yMDE0PC9ZZWFyPjxS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</w:fldData>
        </w:fldChar>
      </w:r>
      <w:r w:rsidR="00776894" w:rsidRPr="0017742B">
        <w:rPr>
          <w:rFonts w:cs="Times New Roman"/>
          <w:sz w:val="20"/>
          <w:szCs w:val="20"/>
          <w:lang w:val="en-US"/>
        </w:rPr>
        <w:instrText xml:space="preserve"> ADDIN EN.CITE </w:instrText>
      </w:r>
      <w:r w:rsidR="00776894" w:rsidRPr="0017742B">
        <w:rPr>
          <w:rFonts w:cs="Times New Roman"/>
          <w:sz w:val="20"/>
          <w:szCs w:val="20"/>
          <w:lang w:val="en-US"/>
        </w:rPr>
        <w:fldChar w:fldCharType="begin">
          <w:fldData xml:space="preserve">PEVuZE5vdGU+PENpdGU+PEF1dGhvcj5TbW9sZW48L0F1dGhvcj48WWVhcj4yMDE0PC9ZZWFyPjxS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</w:fldData>
        </w:fldChar>
      </w:r>
      <w:r w:rsidR="00776894" w:rsidRPr="0017742B">
        <w:rPr>
          <w:rFonts w:cs="Times New Roman"/>
          <w:sz w:val="20"/>
          <w:szCs w:val="20"/>
          <w:lang w:val="en-US"/>
        </w:rPr>
        <w:instrText xml:space="preserve"> ADDIN EN.CITE.DATA </w:instrText>
      </w:r>
      <w:r w:rsidR="00776894" w:rsidRPr="0017742B">
        <w:rPr>
          <w:rFonts w:cs="Times New Roman"/>
          <w:sz w:val="20"/>
          <w:szCs w:val="20"/>
          <w:lang w:val="en-US"/>
        </w:rPr>
      </w:r>
      <w:r w:rsidR="00776894" w:rsidRPr="0017742B">
        <w:rPr>
          <w:rFonts w:cs="Times New Roman"/>
          <w:sz w:val="20"/>
          <w:szCs w:val="20"/>
          <w:lang w:val="en-US"/>
        </w:rPr>
        <w:fldChar w:fldCharType="end"/>
      </w:r>
      <w:r w:rsidRPr="0017742B">
        <w:rPr>
          <w:rFonts w:cs="Times New Roman"/>
          <w:sz w:val="20"/>
          <w:szCs w:val="20"/>
          <w:lang w:val="en-US"/>
        </w:rPr>
      </w:r>
      <w:r w:rsidRPr="0017742B">
        <w:rPr>
          <w:rFonts w:cs="Times New Roman"/>
          <w:sz w:val="20"/>
          <w:szCs w:val="20"/>
          <w:lang w:val="en-US"/>
        </w:rPr>
        <w:fldChar w:fldCharType="separate"/>
      </w:r>
      <w:r w:rsidR="00776894" w:rsidRPr="0017742B">
        <w:rPr>
          <w:rFonts w:cs="Times New Roman"/>
          <w:noProof/>
          <w:sz w:val="20"/>
          <w:szCs w:val="20"/>
          <w:lang w:val="en-US"/>
        </w:rPr>
        <w:t>(3-6)</w:t>
      </w:r>
      <w:r w:rsidRPr="0017742B">
        <w:rPr>
          <w:rFonts w:cs="Times New Roman"/>
          <w:sz w:val="20"/>
          <w:szCs w:val="20"/>
          <w:lang w:val="en-US"/>
        </w:rPr>
        <w:fldChar w:fldCharType="end"/>
      </w:r>
      <w:r w:rsidRPr="0017742B">
        <w:rPr>
          <w:rFonts w:cs="Times New Roman"/>
          <w:sz w:val="20"/>
          <w:szCs w:val="20"/>
          <w:lang w:val="en-US"/>
        </w:rPr>
        <w:t xml:space="preserve">. With 80% power and a significance level of 0.05 to differentiate anti-TNF plus MTX from both MTX alone and PL, the sample size calculation resulted into a total of 90 patients (2:2:1 randomization) for the three treatment groups. </w:t>
      </w:r>
    </w:p>
    <w:p w:rsidR="00C62C6E" w:rsidRPr="0017742B" w:rsidRDefault="00C62C6E" w:rsidP="00C62C6E">
      <w:pPr>
        <w:spacing w:after="0"/>
        <w:jc w:val="both"/>
        <w:rPr>
          <w:rFonts w:cs="Times New Roman"/>
          <w:sz w:val="20"/>
          <w:szCs w:val="20"/>
          <w:lang w:val="en-US"/>
        </w:rPr>
      </w:pPr>
    </w:p>
    <w:p w:rsidR="001F6F90" w:rsidRPr="0017742B" w:rsidRDefault="001F6F90" w:rsidP="001F6F90">
      <w:pPr>
        <w:jc w:val="both"/>
        <w:rPr>
          <w:rFonts w:cs="Times New Roman"/>
          <w:b/>
          <w:sz w:val="20"/>
          <w:szCs w:val="20"/>
          <w:u w:val="single"/>
          <w:lang w:val="en-US"/>
        </w:rPr>
      </w:pPr>
      <w:r w:rsidRPr="0017742B">
        <w:rPr>
          <w:rFonts w:cs="Times New Roman"/>
          <w:b/>
          <w:sz w:val="20"/>
          <w:szCs w:val="20"/>
          <w:u w:val="single"/>
          <w:lang w:val="en-US"/>
        </w:rPr>
        <w:t>Supplement S</w:t>
      </w:r>
      <w:r w:rsidR="00776894" w:rsidRPr="0017742B">
        <w:rPr>
          <w:rFonts w:cs="Times New Roman"/>
          <w:b/>
          <w:sz w:val="20"/>
          <w:szCs w:val="20"/>
          <w:u w:val="single"/>
          <w:lang w:val="en-US"/>
        </w:rPr>
        <w:t>2</w:t>
      </w:r>
      <w:r w:rsidRPr="0017742B">
        <w:rPr>
          <w:rFonts w:cs="Times New Roman"/>
          <w:b/>
          <w:sz w:val="20"/>
          <w:szCs w:val="20"/>
          <w:u w:val="single"/>
          <w:lang w:val="en-US"/>
        </w:rPr>
        <w:t>. Description of the longitudinal data analysis</w:t>
      </w:r>
      <w:r w:rsidR="00C62C6E" w:rsidRPr="0017742B">
        <w:rPr>
          <w:rFonts w:cs="Times New Roman"/>
          <w:b/>
          <w:sz w:val="20"/>
          <w:szCs w:val="20"/>
          <w:u w:val="single"/>
          <w:lang w:val="en-US"/>
        </w:rPr>
        <w:t xml:space="preserve"> of clinical remission</w:t>
      </w:r>
    </w:p>
    <w:p w:rsidR="001F6F90" w:rsidRPr="0017742B" w:rsidRDefault="001F6F90" w:rsidP="001F6F90">
      <w:pPr>
        <w:jc w:val="both"/>
        <w:rPr>
          <w:rFonts w:cs="Times New Roman"/>
          <w:sz w:val="20"/>
          <w:szCs w:val="20"/>
          <w:lang w:val="en-US"/>
        </w:rPr>
      </w:pPr>
      <w:r w:rsidRPr="0017742B">
        <w:rPr>
          <w:rFonts w:cs="Times New Roman"/>
          <w:sz w:val="20"/>
          <w:szCs w:val="20"/>
          <w:lang w:val="en-US"/>
        </w:rPr>
        <w:t xml:space="preserve">In addition, longitudinal generalized linear mixed models with random intercepts were fitted, with clinical remission at two consecutive time points until weeks 46 and 54 being the dependent variable (sustained/persistent remission over time). The model parameters were estimated taking into account the treatment allocation and the interaction between treatment allocation and study visit. Generalized linear mixed models were chosen because they take into account between-individual heterogeneity, the longitudinal nature of the data and the within-subject correlations of the variables </w:t>
      </w:r>
      <w:r w:rsidRPr="0017742B">
        <w:rPr>
          <w:rFonts w:cs="Times New Roman"/>
          <w:sz w:val="20"/>
          <w:szCs w:val="20"/>
          <w:lang w:val="en-US"/>
        </w:rPr>
        <w:fldChar w:fldCharType="begin"/>
      </w:r>
      <w:r w:rsidR="00776894" w:rsidRPr="0017742B">
        <w:rPr>
          <w:rFonts w:cs="Times New Roman"/>
          <w:sz w:val="20"/>
          <w:szCs w:val="20"/>
          <w:lang w:val="en-US"/>
        </w:rPr>
        <w:instrText xml:space="preserve"> ADDIN EN.CITE &lt;EndNote&gt;&lt;Cite&gt;&lt;Author&gt;Carriere&lt;/Author&gt;&lt;Year&gt;2002&lt;/Year&gt;&lt;RecNum&gt;1664&lt;/RecNum&gt;&lt;DisplayText&gt;(7)&lt;/DisplayText&gt;&lt;record&gt;&lt;rec-number&gt;1664&lt;/rec-number&gt;&lt;foreign-keys&gt;&lt;key app="EN" db-id="a22wdvtvdpv59wevtp5v2wrlp0e5fax2ezfd" timestamp="1480667954"&gt;1664&lt;/key&gt;&lt;/foreign-keys&gt;&lt;ref-type name="Journal Article"&gt;17&lt;/ref-type&gt;&lt;contributors&gt;&lt;authors&gt;&lt;author&gt;Carriere, I.&lt;/author&gt;&lt;author&gt;Bouyer, J.&lt;/author&gt;&lt;/authors&gt;&lt;/contributors&gt;&lt;auth-address&gt;INSERM Unite 500, 39 avenue Charles Flahault, Montpellier, France. carriere@montp.inserm.fr&lt;/auth-address&gt;&lt;titles&gt;&lt;title&gt;Choosing marginal or random-effects models for longitudinal binary responses: application to self-reported disability among older persons&lt;/title&gt;&lt;secondary-title&gt;BMC Med Res Methodol&lt;/secondary-title&gt;&lt;/titles&gt;&lt;periodical&gt;&lt;full-title&gt;BMC Med Res Methodol&lt;/full-title&gt;&lt;abbr-1&gt;BMC medical research methodology&lt;/abbr-1&gt;&lt;/periodical&gt;&lt;pages&gt;15&lt;/pages&gt;&lt;volume&gt;2&lt;/volume&gt;&lt;keywords&gt;&lt;keyword&gt;Activities of Daily Living&lt;/keyword&gt;&lt;keyword&gt;Aged&lt;/keyword&gt;&lt;keyword&gt;Aged, 80 and over&lt;/keyword&gt;&lt;keyword&gt;*Disability Evaluation&lt;/keyword&gt;&lt;keyword&gt;Female&lt;/keyword&gt;&lt;keyword&gt;Humans&lt;/keyword&gt;&lt;keyword&gt;Longitudinal Studies&lt;/keyword&gt;&lt;keyword&gt;*Models, Statistical&lt;/keyword&gt;&lt;keyword&gt;Multivariate Analysis&lt;/keyword&gt;&lt;keyword&gt;Risk Factors&lt;/keyword&gt;&lt;keyword&gt;*Self Concept&lt;/keyword&gt;&lt;keyword&gt;Surveys and Questionnaires&lt;/keyword&gt;&lt;/keywords&gt;&lt;dates&gt;&lt;year&gt;2002&lt;/year&gt;&lt;pub-dates&gt;&lt;date&gt;Dec 5&lt;/date&gt;&lt;/pub-dates&gt;&lt;/dates&gt;&lt;isbn&gt;1471-2288 (Electronic)&amp;#xD;1471-2288 (Linking)&lt;/isbn&gt;&lt;accession-num&gt;12466027&lt;/accession-num&gt;&lt;urls&gt;&lt;related-urls&gt;&lt;url&gt;https://www.ncbi.nlm.nih.gov/pubmed/12466027&lt;/url&gt;&lt;/related-urls&gt;&lt;/urls&gt;&lt;custom2&gt;PMC140021&lt;/custom2&gt;&lt;/record&gt;&lt;/Cite&gt;&lt;/EndNote&gt;</w:instrText>
      </w:r>
      <w:r w:rsidRPr="0017742B">
        <w:rPr>
          <w:rFonts w:cs="Times New Roman"/>
          <w:sz w:val="20"/>
          <w:szCs w:val="20"/>
          <w:lang w:val="en-US"/>
        </w:rPr>
        <w:fldChar w:fldCharType="separate"/>
      </w:r>
      <w:r w:rsidR="00776894" w:rsidRPr="0017742B">
        <w:rPr>
          <w:rFonts w:cs="Times New Roman"/>
          <w:noProof/>
          <w:sz w:val="20"/>
          <w:szCs w:val="20"/>
          <w:lang w:val="en-US"/>
        </w:rPr>
        <w:t>(7)</w:t>
      </w:r>
      <w:r w:rsidRPr="0017742B">
        <w:rPr>
          <w:rFonts w:cs="Times New Roman"/>
          <w:sz w:val="20"/>
          <w:szCs w:val="20"/>
          <w:lang w:val="en-US"/>
        </w:rPr>
        <w:fldChar w:fldCharType="end"/>
      </w:r>
      <w:r w:rsidRPr="0017742B">
        <w:rPr>
          <w:rFonts w:cs="Times New Roman"/>
          <w:sz w:val="20"/>
          <w:szCs w:val="20"/>
          <w:lang w:val="en-US"/>
        </w:rPr>
        <w:t xml:space="preserve">. In contrast to ordinary regression methods, generalized linear mixed models do not assume independent observations. Furthermore, numbers needed to treat (NNT) being defined as the inverse of the average number of patients who need to be treated for one additional benefit (clinical remission) compared between IFX+MTX, MTX alone and/or PL, were calculated. </w:t>
      </w:r>
    </w:p>
    <w:p w:rsidR="001F6F90" w:rsidRPr="0017742B" w:rsidRDefault="00C242D7" w:rsidP="001F6F90">
      <w:pPr>
        <w:jc w:val="both"/>
        <w:rPr>
          <w:rFonts w:cs="Times New Roman"/>
          <w:sz w:val="20"/>
          <w:szCs w:val="20"/>
          <w:lang w:val="en-US"/>
        </w:rPr>
      </w:pPr>
      <w:r w:rsidRPr="0017742B">
        <w:rPr>
          <w:rFonts w:cs="Times New Roman"/>
          <w:b/>
          <w:sz w:val="20"/>
          <w:szCs w:val="20"/>
          <w:u w:val="single"/>
          <w:lang w:val="en-US"/>
        </w:rPr>
        <w:t>Supplement S3</w:t>
      </w:r>
      <w:r w:rsidR="001F6F90" w:rsidRPr="0017742B">
        <w:rPr>
          <w:rFonts w:cs="Times New Roman"/>
          <w:b/>
          <w:sz w:val="20"/>
          <w:szCs w:val="20"/>
          <w:u w:val="single"/>
          <w:lang w:val="en-US"/>
        </w:rPr>
        <w:t xml:space="preserve">. </w:t>
      </w:r>
      <w:r w:rsidR="000E1141" w:rsidRPr="0017742B">
        <w:rPr>
          <w:rFonts w:cs="Times New Roman"/>
          <w:b/>
          <w:sz w:val="20"/>
          <w:szCs w:val="20"/>
          <w:u w:val="single"/>
          <w:lang w:val="en-US"/>
        </w:rPr>
        <w:t>Results of the l</w:t>
      </w:r>
      <w:r w:rsidR="001F6F90" w:rsidRPr="0017742B">
        <w:rPr>
          <w:rFonts w:cs="Times New Roman"/>
          <w:b/>
          <w:sz w:val="20"/>
          <w:szCs w:val="20"/>
          <w:u w:val="single"/>
          <w:lang w:val="en-US"/>
        </w:rPr>
        <w:t>ongitudinal analysis of clinical remission</w:t>
      </w:r>
    </w:p>
    <w:p w:rsidR="001F6F90" w:rsidRPr="0017742B" w:rsidRDefault="001F6F90" w:rsidP="001F6F90">
      <w:pPr>
        <w:jc w:val="both"/>
        <w:rPr>
          <w:rFonts w:cs="Times New Roman"/>
          <w:sz w:val="20"/>
          <w:szCs w:val="20"/>
          <w:lang w:val="en-US"/>
        </w:rPr>
      </w:pPr>
      <w:r w:rsidRPr="0017742B">
        <w:rPr>
          <w:rFonts w:cs="Times New Roman"/>
          <w:sz w:val="20"/>
          <w:szCs w:val="20"/>
          <w:lang w:val="en-US"/>
        </w:rPr>
        <w:t xml:space="preserve">Supplemental table B depicts the results of the generalized linear mixed model that revealed a statistically significant effect of IFX+MTX and MTX over one year (the time of the primary endpoint) for a patient to achieve clinical remission at two subsequent visits when compared to PL (p&lt;0.05). The estimated odds ratios in supplemental table B indicate that a patient in the IFX+MTX group had a 35-times higher change to reach clinical remission compared to PL. Two further generalized linear mixed models, one model taking into account the interaction between treatment allocation and study visit and another model based on the MTX+IFX and the MTX groups only without the placebo group, did not reveal statistically significant contributions/effects of either IFX+MTX or MTX to achieve clinical remission (data not shown). </w:t>
      </w:r>
    </w:p>
    <w:p w:rsidR="00C242D7" w:rsidRPr="0017742B" w:rsidRDefault="00C242D7" w:rsidP="00323203">
      <w:pPr>
        <w:jc w:val="both"/>
        <w:rPr>
          <w:rFonts w:cs="Times New Roman"/>
          <w:b/>
          <w:sz w:val="20"/>
          <w:szCs w:val="20"/>
          <w:u w:val="single"/>
          <w:lang w:val="en-US"/>
        </w:rPr>
      </w:pPr>
    </w:p>
    <w:p w:rsidR="00323203" w:rsidRPr="0017742B" w:rsidRDefault="0017676E" w:rsidP="00323203">
      <w:pPr>
        <w:jc w:val="both"/>
        <w:rPr>
          <w:rFonts w:cs="Times New Roman"/>
          <w:b/>
          <w:sz w:val="20"/>
          <w:szCs w:val="20"/>
          <w:u w:val="single"/>
          <w:lang w:val="en-US"/>
        </w:rPr>
      </w:pPr>
      <w:r w:rsidRPr="0017742B">
        <w:rPr>
          <w:rFonts w:cs="Times New Roman"/>
          <w:b/>
          <w:sz w:val="20"/>
          <w:szCs w:val="20"/>
          <w:u w:val="single"/>
          <w:lang w:val="en-US"/>
        </w:rPr>
        <w:t>F</w:t>
      </w:r>
      <w:r w:rsidR="00323203" w:rsidRPr="0017742B">
        <w:rPr>
          <w:rFonts w:cs="Times New Roman"/>
          <w:b/>
          <w:sz w:val="20"/>
          <w:szCs w:val="20"/>
          <w:u w:val="single"/>
          <w:lang w:val="en-US"/>
        </w:rPr>
        <w:t xml:space="preserve">igure </w:t>
      </w:r>
      <w:r>
        <w:rPr>
          <w:rFonts w:cs="Times New Roman"/>
          <w:b/>
          <w:sz w:val="20"/>
          <w:szCs w:val="20"/>
          <w:u w:val="single"/>
          <w:lang w:val="en-US"/>
        </w:rPr>
        <w:t>S</w:t>
      </w:r>
      <w:r w:rsidR="00F43CC9" w:rsidRPr="0017742B">
        <w:rPr>
          <w:rFonts w:cs="Times New Roman"/>
          <w:b/>
          <w:sz w:val="20"/>
          <w:szCs w:val="20"/>
          <w:u w:val="single"/>
          <w:lang w:val="en-US"/>
        </w:rPr>
        <w:t>A</w:t>
      </w:r>
      <w:r w:rsidR="00323203" w:rsidRPr="0017742B">
        <w:rPr>
          <w:rFonts w:cs="Times New Roman"/>
          <w:b/>
          <w:sz w:val="20"/>
          <w:szCs w:val="20"/>
          <w:u w:val="single"/>
          <w:lang w:val="en-US"/>
        </w:rPr>
        <w:t>. Study design of the DINORA trial (included in</w:t>
      </w:r>
      <w:r w:rsidR="00B66DFB" w:rsidRPr="0017742B">
        <w:rPr>
          <w:rFonts w:cs="Times New Roman"/>
          <w:b/>
          <w:sz w:val="20"/>
          <w:szCs w:val="20"/>
          <w:u w:val="single"/>
          <w:lang w:val="en-US"/>
        </w:rPr>
        <w:t xml:space="preserve"> the</w:t>
      </w:r>
      <w:r w:rsidR="00323203" w:rsidRPr="0017742B">
        <w:rPr>
          <w:rFonts w:cs="Times New Roman"/>
          <w:b/>
          <w:sz w:val="20"/>
          <w:szCs w:val="20"/>
          <w:u w:val="single"/>
          <w:lang w:val="en-US"/>
        </w:rPr>
        <w:t xml:space="preserve"> </w:t>
      </w:r>
      <w:r w:rsidR="00C242D7" w:rsidRPr="0017742B">
        <w:rPr>
          <w:rFonts w:cs="Times New Roman"/>
          <w:b/>
          <w:sz w:val="20"/>
          <w:szCs w:val="20"/>
          <w:u w:val="single"/>
          <w:lang w:val="en-US"/>
        </w:rPr>
        <w:t>additional</w:t>
      </w:r>
      <w:r w:rsidR="00323203" w:rsidRPr="0017742B">
        <w:rPr>
          <w:rFonts w:cs="Times New Roman"/>
          <w:b/>
          <w:sz w:val="20"/>
          <w:szCs w:val="20"/>
          <w:u w:val="single"/>
          <w:lang w:val="en-US"/>
        </w:rPr>
        <w:t xml:space="preserve"> file</w:t>
      </w:r>
      <w:r w:rsidR="00C242D7" w:rsidRPr="0017742B">
        <w:rPr>
          <w:rFonts w:cs="Times New Roman"/>
          <w:b/>
          <w:sz w:val="20"/>
          <w:szCs w:val="20"/>
          <w:u w:val="single"/>
          <w:lang w:val="en-US"/>
        </w:rPr>
        <w:t xml:space="preserve"> </w:t>
      </w:r>
      <w:r w:rsidR="00BE1AF7">
        <w:rPr>
          <w:rFonts w:cs="Times New Roman"/>
          <w:b/>
          <w:sz w:val="20"/>
          <w:szCs w:val="20"/>
          <w:u w:val="single"/>
          <w:lang w:val="en-US"/>
        </w:rPr>
        <w:t>1</w:t>
      </w:r>
      <w:r w:rsidR="00323203" w:rsidRPr="0017742B">
        <w:rPr>
          <w:rFonts w:cs="Times New Roman"/>
          <w:b/>
          <w:sz w:val="20"/>
          <w:szCs w:val="20"/>
          <w:u w:val="single"/>
          <w:lang w:val="en-US"/>
        </w:rPr>
        <w:t>)</w:t>
      </w:r>
    </w:p>
    <w:p w:rsidR="00323203" w:rsidRPr="0017742B" w:rsidRDefault="00323203" w:rsidP="00323203">
      <w:pPr>
        <w:jc w:val="both"/>
        <w:rPr>
          <w:rFonts w:cs="Times New Roman"/>
          <w:b/>
          <w:sz w:val="20"/>
          <w:szCs w:val="20"/>
          <w:u w:val="single"/>
          <w:lang w:val="en-US"/>
        </w:rPr>
      </w:pPr>
    </w:p>
    <w:p w:rsidR="00323203" w:rsidRPr="0017742B" w:rsidRDefault="0017676E" w:rsidP="00323203">
      <w:pPr>
        <w:jc w:val="both"/>
        <w:rPr>
          <w:rFonts w:cs="Times New Roman"/>
          <w:b/>
          <w:sz w:val="20"/>
          <w:szCs w:val="20"/>
          <w:u w:val="single"/>
          <w:lang w:val="en-US"/>
        </w:rPr>
      </w:pPr>
      <w:r w:rsidRPr="0017742B">
        <w:rPr>
          <w:rFonts w:cs="Times New Roman"/>
          <w:b/>
          <w:sz w:val="20"/>
          <w:szCs w:val="20"/>
          <w:u w:val="single"/>
          <w:lang w:val="en-US"/>
        </w:rPr>
        <w:lastRenderedPageBreak/>
        <w:t>F</w:t>
      </w:r>
      <w:r w:rsidR="00323203" w:rsidRPr="0017742B">
        <w:rPr>
          <w:rFonts w:cs="Times New Roman"/>
          <w:b/>
          <w:sz w:val="20"/>
          <w:szCs w:val="20"/>
          <w:u w:val="single"/>
          <w:lang w:val="en-US"/>
        </w:rPr>
        <w:t xml:space="preserve">igure </w:t>
      </w:r>
      <w:r>
        <w:rPr>
          <w:rFonts w:cs="Times New Roman"/>
          <w:b/>
          <w:sz w:val="20"/>
          <w:szCs w:val="20"/>
          <w:u w:val="single"/>
          <w:lang w:val="en-US"/>
        </w:rPr>
        <w:t>S</w:t>
      </w:r>
      <w:r w:rsidR="00F43CC9" w:rsidRPr="0017742B">
        <w:rPr>
          <w:rFonts w:cs="Times New Roman"/>
          <w:b/>
          <w:sz w:val="20"/>
          <w:szCs w:val="20"/>
          <w:u w:val="single"/>
          <w:lang w:val="en-US"/>
        </w:rPr>
        <w:t>B</w:t>
      </w:r>
      <w:r w:rsidR="00323203" w:rsidRPr="0017742B">
        <w:rPr>
          <w:rFonts w:cs="Times New Roman"/>
          <w:b/>
          <w:sz w:val="20"/>
          <w:szCs w:val="20"/>
          <w:u w:val="single"/>
          <w:lang w:val="en-US"/>
        </w:rPr>
        <w:t>. Stepwise hierarchical hypothesis testing:</w:t>
      </w:r>
      <w:r w:rsidR="00323203" w:rsidRPr="0017742B">
        <w:rPr>
          <w:rFonts w:cs="Times New Roman"/>
          <w:sz w:val="20"/>
          <w:szCs w:val="20"/>
          <w:lang w:val="en-US"/>
        </w:rPr>
        <w:t xml:space="preserve"> the strategy of stepwise hierarchical hypothesis testing used in the present study </w:t>
      </w:r>
      <w:r w:rsidR="00323203" w:rsidRPr="0017742B">
        <w:rPr>
          <w:rFonts w:cs="Times New Roman"/>
          <w:b/>
          <w:sz w:val="20"/>
          <w:szCs w:val="20"/>
          <w:u w:val="single"/>
          <w:lang w:val="en-US"/>
        </w:rPr>
        <w:t xml:space="preserve">(included </w:t>
      </w:r>
      <w:r w:rsidR="00C242D7" w:rsidRPr="0017742B">
        <w:rPr>
          <w:rFonts w:cs="Times New Roman"/>
          <w:b/>
          <w:sz w:val="20"/>
          <w:szCs w:val="20"/>
          <w:u w:val="single"/>
          <w:lang w:val="en-US"/>
        </w:rPr>
        <w:t>in</w:t>
      </w:r>
      <w:r w:rsidR="00B66DFB" w:rsidRPr="0017742B">
        <w:rPr>
          <w:rFonts w:cs="Times New Roman"/>
          <w:b/>
          <w:sz w:val="20"/>
          <w:szCs w:val="20"/>
          <w:u w:val="single"/>
          <w:lang w:val="en-US"/>
        </w:rPr>
        <w:t xml:space="preserve"> the</w:t>
      </w:r>
      <w:r w:rsidR="00C242D7" w:rsidRPr="0017742B">
        <w:rPr>
          <w:rFonts w:cs="Times New Roman"/>
          <w:b/>
          <w:sz w:val="20"/>
          <w:szCs w:val="20"/>
          <w:u w:val="single"/>
          <w:lang w:val="en-US"/>
        </w:rPr>
        <w:t xml:space="preserve"> additional file </w:t>
      </w:r>
      <w:r w:rsidR="00BE1AF7">
        <w:rPr>
          <w:rFonts w:cs="Times New Roman"/>
          <w:b/>
          <w:sz w:val="20"/>
          <w:szCs w:val="20"/>
          <w:u w:val="single"/>
          <w:lang w:val="en-US"/>
        </w:rPr>
        <w:t>1</w:t>
      </w:r>
      <w:bookmarkStart w:id="0" w:name="_GoBack"/>
      <w:bookmarkEnd w:id="0"/>
      <w:r w:rsidR="00323203" w:rsidRPr="0017742B">
        <w:rPr>
          <w:rFonts w:cs="Times New Roman"/>
          <w:b/>
          <w:sz w:val="20"/>
          <w:szCs w:val="20"/>
          <w:u w:val="single"/>
          <w:lang w:val="en-US"/>
        </w:rPr>
        <w:t>).</w:t>
      </w:r>
    </w:p>
    <w:p w:rsidR="00323203" w:rsidRPr="0017742B" w:rsidRDefault="00323203" w:rsidP="00CE35B9">
      <w:pPr>
        <w:jc w:val="both"/>
        <w:rPr>
          <w:rFonts w:cs="Times New Roman"/>
          <w:b/>
          <w:sz w:val="20"/>
          <w:szCs w:val="20"/>
          <w:u w:val="single"/>
          <w:lang w:val="en-US"/>
        </w:rPr>
      </w:pPr>
    </w:p>
    <w:p w:rsidR="00D962BA" w:rsidRPr="0017742B" w:rsidRDefault="0017676E" w:rsidP="00CE35B9">
      <w:pPr>
        <w:jc w:val="both"/>
        <w:rPr>
          <w:rFonts w:cs="Times New Roman"/>
          <w:sz w:val="20"/>
          <w:szCs w:val="20"/>
          <w:lang w:val="en-US"/>
        </w:rPr>
      </w:pPr>
      <w:r w:rsidRPr="0017742B">
        <w:rPr>
          <w:rFonts w:cs="Times New Roman"/>
          <w:b/>
          <w:sz w:val="20"/>
          <w:szCs w:val="20"/>
          <w:u w:val="single"/>
          <w:lang w:val="en-US"/>
        </w:rPr>
        <w:t>F</w:t>
      </w:r>
      <w:r w:rsidR="00D962BA" w:rsidRPr="0017742B">
        <w:rPr>
          <w:rFonts w:cs="Times New Roman"/>
          <w:b/>
          <w:sz w:val="20"/>
          <w:szCs w:val="20"/>
          <w:u w:val="single"/>
          <w:lang w:val="en-US"/>
        </w:rPr>
        <w:t xml:space="preserve">igure </w:t>
      </w:r>
      <w:r>
        <w:rPr>
          <w:rFonts w:cs="Times New Roman"/>
          <w:b/>
          <w:sz w:val="20"/>
          <w:szCs w:val="20"/>
          <w:u w:val="single"/>
          <w:lang w:val="en-US"/>
        </w:rPr>
        <w:t>S</w:t>
      </w:r>
      <w:r w:rsidR="00F43CC9" w:rsidRPr="0017742B">
        <w:rPr>
          <w:rFonts w:cs="Times New Roman"/>
          <w:b/>
          <w:sz w:val="20"/>
          <w:szCs w:val="20"/>
          <w:u w:val="single"/>
          <w:lang w:val="en-US"/>
        </w:rPr>
        <w:t>C</w:t>
      </w:r>
      <w:r w:rsidR="0041617E" w:rsidRPr="0017742B">
        <w:rPr>
          <w:rFonts w:cs="Times New Roman"/>
          <w:b/>
          <w:sz w:val="20"/>
          <w:szCs w:val="20"/>
          <w:u w:val="single"/>
          <w:lang w:val="en-US"/>
        </w:rPr>
        <w:t>.</w:t>
      </w:r>
      <w:r w:rsidR="00D962BA" w:rsidRPr="0017742B">
        <w:rPr>
          <w:rFonts w:cs="Times New Roman"/>
          <w:b/>
          <w:sz w:val="20"/>
          <w:szCs w:val="20"/>
          <w:lang w:val="en-US"/>
        </w:rPr>
        <w:t xml:space="preserve"> </w:t>
      </w:r>
      <w:r w:rsidR="0041617E" w:rsidRPr="0017742B">
        <w:rPr>
          <w:rFonts w:cs="Times New Roman"/>
          <w:b/>
          <w:sz w:val="20"/>
          <w:szCs w:val="20"/>
          <w:lang w:val="en-US"/>
        </w:rPr>
        <w:t>T</w:t>
      </w:r>
      <w:r w:rsidR="00045A70" w:rsidRPr="0017742B">
        <w:rPr>
          <w:rFonts w:cs="Times New Roman"/>
          <w:b/>
          <w:sz w:val="20"/>
          <w:szCs w:val="20"/>
          <w:lang w:val="en-US"/>
        </w:rPr>
        <w:t xml:space="preserve">otal </w:t>
      </w:r>
      <w:proofErr w:type="spellStart"/>
      <w:r w:rsidR="00045A70" w:rsidRPr="0017742B">
        <w:rPr>
          <w:rFonts w:cs="Times New Roman"/>
          <w:b/>
          <w:sz w:val="20"/>
          <w:szCs w:val="20"/>
          <w:lang w:val="en-US"/>
        </w:rPr>
        <w:t>SvdH</w:t>
      </w:r>
      <w:proofErr w:type="spellEnd"/>
      <w:r w:rsidR="00045A70" w:rsidRPr="0017742B">
        <w:rPr>
          <w:rFonts w:cs="Times New Roman"/>
          <w:b/>
          <w:sz w:val="20"/>
          <w:szCs w:val="20"/>
          <w:lang w:val="en-US"/>
        </w:rPr>
        <w:t xml:space="preserve"> scores over time </w:t>
      </w:r>
      <w:r w:rsidR="00537755" w:rsidRPr="0017742B">
        <w:rPr>
          <w:rFonts w:cs="Times New Roman"/>
          <w:b/>
          <w:sz w:val="20"/>
          <w:szCs w:val="20"/>
          <w:lang w:val="en-US"/>
        </w:rPr>
        <w:t>by</w:t>
      </w:r>
      <w:r w:rsidR="00045A70" w:rsidRPr="0017742B">
        <w:rPr>
          <w:rFonts w:cs="Times New Roman"/>
          <w:b/>
          <w:sz w:val="20"/>
          <w:szCs w:val="20"/>
          <w:lang w:val="en-US"/>
        </w:rPr>
        <w:t xml:space="preserve"> treatment group:</w:t>
      </w:r>
      <w:r w:rsidR="00045A70" w:rsidRPr="0017742B">
        <w:rPr>
          <w:rFonts w:cs="Times New Roman"/>
          <w:sz w:val="20"/>
          <w:szCs w:val="20"/>
          <w:lang w:val="en-US"/>
        </w:rPr>
        <w:t xml:space="preserve"> </w:t>
      </w:r>
      <w:r w:rsidR="00712E87" w:rsidRPr="0017742B">
        <w:rPr>
          <w:rFonts w:cs="Times New Roman"/>
          <w:sz w:val="20"/>
          <w:szCs w:val="20"/>
          <w:lang w:val="en-US"/>
        </w:rPr>
        <w:t>d</w:t>
      </w:r>
      <w:r w:rsidR="00D962BA" w:rsidRPr="0017742B">
        <w:rPr>
          <w:rFonts w:cs="Times New Roman"/>
          <w:sz w:val="20"/>
          <w:szCs w:val="20"/>
          <w:lang w:val="en-US"/>
        </w:rPr>
        <w:t>escriptive statistics (graphical display) of mean (± standard deviation) of the absolute value of the tot</w:t>
      </w:r>
      <w:r w:rsidR="00556300" w:rsidRPr="0017742B">
        <w:rPr>
          <w:rFonts w:cs="Times New Roman"/>
          <w:sz w:val="20"/>
          <w:szCs w:val="20"/>
          <w:lang w:val="en-US"/>
        </w:rPr>
        <w:t xml:space="preserve">al </w:t>
      </w:r>
      <w:proofErr w:type="spellStart"/>
      <w:r w:rsidR="00556300" w:rsidRPr="0017742B">
        <w:rPr>
          <w:rFonts w:cs="Times New Roman"/>
          <w:sz w:val="20"/>
          <w:szCs w:val="20"/>
          <w:lang w:val="en-US"/>
        </w:rPr>
        <w:t>SvdH</w:t>
      </w:r>
      <w:proofErr w:type="spellEnd"/>
      <w:r w:rsidR="00556300" w:rsidRPr="0017742B">
        <w:rPr>
          <w:rFonts w:cs="Times New Roman"/>
          <w:sz w:val="20"/>
          <w:szCs w:val="20"/>
          <w:lang w:val="en-US"/>
        </w:rPr>
        <w:t xml:space="preserve"> score (average between reader 1 and reader </w:t>
      </w:r>
      <w:r w:rsidR="00D962BA" w:rsidRPr="0017742B">
        <w:rPr>
          <w:rFonts w:cs="Times New Roman"/>
          <w:sz w:val="20"/>
          <w:szCs w:val="20"/>
          <w:lang w:val="en-US"/>
        </w:rPr>
        <w:t>2 without imputation) during 24 months of follow-up per treatment group.</w:t>
      </w:r>
      <w:r w:rsidR="001F6F90" w:rsidRPr="0017742B">
        <w:rPr>
          <w:rFonts w:cs="Times New Roman"/>
          <w:sz w:val="20"/>
          <w:szCs w:val="20"/>
          <w:lang w:val="en-US"/>
        </w:rPr>
        <w:t xml:space="preserve"> All three treatment groups had similar progression scores. Longitudinal analyses showed no significant effect of treatment with either IFN+MTX or MTX-only as compared to placebo in the rate of progression of the </w:t>
      </w:r>
      <w:proofErr w:type="spellStart"/>
      <w:r w:rsidR="001F6F90" w:rsidRPr="0017742B">
        <w:rPr>
          <w:rFonts w:cs="Times New Roman"/>
          <w:sz w:val="20"/>
          <w:szCs w:val="20"/>
          <w:lang w:val="en-US"/>
        </w:rPr>
        <w:t>SvdH</w:t>
      </w:r>
      <w:proofErr w:type="spellEnd"/>
      <w:r w:rsidR="001F6F90" w:rsidRPr="0017742B">
        <w:rPr>
          <w:rFonts w:cs="Times New Roman"/>
          <w:sz w:val="20"/>
          <w:szCs w:val="20"/>
          <w:lang w:val="en-US"/>
        </w:rPr>
        <w:t xml:space="preserve"> score over the 2-year follow-up as well as no significant difference in the rate of radiographic progression between treatment groups over the 2-years follow-up (interaction treatment-time p-value&gt;0.15) (data not shown). The overall progression rate was relatively low even in the PL group.</w:t>
      </w:r>
    </w:p>
    <w:p w:rsidR="00D962BA" w:rsidRPr="0017742B" w:rsidRDefault="00D962BA" w:rsidP="00D962BA">
      <w:pPr>
        <w:rPr>
          <w:i/>
        </w:rPr>
      </w:pPr>
      <w:r w:rsidRPr="0017742B">
        <w:rPr>
          <w:b/>
          <w:i/>
          <w:noProof/>
          <w:lang w:val="en-US"/>
        </w:rPr>
        <w:drawing>
          <wp:inline distT="0" distB="0" distL="0" distR="0" wp14:anchorId="41DD5BF4" wp14:editId="641D7B80">
            <wp:extent cx="4719917" cy="3452983"/>
            <wp:effectExtent l="19050" t="19050" r="2413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EAF2F3"/>
                        </a:clrFrom>
                        <a:clrTo>
                          <a:srgbClr val="EAF2F3">
                            <a:alpha val="0"/>
                          </a:srgbClr>
                        </a:clrTo>
                      </a:clrChange>
                      <a:extLst>
                        <a:ext uri="{28A0092B-C50C-407E-A947-70E740481C1C}">
                          <a14:useLocalDpi xmlns:a14="http://schemas.microsoft.com/office/drawing/2010/main" val="0"/>
                        </a:ext>
                      </a:extLst>
                    </a:blip>
                    <a:srcRect/>
                    <a:stretch>
                      <a:fillRect/>
                    </a:stretch>
                  </pic:blipFill>
                  <pic:spPr bwMode="auto">
                    <a:xfrm>
                      <a:off x="0" y="0"/>
                      <a:ext cx="4722434" cy="3454824"/>
                    </a:xfrm>
                    <a:prstGeom prst="rect">
                      <a:avLst/>
                    </a:prstGeom>
                    <a:noFill/>
                    <a:ln>
                      <a:solidFill>
                        <a:schemeClr val="tx1"/>
                      </a:solidFill>
                    </a:ln>
                  </pic:spPr>
                </pic:pic>
              </a:graphicData>
            </a:graphic>
          </wp:inline>
        </w:drawing>
      </w:r>
    </w:p>
    <w:p w:rsidR="00FA1809" w:rsidRPr="0017742B" w:rsidRDefault="00FA1809" w:rsidP="00323203">
      <w:pPr>
        <w:rPr>
          <w:b/>
          <w:u w:val="single"/>
        </w:rPr>
      </w:pPr>
    </w:p>
    <w:p w:rsidR="00556300" w:rsidRPr="0017742B" w:rsidRDefault="0017676E" w:rsidP="00323203">
      <w:pPr>
        <w:rPr>
          <w:rFonts w:cs="Times New Roman"/>
          <w:b/>
          <w:sz w:val="20"/>
          <w:szCs w:val="20"/>
          <w:u w:val="single"/>
          <w:lang w:val="en-US"/>
        </w:rPr>
      </w:pPr>
      <w:r w:rsidRPr="0017742B">
        <w:rPr>
          <w:rFonts w:cs="Times New Roman"/>
          <w:b/>
          <w:sz w:val="20"/>
          <w:szCs w:val="20"/>
          <w:u w:val="single"/>
          <w:lang w:val="en-US"/>
        </w:rPr>
        <w:t>T</w:t>
      </w:r>
      <w:r w:rsidR="00CE35B9" w:rsidRPr="0017742B">
        <w:rPr>
          <w:rFonts w:cs="Times New Roman"/>
          <w:b/>
          <w:sz w:val="20"/>
          <w:szCs w:val="20"/>
          <w:u w:val="single"/>
          <w:lang w:val="en-US"/>
        </w:rPr>
        <w:t xml:space="preserve">able </w:t>
      </w:r>
      <w:r>
        <w:rPr>
          <w:rFonts w:cs="Times New Roman"/>
          <w:b/>
          <w:sz w:val="20"/>
          <w:szCs w:val="20"/>
          <w:u w:val="single"/>
          <w:lang w:val="en-US"/>
        </w:rPr>
        <w:t>S</w:t>
      </w:r>
      <w:r w:rsidR="00F43CC9" w:rsidRPr="0017742B">
        <w:rPr>
          <w:rFonts w:cs="Times New Roman"/>
          <w:b/>
          <w:sz w:val="20"/>
          <w:szCs w:val="20"/>
          <w:u w:val="single"/>
          <w:lang w:val="en-US"/>
        </w:rPr>
        <w:t>A</w:t>
      </w:r>
      <w:r w:rsidR="0041617E" w:rsidRPr="0017742B">
        <w:rPr>
          <w:rFonts w:cs="Times New Roman"/>
          <w:b/>
          <w:sz w:val="20"/>
          <w:szCs w:val="20"/>
          <w:u w:val="single"/>
          <w:lang w:val="en-US"/>
        </w:rPr>
        <w:t>.</w:t>
      </w:r>
      <w:r w:rsidR="00CE35B9" w:rsidRPr="0017742B">
        <w:rPr>
          <w:rFonts w:cs="Times New Roman"/>
          <w:sz w:val="20"/>
          <w:szCs w:val="20"/>
          <w:lang w:val="en-US"/>
        </w:rPr>
        <w:t xml:space="preserve"> </w:t>
      </w:r>
      <w:r w:rsidR="00CE35B9" w:rsidRPr="0017742B">
        <w:rPr>
          <w:rFonts w:cs="Times New Roman"/>
          <w:b/>
          <w:sz w:val="20"/>
          <w:szCs w:val="20"/>
          <w:lang w:val="en-US"/>
        </w:rPr>
        <w:t>M</w:t>
      </w:r>
      <w:r w:rsidR="00556300" w:rsidRPr="0017742B">
        <w:rPr>
          <w:rFonts w:cs="Times New Roman"/>
          <w:b/>
          <w:sz w:val="20"/>
          <w:szCs w:val="20"/>
          <w:lang w:val="en-US"/>
        </w:rPr>
        <w:t xml:space="preserve">ean (±SD) of </w:t>
      </w:r>
      <w:proofErr w:type="spellStart"/>
      <w:r w:rsidR="00556300" w:rsidRPr="0017742B">
        <w:rPr>
          <w:rFonts w:cs="Times New Roman"/>
          <w:b/>
          <w:sz w:val="20"/>
          <w:szCs w:val="20"/>
          <w:lang w:val="en-US"/>
        </w:rPr>
        <w:t>SvdH</w:t>
      </w:r>
      <w:proofErr w:type="spellEnd"/>
      <w:r w:rsidR="00556300" w:rsidRPr="0017742B">
        <w:rPr>
          <w:rFonts w:cs="Times New Roman"/>
          <w:b/>
          <w:sz w:val="20"/>
          <w:szCs w:val="20"/>
          <w:lang w:val="en-US"/>
        </w:rPr>
        <w:t xml:space="preserve"> scores</w:t>
      </w:r>
      <w:r w:rsidR="00537755" w:rsidRPr="0017742B">
        <w:rPr>
          <w:rFonts w:cs="Times New Roman"/>
          <w:b/>
          <w:sz w:val="20"/>
          <w:szCs w:val="20"/>
          <w:lang w:val="en-US"/>
        </w:rPr>
        <w:t xml:space="preserve"> over time by</w:t>
      </w:r>
      <w:r w:rsidR="00556300" w:rsidRPr="0017742B">
        <w:rPr>
          <w:rFonts w:cs="Times New Roman"/>
          <w:b/>
          <w:sz w:val="20"/>
          <w:szCs w:val="20"/>
          <w:lang w:val="en-US"/>
        </w:rPr>
        <w:t xml:space="preserve"> treatment group without imputation</w:t>
      </w:r>
      <w:r w:rsidR="00537755" w:rsidRPr="0017742B">
        <w:rPr>
          <w:rFonts w:cs="Times New Roman"/>
          <w:b/>
          <w:sz w:val="20"/>
          <w:szCs w:val="20"/>
          <w:lang w:val="en-US"/>
        </w:rPr>
        <w:t>:</w:t>
      </w:r>
      <w:r w:rsidR="00E574A4" w:rsidRPr="0017742B">
        <w:rPr>
          <w:rFonts w:cs="Times New Roman"/>
          <w:sz w:val="20"/>
          <w:szCs w:val="20"/>
          <w:lang w:val="en-US"/>
        </w:rPr>
        <w:t xml:space="preserve"> </w:t>
      </w:r>
      <w:r w:rsidR="00537755" w:rsidRPr="0017742B">
        <w:rPr>
          <w:rFonts w:cs="Times New Roman"/>
          <w:sz w:val="20"/>
          <w:szCs w:val="20"/>
          <w:lang w:val="en-US"/>
        </w:rPr>
        <w:t xml:space="preserve">the </w:t>
      </w:r>
      <w:r w:rsidR="00556300" w:rsidRPr="0017742B">
        <w:rPr>
          <w:rFonts w:cs="Times New Roman"/>
          <w:sz w:val="20"/>
          <w:szCs w:val="20"/>
          <w:lang w:val="en-US"/>
        </w:rPr>
        <w:t xml:space="preserve">average between reader 1 and reader </w:t>
      </w:r>
      <w:r w:rsidR="00CE35B9" w:rsidRPr="0017742B">
        <w:rPr>
          <w:rFonts w:cs="Times New Roman"/>
          <w:sz w:val="20"/>
          <w:szCs w:val="20"/>
          <w:lang w:val="en-US"/>
        </w:rPr>
        <w:t>2</w:t>
      </w:r>
      <w:r w:rsidR="00537755" w:rsidRPr="0017742B">
        <w:rPr>
          <w:rFonts w:cs="Times New Roman"/>
          <w:sz w:val="20"/>
          <w:szCs w:val="20"/>
          <w:lang w:val="en-US"/>
        </w:rPr>
        <w:t xml:space="preserve"> was used.</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765"/>
        <w:gridCol w:w="1765"/>
        <w:gridCol w:w="1766"/>
        <w:gridCol w:w="1766"/>
        <w:gridCol w:w="1766"/>
      </w:tblGrid>
      <w:tr w:rsidR="00556300" w:rsidRPr="0017742B" w:rsidTr="000F30FC">
        <w:trPr>
          <w:jc w:val="center"/>
        </w:trPr>
        <w:tc>
          <w:tcPr>
            <w:tcW w:w="1765" w:type="dxa"/>
            <w:tcBorders>
              <w:bottom w:val="single" w:sz="4" w:space="0" w:color="auto"/>
              <w:right w:val="nil"/>
            </w:tcBorders>
            <w:vAlign w:val="center"/>
          </w:tcPr>
          <w:p w:rsidR="00556300" w:rsidRPr="0017742B" w:rsidRDefault="00556300" w:rsidP="000F30FC">
            <w:pPr>
              <w:spacing w:line="276" w:lineRule="auto"/>
              <w:jc w:val="both"/>
              <w:rPr>
                <w:b/>
              </w:rPr>
            </w:pPr>
            <w:r w:rsidRPr="0017742B">
              <w:rPr>
                <w:b/>
              </w:rPr>
              <w:t>Treatment arm</w:t>
            </w:r>
          </w:p>
        </w:tc>
        <w:tc>
          <w:tcPr>
            <w:tcW w:w="1765" w:type="dxa"/>
            <w:tcBorders>
              <w:left w:val="nil"/>
              <w:bottom w:val="single" w:sz="4" w:space="0" w:color="auto"/>
              <w:right w:val="nil"/>
            </w:tcBorders>
            <w:vAlign w:val="center"/>
          </w:tcPr>
          <w:p w:rsidR="00556300" w:rsidRPr="0017742B" w:rsidRDefault="00556300" w:rsidP="000F30FC">
            <w:pPr>
              <w:spacing w:line="276" w:lineRule="auto"/>
              <w:jc w:val="center"/>
              <w:rPr>
                <w:b/>
              </w:rPr>
            </w:pPr>
            <w:r w:rsidRPr="0017742B">
              <w:rPr>
                <w:b/>
              </w:rPr>
              <w:t>Baseline</w:t>
            </w:r>
          </w:p>
        </w:tc>
        <w:tc>
          <w:tcPr>
            <w:tcW w:w="1766" w:type="dxa"/>
            <w:tcBorders>
              <w:left w:val="nil"/>
              <w:bottom w:val="single" w:sz="4" w:space="0" w:color="auto"/>
              <w:right w:val="nil"/>
            </w:tcBorders>
            <w:vAlign w:val="center"/>
          </w:tcPr>
          <w:p w:rsidR="00556300" w:rsidRPr="0017742B" w:rsidRDefault="00556300" w:rsidP="000F30FC">
            <w:pPr>
              <w:spacing w:line="276" w:lineRule="auto"/>
              <w:jc w:val="center"/>
              <w:rPr>
                <w:b/>
              </w:rPr>
            </w:pPr>
            <w:r w:rsidRPr="0017742B">
              <w:rPr>
                <w:b/>
              </w:rPr>
              <w:t>6 months</w:t>
            </w:r>
          </w:p>
        </w:tc>
        <w:tc>
          <w:tcPr>
            <w:tcW w:w="1766" w:type="dxa"/>
            <w:tcBorders>
              <w:left w:val="nil"/>
              <w:bottom w:val="single" w:sz="4" w:space="0" w:color="auto"/>
              <w:right w:val="nil"/>
            </w:tcBorders>
            <w:vAlign w:val="center"/>
          </w:tcPr>
          <w:p w:rsidR="00556300" w:rsidRPr="0017742B" w:rsidRDefault="00556300" w:rsidP="000F30FC">
            <w:pPr>
              <w:spacing w:line="276" w:lineRule="auto"/>
              <w:jc w:val="center"/>
              <w:rPr>
                <w:b/>
              </w:rPr>
            </w:pPr>
            <w:r w:rsidRPr="0017742B">
              <w:rPr>
                <w:b/>
              </w:rPr>
              <w:t>12 months</w:t>
            </w:r>
          </w:p>
        </w:tc>
        <w:tc>
          <w:tcPr>
            <w:tcW w:w="1766" w:type="dxa"/>
            <w:tcBorders>
              <w:left w:val="nil"/>
              <w:bottom w:val="single" w:sz="4" w:space="0" w:color="auto"/>
            </w:tcBorders>
            <w:vAlign w:val="center"/>
          </w:tcPr>
          <w:p w:rsidR="00556300" w:rsidRPr="0017742B" w:rsidRDefault="00556300" w:rsidP="000F30FC">
            <w:pPr>
              <w:spacing w:line="276" w:lineRule="auto"/>
              <w:jc w:val="center"/>
              <w:rPr>
                <w:b/>
              </w:rPr>
            </w:pPr>
            <w:r w:rsidRPr="0017742B">
              <w:rPr>
                <w:b/>
              </w:rPr>
              <w:t>24 months</w:t>
            </w:r>
          </w:p>
        </w:tc>
      </w:tr>
      <w:tr w:rsidR="00556300" w:rsidRPr="0017742B" w:rsidTr="000F30FC">
        <w:trPr>
          <w:jc w:val="center"/>
        </w:trPr>
        <w:tc>
          <w:tcPr>
            <w:tcW w:w="1765" w:type="dxa"/>
            <w:tcBorders>
              <w:top w:val="nil"/>
              <w:bottom w:val="nil"/>
              <w:right w:val="nil"/>
            </w:tcBorders>
            <w:vAlign w:val="center"/>
          </w:tcPr>
          <w:p w:rsidR="00556300" w:rsidRPr="0017742B" w:rsidRDefault="00556300" w:rsidP="00556300">
            <w:pPr>
              <w:spacing w:line="276" w:lineRule="auto"/>
              <w:jc w:val="both"/>
            </w:pPr>
            <w:r w:rsidRPr="0017742B">
              <w:t xml:space="preserve">IFN+MTX </w:t>
            </w:r>
          </w:p>
        </w:tc>
        <w:tc>
          <w:tcPr>
            <w:tcW w:w="1765" w:type="dxa"/>
            <w:tcBorders>
              <w:top w:val="nil"/>
              <w:left w:val="nil"/>
              <w:bottom w:val="nil"/>
              <w:right w:val="nil"/>
            </w:tcBorders>
            <w:vAlign w:val="center"/>
          </w:tcPr>
          <w:p w:rsidR="00556300" w:rsidRPr="0017742B" w:rsidRDefault="00DB0914" w:rsidP="000F30FC">
            <w:pPr>
              <w:spacing w:line="276" w:lineRule="auto"/>
              <w:jc w:val="center"/>
            </w:pPr>
            <w:r w:rsidRPr="0017742B">
              <w:t>3.5 (6.7</w:t>
            </w:r>
            <w:r w:rsidR="00556300" w:rsidRPr="0017742B">
              <w:t>)</w:t>
            </w:r>
          </w:p>
          <w:p w:rsidR="00DB0914" w:rsidRPr="0017742B" w:rsidRDefault="00AF196E" w:rsidP="000F30FC">
            <w:pPr>
              <w:spacing w:line="276" w:lineRule="auto"/>
              <w:jc w:val="center"/>
            </w:pPr>
            <w:r w:rsidRPr="0017742B">
              <w:t>n=35</w:t>
            </w:r>
          </w:p>
        </w:tc>
        <w:tc>
          <w:tcPr>
            <w:tcW w:w="1766" w:type="dxa"/>
            <w:tcBorders>
              <w:top w:val="nil"/>
              <w:left w:val="nil"/>
              <w:bottom w:val="nil"/>
              <w:right w:val="nil"/>
            </w:tcBorders>
            <w:vAlign w:val="center"/>
          </w:tcPr>
          <w:p w:rsidR="00556300" w:rsidRPr="0017742B" w:rsidRDefault="00EB1F4B" w:rsidP="000F30FC">
            <w:pPr>
              <w:spacing w:line="276" w:lineRule="auto"/>
              <w:jc w:val="center"/>
            </w:pPr>
            <w:r w:rsidRPr="0017742B">
              <w:t>4.1 (7.2</w:t>
            </w:r>
            <w:r w:rsidR="00556300" w:rsidRPr="0017742B">
              <w:t>)</w:t>
            </w:r>
          </w:p>
          <w:p w:rsidR="000E49C1" w:rsidRPr="0017742B" w:rsidRDefault="00AF196E" w:rsidP="000F30FC">
            <w:pPr>
              <w:spacing w:line="276" w:lineRule="auto"/>
              <w:jc w:val="center"/>
            </w:pPr>
            <w:r w:rsidRPr="0017742B">
              <w:t>n=28</w:t>
            </w:r>
          </w:p>
        </w:tc>
        <w:tc>
          <w:tcPr>
            <w:tcW w:w="1766" w:type="dxa"/>
            <w:tcBorders>
              <w:top w:val="nil"/>
              <w:left w:val="nil"/>
              <w:bottom w:val="nil"/>
              <w:right w:val="nil"/>
            </w:tcBorders>
            <w:vAlign w:val="center"/>
          </w:tcPr>
          <w:p w:rsidR="00556300" w:rsidRPr="0017742B" w:rsidRDefault="00EB1F4B" w:rsidP="000F30FC">
            <w:pPr>
              <w:spacing w:line="276" w:lineRule="auto"/>
              <w:jc w:val="center"/>
            </w:pPr>
            <w:r w:rsidRPr="0017742B">
              <w:t>5.1 (8.2</w:t>
            </w:r>
            <w:r w:rsidR="00556300" w:rsidRPr="0017742B">
              <w:t>)</w:t>
            </w:r>
          </w:p>
          <w:p w:rsidR="00AF196E" w:rsidRPr="0017742B" w:rsidRDefault="00AF196E" w:rsidP="000F30FC">
            <w:pPr>
              <w:spacing w:line="276" w:lineRule="auto"/>
              <w:jc w:val="center"/>
            </w:pPr>
            <w:r w:rsidRPr="0017742B">
              <w:t>n=22</w:t>
            </w:r>
          </w:p>
        </w:tc>
        <w:tc>
          <w:tcPr>
            <w:tcW w:w="1766" w:type="dxa"/>
            <w:tcBorders>
              <w:top w:val="nil"/>
              <w:left w:val="nil"/>
              <w:bottom w:val="nil"/>
            </w:tcBorders>
            <w:vAlign w:val="center"/>
          </w:tcPr>
          <w:p w:rsidR="00556300" w:rsidRPr="0017742B" w:rsidRDefault="00EB1F4B" w:rsidP="000F30FC">
            <w:pPr>
              <w:spacing w:line="276" w:lineRule="auto"/>
              <w:jc w:val="center"/>
            </w:pPr>
            <w:r w:rsidRPr="0017742B">
              <w:t>7.6 (10.8</w:t>
            </w:r>
            <w:r w:rsidR="00556300" w:rsidRPr="0017742B">
              <w:t>)</w:t>
            </w:r>
          </w:p>
          <w:p w:rsidR="00AF196E" w:rsidRPr="0017742B" w:rsidRDefault="00AF196E" w:rsidP="000F30FC">
            <w:pPr>
              <w:spacing w:line="276" w:lineRule="auto"/>
              <w:jc w:val="center"/>
            </w:pPr>
            <w:r w:rsidRPr="0017742B">
              <w:t>n=12</w:t>
            </w:r>
          </w:p>
        </w:tc>
      </w:tr>
      <w:tr w:rsidR="00556300" w:rsidRPr="0017742B" w:rsidTr="000F30FC">
        <w:trPr>
          <w:jc w:val="center"/>
        </w:trPr>
        <w:tc>
          <w:tcPr>
            <w:tcW w:w="1765" w:type="dxa"/>
            <w:tcBorders>
              <w:top w:val="nil"/>
              <w:bottom w:val="nil"/>
              <w:right w:val="nil"/>
            </w:tcBorders>
            <w:vAlign w:val="center"/>
          </w:tcPr>
          <w:p w:rsidR="00556300" w:rsidRPr="0017742B" w:rsidRDefault="00556300" w:rsidP="000F30FC">
            <w:pPr>
              <w:spacing w:line="276" w:lineRule="auto"/>
              <w:jc w:val="both"/>
            </w:pPr>
            <w:r w:rsidRPr="0017742B">
              <w:t xml:space="preserve">MTX </w:t>
            </w:r>
          </w:p>
        </w:tc>
        <w:tc>
          <w:tcPr>
            <w:tcW w:w="1765" w:type="dxa"/>
            <w:tcBorders>
              <w:top w:val="nil"/>
              <w:left w:val="nil"/>
              <w:bottom w:val="nil"/>
              <w:right w:val="nil"/>
            </w:tcBorders>
            <w:vAlign w:val="center"/>
          </w:tcPr>
          <w:p w:rsidR="00556300" w:rsidRPr="0017742B" w:rsidRDefault="00DB0914" w:rsidP="000F30FC">
            <w:pPr>
              <w:spacing w:line="276" w:lineRule="auto"/>
              <w:jc w:val="center"/>
            </w:pPr>
            <w:r w:rsidRPr="0017742B">
              <w:t>3.5 (4.3</w:t>
            </w:r>
            <w:r w:rsidR="00556300" w:rsidRPr="0017742B">
              <w:t>)</w:t>
            </w:r>
          </w:p>
          <w:p w:rsidR="00DB0914" w:rsidRPr="0017742B" w:rsidRDefault="00DB0914" w:rsidP="000F30FC">
            <w:pPr>
              <w:spacing w:line="276" w:lineRule="auto"/>
              <w:jc w:val="center"/>
            </w:pPr>
            <w:r w:rsidRPr="0017742B">
              <w:t>n=30</w:t>
            </w:r>
          </w:p>
        </w:tc>
        <w:tc>
          <w:tcPr>
            <w:tcW w:w="1766" w:type="dxa"/>
            <w:tcBorders>
              <w:top w:val="nil"/>
              <w:left w:val="nil"/>
              <w:bottom w:val="nil"/>
              <w:right w:val="nil"/>
            </w:tcBorders>
            <w:vAlign w:val="center"/>
          </w:tcPr>
          <w:p w:rsidR="00556300" w:rsidRPr="0017742B" w:rsidRDefault="00EB1F4B" w:rsidP="000F30FC">
            <w:pPr>
              <w:spacing w:line="276" w:lineRule="auto"/>
              <w:jc w:val="center"/>
            </w:pPr>
            <w:r w:rsidRPr="0017742B">
              <w:t>3.3 (3.7</w:t>
            </w:r>
            <w:r w:rsidR="00556300" w:rsidRPr="0017742B">
              <w:t>)</w:t>
            </w:r>
          </w:p>
          <w:p w:rsidR="00AF196E" w:rsidRPr="0017742B" w:rsidRDefault="00AF196E" w:rsidP="000F30FC">
            <w:pPr>
              <w:spacing w:line="276" w:lineRule="auto"/>
              <w:jc w:val="center"/>
            </w:pPr>
            <w:r w:rsidRPr="0017742B">
              <w:t>n=23</w:t>
            </w:r>
          </w:p>
        </w:tc>
        <w:tc>
          <w:tcPr>
            <w:tcW w:w="1766" w:type="dxa"/>
            <w:tcBorders>
              <w:top w:val="nil"/>
              <w:left w:val="nil"/>
              <w:bottom w:val="nil"/>
              <w:right w:val="nil"/>
            </w:tcBorders>
            <w:vAlign w:val="center"/>
          </w:tcPr>
          <w:p w:rsidR="00556300" w:rsidRPr="0017742B" w:rsidRDefault="00EB1F4B" w:rsidP="000F30FC">
            <w:pPr>
              <w:spacing w:line="276" w:lineRule="auto"/>
              <w:jc w:val="center"/>
            </w:pPr>
            <w:r w:rsidRPr="0017742B">
              <w:t>3.5 (4.0</w:t>
            </w:r>
            <w:r w:rsidR="00556300" w:rsidRPr="0017742B">
              <w:t>)</w:t>
            </w:r>
          </w:p>
          <w:p w:rsidR="00AF196E" w:rsidRPr="0017742B" w:rsidRDefault="00AF196E" w:rsidP="000F30FC">
            <w:pPr>
              <w:spacing w:line="276" w:lineRule="auto"/>
              <w:jc w:val="center"/>
            </w:pPr>
            <w:r w:rsidRPr="0017742B">
              <w:t>n=19</w:t>
            </w:r>
          </w:p>
        </w:tc>
        <w:tc>
          <w:tcPr>
            <w:tcW w:w="1766" w:type="dxa"/>
            <w:tcBorders>
              <w:top w:val="nil"/>
              <w:left w:val="nil"/>
              <w:bottom w:val="nil"/>
            </w:tcBorders>
            <w:vAlign w:val="center"/>
          </w:tcPr>
          <w:p w:rsidR="00556300" w:rsidRPr="0017742B" w:rsidRDefault="00EB1F4B" w:rsidP="000F30FC">
            <w:pPr>
              <w:spacing w:line="276" w:lineRule="auto"/>
              <w:jc w:val="center"/>
            </w:pPr>
            <w:r w:rsidRPr="0017742B">
              <w:t>3.4 (3.5</w:t>
            </w:r>
            <w:r w:rsidR="00556300" w:rsidRPr="0017742B">
              <w:t>)</w:t>
            </w:r>
          </w:p>
          <w:p w:rsidR="00AF196E" w:rsidRPr="0017742B" w:rsidRDefault="00AF196E" w:rsidP="000F30FC">
            <w:pPr>
              <w:spacing w:line="276" w:lineRule="auto"/>
              <w:jc w:val="center"/>
            </w:pPr>
            <w:r w:rsidRPr="0017742B">
              <w:t>n=9</w:t>
            </w:r>
          </w:p>
        </w:tc>
      </w:tr>
      <w:tr w:rsidR="00556300" w:rsidRPr="0017742B" w:rsidTr="000F30FC">
        <w:trPr>
          <w:jc w:val="center"/>
        </w:trPr>
        <w:tc>
          <w:tcPr>
            <w:tcW w:w="1765" w:type="dxa"/>
            <w:tcBorders>
              <w:top w:val="nil"/>
              <w:bottom w:val="single" w:sz="4" w:space="0" w:color="auto"/>
              <w:right w:val="nil"/>
            </w:tcBorders>
            <w:vAlign w:val="center"/>
          </w:tcPr>
          <w:p w:rsidR="00556300" w:rsidRPr="0017742B" w:rsidRDefault="00556300" w:rsidP="000F30FC">
            <w:pPr>
              <w:spacing w:line="276" w:lineRule="auto"/>
              <w:jc w:val="both"/>
            </w:pPr>
            <w:r w:rsidRPr="0017742B">
              <w:t>Placebo</w:t>
            </w:r>
          </w:p>
        </w:tc>
        <w:tc>
          <w:tcPr>
            <w:tcW w:w="1765" w:type="dxa"/>
            <w:tcBorders>
              <w:top w:val="nil"/>
              <w:left w:val="nil"/>
              <w:bottom w:val="single" w:sz="4" w:space="0" w:color="auto"/>
              <w:right w:val="nil"/>
            </w:tcBorders>
            <w:vAlign w:val="center"/>
          </w:tcPr>
          <w:p w:rsidR="00556300" w:rsidRPr="0017742B" w:rsidRDefault="00DB0914" w:rsidP="000F30FC">
            <w:pPr>
              <w:spacing w:line="276" w:lineRule="auto"/>
              <w:jc w:val="center"/>
            </w:pPr>
            <w:r w:rsidRPr="0017742B">
              <w:t>3.8 (5.</w:t>
            </w:r>
            <w:r w:rsidR="00556300" w:rsidRPr="0017742B">
              <w:t>9)</w:t>
            </w:r>
          </w:p>
          <w:p w:rsidR="00DB0914" w:rsidRPr="0017742B" w:rsidRDefault="00DB0914" w:rsidP="000F30FC">
            <w:pPr>
              <w:spacing w:line="276" w:lineRule="auto"/>
              <w:jc w:val="center"/>
            </w:pPr>
            <w:r w:rsidRPr="0017742B">
              <w:t>n=14</w:t>
            </w:r>
          </w:p>
        </w:tc>
        <w:tc>
          <w:tcPr>
            <w:tcW w:w="1766" w:type="dxa"/>
            <w:tcBorders>
              <w:top w:val="nil"/>
              <w:left w:val="nil"/>
              <w:bottom w:val="single" w:sz="4" w:space="0" w:color="auto"/>
              <w:right w:val="nil"/>
            </w:tcBorders>
            <w:vAlign w:val="center"/>
          </w:tcPr>
          <w:p w:rsidR="00556300" w:rsidRPr="0017742B" w:rsidRDefault="00EB1F4B" w:rsidP="000F30FC">
            <w:pPr>
              <w:spacing w:line="276" w:lineRule="auto"/>
              <w:jc w:val="center"/>
            </w:pPr>
            <w:r w:rsidRPr="0017742B">
              <w:t>4.5 (7.0</w:t>
            </w:r>
            <w:r w:rsidR="00556300" w:rsidRPr="0017742B">
              <w:t>)</w:t>
            </w:r>
          </w:p>
          <w:p w:rsidR="00AF196E" w:rsidRPr="0017742B" w:rsidRDefault="00AF196E" w:rsidP="000F30FC">
            <w:pPr>
              <w:spacing w:line="276" w:lineRule="auto"/>
              <w:jc w:val="center"/>
            </w:pPr>
            <w:r w:rsidRPr="0017742B">
              <w:t>n=11</w:t>
            </w:r>
          </w:p>
        </w:tc>
        <w:tc>
          <w:tcPr>
            <w:tcW w:w="1766" w:type="dxa"/>
            <w:tcBorders>
              <w:top w:val="nil"/>
              <w:left w:val="nil"/>
              <w:bottom w:val="single" w:sz="4" w:space="0" w:color="auto"/>
              <w:right w:val="nil"/>
            </w:tcBorders>
            <w:vAlign w:val="center"/>
          </w:tcPr>
          <w:p w:rsidR="00556300" w:rsidRPr="0017742B" w:rsidRDefault="00EB1F4B" w:rsidP="000F30FC">
            <w:pPr>
              <w:spacing w:line="276" w:lineRule="auto"/>
              <w:jc w:val="center"/>
            </w:pPr>
            <w:r w:rsidRPr="0017742B">
              <w:t>5.4 (7.9</w:t>
            </w:r>
            <w:r w:rsidR="00556300" w:rsidRPr="0017742B">
              <w:t>)</w:t>
            </w:r>
          </w:p>
          <w:p w:rsidR="00AF196E" w:rsidRPr="0017742B" w:rsidRDefault="00AF196E" w:rsidP="000F30FC">
            <w:pPr>
              <w:spacing w:line="276" w:lineRule="auto"/>
              <w:jc w:val="center"/>
            </w:pPr>
            <w:r w:rsidRPr="0017742B">
              <w:t>n=7</w:t>
            </w:r>
          </w:p>
        </w:tc>
        <w:tc>
          <w:tcPr>
            <w:tcW w:w="1766" w:type="dxa"/>
            <w:tcBorders>
              <w:top w:val="nil"/>
              <w:left w:val="nil"/>
              <w:bottom w:val="single" w:sz="4" w:space="0" w:color="auto"/>
            </w:tcBorders>
            <w:vAlign w:val="center"/>
          </w:tcPr>
          <w:p w:rsidR="00556300" w:rsidRPr="0017742B" w:rsidRDefault="00EB1F4B" w:rsidP="000F30FC">
            <w:pPr>
              <w:spacing w:line="276" w:lineRule="auto"/>
              <w:jc w:val="center"/>
            </w:pPr>
            <w:r w:rsidRPr="0017742B">
              <w:t>9.3 (10.7</w:t>
            </w:r>
            <w:r w:rsidR="00556300" w:rsidRPr="0017742B">
              <w:t>)</w:t>
            </w:r>
          </w:p>
          <w:p w:rsidR="00AF196E" w:rsidRPr="0017742B" w:rsidRDefault="00AF196E" w:rsidP="000F30FC">
            <w:pPr>
              <w:spacing w:line="276" w:lineRule="auto"/>
              <w:jc w:val="center"/>
            </w:pPr>
            <w:r w:rsidRPr="0017742B">
              <w:t>n=4</w:t>
            </w:r>
          </w:p>
        </w:tc>
      </w:tr>
    </w:tbl>
    <w:p w:rsidR="00D962BA" w:rsidRPr="0017742B" w:rsidRDefault="00D962BA">
      <w:pPr>
        <w:rPr>
          <w:lang w:val="en-US"/>
        </w:rPr>
      </w:pPr>
    </w:p>
    <w:p w:rsidR="00777B3D" w:rsidRPr="0017742B" w:rsidRDefault="0017676E" w:rsidP="00C84E1F">
      <w:pPr>
        <w:spacing w:after="0"/>
        <w:jc w:val="both"/>
        <w:rPr>
          <w:rFonts w:cs="Times New Roman"/>
          <w:sz w:val="20"/>
          <w:szCs w:val="20"/>
          <w:lang w:val="en-GB"/>
        </w:rPr>
      </w:pPr>
      <w:proofErr w:type="gramStart"/>
      <w:r w:rsidRPr="0017742B">
        <w:rPr>
          <w:rFonts w:cs="Times New Roman"/>
          <w:b/>
          <w:sz w:val="20"/>
          <w:szCs w:val="20"/>
          <w:u w:val="single"/>
          <w:lang w:val="en-GB"/>
        </w:rPr>
        <w:t>T</w:t>
      </w:r>
      <w:r w:rsidR="00AF7807" w:rsidRPr="0017742B">
        <w:rPr>
          <w:rFonts w:cs="Times New Roman"/>
          <w:b/>
          <w:sz w:val="20"/>
          <w:szCs w:val="20"/>
          <w:u w:val="single"/>
          <w:lang w:val="en-GB"/>
        </w:rPr>
        <w:t xml:space="preserve">able </w:t>
      </w:r>
      <w:r>
        <w:rPr>
          <w:rFonts w:cs="Times New Roman"/>
          <w:b/>
          <w:sz w:val="20"/>
          <w:szCs w:val="20"/>
          <w:u w:val="single"/>
          <w:lang w:val="en-GB"/>
        </w:rPr>
        <w:t>S</w:t>
      </w:r>
      <w:r w:rsidR="00F43CC9" w:rsidRPr="0017742B">
        <w:rPr>
          <w:rFonts w:cs="Times New Roman"/>
          <w:b/>
          <w:sz w:val="20"/>
          <w:szCs w:val="20"/>
          <w:u w:val="single"/>
          <w:lang w:val="en-GB"/>
        </w:rPr>
        <w:t>B</w:t>
      </w:r>
      <w:r w:rsidR="00AF7807" w:rsidRPr="0017742B">
        <w:rPr>
          <w:rFonts w:cs="Times New Roman"/>
          <w:b/>
          <w:sz w:val="20"/>
          <w:szCs w:val="20"/>
          <w:u w:val="single"/>
          <w:lang w:val="en-GB"/>
        </w:rPr>
        <w:t>.</w:t>
      </w:r>
      <w:r w:rsidR="00AF7807" w:rsidRPr="0017742B">
        <w:rPr>
          <w:rFonts w:cs="Times New Roman"/>
          <w:b/>
          <w:sz w:val="20"/>
          <w:szCs w:val="20"/>
          <w:lang w:val="en-GB"/>
        </w:rPr>
        <w:t xml:space="preserve"> Results of the generalized linear mixed model with clinical remission</w:t>
      </w:r>
      <w:r w:rsidR="00AF7807" w:rsidRPr="0017742B">
        <w:rPr>
          <w:rFonts w:cs="Times New Roman"/>
          <w:sz w:val="20"/>
          <w:szCs w:val="20"/>
          <w:lang w:val="en-US"/>
        </w:rPr>
        <w:t xml:space="preserve"> </w:t>
      </w:r>
      <w:r w:rsidR="00AF7807" w:rsidRPr="0017742B">
        <w:rPr>
          <w:rFonts w:cs="Times New Roman"/>
          <w:b/>
          <w:sz w:val="20"/>
          <w:szCs w:val="20"/>
          <w:lang w:val="en-GB"/>
        </w:rPr>
        <w:t>at two time points including week 54 being the dependent variable.</w:t>
      </w:r>
      <w:proofErr w:type="gramEnd"/>
      <w:r w:rsidR="00AF7807" w:rsidRPr="0017742B">
        <w:rPr>
          <w:rFonts w:cs="Times New Roman"/>
          <w:b/>
          <w:sz w:val="20"/>
          <w:szCs w:val="20"/>
          <w:lang w:val="en-GB"/>
        </w:rPr>
        <w:t xml:space="preserve"> </w:t>
      </w:r>
      <w:r w:rsidR="00AF7807" w:rsidRPr="0017742B">
        <w:rPr>
          <w:rFonts w:cs="Times New Roman"/>
          <w:sz w:val="20"/>
          <w:szCs w:val="20"/>
          <w:lang w:val="en-GB"/>
        </w:rPr>
        <w:t xml:space="preserve">The model shows </w:t>
      </w:r>
      <w:r w:rsidR="00AF7807" w:rsidRPr="0017742B">
        <w:rPr>
          <w:rFonts w:cs="Times New Roman"/>
          <w:sz w:val="20"/>
          <w:szCs w:val="20"/>
          <w:lang w:val="en-US"/>
        </w:rPr>
        <w:t xml:space="preserve">that patients in the IFX+MTX and MTX groups have a </w:t>
      </w:r>
      <w:r w:rsidR="00AF7807" w:rsidRPr="0017742B">
        <w:rPr>
          <w:rFonts w:cs="Times New Roman"/>
          <w:sz w:val="20"/>
          <w:szCs w:val="20"/>
          <w:lang w:val="en-US"/>
        </w:rPr>
        <w:lastRenderedPageBreak/>
        <w:t>significantly higher change to reach clinical remission after one year compared to</w:t>
      </w:r>
      <w:r w:rsidR="00AF7807" w:rsidRPr="0017742B">
        <w:rPr>
          <w:rFonts w:cs="Times New Roman"/>
          <w:b/>
          <w:sz w:val="20"/>
          <w:szCs w:val="20"/>
          <w:lang w:val="en-GB"/>
        </w:rPr>
        <w:t xml:space="preserve"> </w:t>
      </w:r>
      <w:r w:rsidR="00AF7807" w:rsidRPr="0017742B">
        <w:rPr>
          <w:rFonts w:cs="Times New Roman"/>
          <w:sz w:val="20"/>
          <w:szCs w:val="20"/>
          <w:lang w:val="en-GB"/>
        </w:rPr>
        <w:t>placebo (PL) which is the reference</w:t>
      </w:r>
      <w:r w:rsidR="00777B3D" w:rsidRPr="0017742B">
        <w:rPr>
          <w:rFonts w:cs="Times New Roman"/>
          <w:sz w:val="20"/>
          <w:szCs w:val="20"/>
          <w:lang w:val="en-GB"/>
        </w:rPr>
        <w:t xml:space="preserve"> value</w:t>
      </w:r>
      <w:r w:rsidR="00AF7807" w:rsidRPr="0017742B">
        <w:rPr>
          <w:rFonts w:cs="Times New Roman"/>
          <w:sz w:val="20"/>
          <w:szCs w:val="20"/>
          <w:lang w:val="en-GB"/>
        </w:rPr>
        <w:t>.</w:t>
      </w:r>
      <w:r w:rsidR="00777B3D" w:rsidRPr="0017742B">
        <w:rPr>
          <w:rFonts w:cs="Times New Roman"/>
          <w:sz w:val="20"/>
          <w:szCs w:val="20"/>
          <w:lang w:val="en-GB"/>
        </w:rPr>
        <w:t xml:space="preserve"> </w:t>
      </w:r>
    </w:p>
    <w:p w:rsidR="00C84E1F" w:rsidRPr="0017742B" w:rsidRDefault="007918C0" w:rsidP="00C84E1F">
      <w:pPr>
        <w:autoSpaceDE w:val="0"/>
        <w:autoSpaceDN w:val="0"/>
        <w:adjustRightInd w:val="0"/>
        <w:spacing w:after="0"/>
        <w:jc w:val="both"/>
        <w:rPr>
          <w:rFonts w:cs="Times New Roman"/>
          <w:sz w:val="20"/>
          <w:szCs w:val="20"/>
          <w:lang w:val="en-GB"/>
        </w:rPr>
      </w:pPr>
      <w:r w:rsidRPr="0017742B">
        <w:rPr>
          <w:rFonts w:cs="Times New Roman"/>
          <w:sz w:val="20"/>
          <w:szCs w:val="20"/>
          <w:lang w:val="en-GB"/>
        </w:rPr>
        <w:t xml:space="preserve">The dependent variable </w:t>
      </w:r>
      <w:proofErr w:type="spellStart"/>
      <w:r w:rsidRPr="0017742B">
        <w:rPr>
          <w:rFonts w:cs="Times New Roman"/>
          <w:sz w:val="20"/>
          <w:szCs w:val="20"/>
          <w:lang w:val="en-GB"/>
        </w:rPr>
        <w:t>y</w:t>
      </w:r>
      <w:r w:rsidR="00F408FF" w:rsidRPr="0017742B">
        <w:rPr>
          <w:rFonts w:cs="Times New Roman"/>
          <w:sz w:val="20"/>
          <w:szCs w:val="20"/>
          <w:vertAlign w:val="subscript"/>
          <w:lang w:val="en-GB"/>
        </w:rPr>
        <w:t>i</w:t>
      </w:r>
      <w:proofErr w:type="spellEnd"/>
      <w:r w:rsidRPr="0017742B">
        <w:rPr>
          <w:rFonts w:cs="Times New Roman"/>
          <w:sz w:val="20"/>
          <w:szCs w:val="20"/>
          <w:lang w:val="en-GB"/>
        </w:rPr>
        <w:t xml:space="preserve"> in the model is the l</w:t>
      </w:r>
      <w:r w:rsidR="00777B3D" w:rsidRPr="0017742B">
        <w:rPr>
          <w:rFonts w:cs="Times New Roman"/>
          <w:sz w:val="20"/>
          <w:szCs w:val="20"/>
          <w:lang w:val="en-GB"/>
        </w:rPr>
        <w:t xml:space="preserve">ikelihood of reaching clinical remission as defined in the </w:t>
      </w:r>
      <w:r w:rsidRPr="0017742B">
        <w:rPr>
          <w:rFonts w:cs="Times New Roman"/>
          <w:sz w:val="20"/>
          <w:szCs w:val="20"/>
          <w:lang w:val="en-GB"/>
        </w:rPr>
        <w:t xml:space="preserve">study </w:t>
      </w:r>
      <w:r w:rsidR="00777B3D" w:rsidRPr="0017742B">
        <w:rPr>
          <w:rFonts w:cs="Times New Roman"/>
          <w:sz w:val="20"/>
          <w:szCs w:val="20"/>
          <w:lang w:val="en-GB"/>
        </w:rPr>
        <w:t>protocol</w:t>
      </w:r>
      <w:r w:rsidRPr="0017742B">
        <w:rPr>
          <w:rFonts w:cs="Times New Roman"/>
          <w:sz w:val="20"/>
          <w:szCs w:val="20"/>
          <w:lang w:val="en-GB"/>
        </w:rPr>
        <w:t xml:space="preserve"> (at two consecutive visits). </w:t>
      </w:r>
      <w:r w:rsidR="00AF7807" w:rsidRPr="0017742B">
        <w:rPr>
          <w:rFonts w:cs="Times New Roman"/>
          <w:sz w:val="20"/>
          <w:szCs w:val="20"/>
          <w:lang w:val="en-GB"/>
        </w:rPr>
        <w:t xml:space="preserve"> </w:t>
      </w:r>
      <w:proofErr w:type="gramStart"/>
      <w:r w:rsidRPr="0017742B">
        <w:rPr>
          <w:rFonts w:cs="Times New Roman"/>
          <w:i/>
          <w:iCs/>
          <w:sz w:val="20"/>
          <w:szCs w:val="20"/>
          <w:lang w:val="en-US"/>
        </w:rPr>
        <w:t>i</w:t>
      </w:r>
      <w:proofErr w:type="gramEnd"/>
      <w:r w:rsidRPr="0017742B">
        <w:rPr>
          <w:rFonts w:cs="Times New Roman"/>
          <w:i/>
          <w:iCs/>
          <w:sz w:val="20"/>
          <w:szCs w:val="20"/>
          <w:lang w:val="en-US"/>
        </w:rPr>
        <w:t xml:space="preserve"> </w:t>
      </w:r>
      <w:r w:rsidRPr="0017742B">
        <w:rPr>
          <w:rFonts w:cs="Times New Roman"/>
          <w:sz w:val="20"/>
          <w:szCs w:val="20"/>
          <w:lang w:val="en-US"/>
        </w:rPr>
        <w:t>(=1, ...,</w:t>
      </w:r>
      <w:r w:rsidRPr="0017742B">
        <w:rPr>
          <w:rFonts w:cs="Times New Roman"/>
          <w:i/>
          <w:iCs/>
          <w:sz w:val="20"/>
          <w:szCs w:val="20"/>
          <w:lang w:val="en-US"/>
        </w:rPr>
        <w:t>n</w:t>
      </w:r>
      <w:r w:rsidRPr="0017742B">
        <w:rPr>
          <w:rFonts w:cs="Times New Roman"/>
          <w:sz w:val="20"/>
          <w:szCs w:val="20"/>
          <w:lang w:val="en-US"/>
        </w:rPr>
        <w:t>) indexed the patients.</w:t>
      </w:r>
      <w:r w:rsidRPr="0017742B">
        <w:rPr>
          <w:rFonts w:cs="Times New Roman"/>
          <w:i/>
          <w:iCs/>
          <w:sz w:val="20"/>
          <w:szCs w:val="20"/>
          <w:lang w:val="en-US"/>
        </w:rPr>
        <w:t xml:space="preserve"> </w:t>
      </w:r>
      <w:proofErr w:type="gramStart"/>
      <w:r w:rsidRPr="0017742B">
        <w:rPr>
          <w:rFonts w:cs="Times New Roman"/>
          <w:i/>
          <w:iCs/>
          <w:sz w:val="20"/>
          <w:szCs w:val="20"/>
          <w:lang w:val="en-US"/>
        </w:rPr>
        <w:t>j</w:t>
      </w:r>
      <w:proofErr w:type="gramEnd"/>
      <w:r w:rsidRPr="0017742B">
        <w:rPr>
          <w:rFonts w:cs="Times New Roman"/>
          <w:i/>
          <w:iCs/>
          <w:sz w:val="20"/>
          <w:szCs w:val="20"/>
          <w:lang w:val="en-US"/>
        </w:rPr>
        <w:t xml:space="preserve"> </w:t>
      </w:r>
      <w:r w:rsidRPr="0017742B">
        <w:rPr>
          <w:rFonts w:cs="Times New Roman"/>
          <w:sz w:val="20"/>
          <w:szCs w:val="20"/>
          <w:lang w:val="en-US"/>
        </w:rPr>
        <w:t>(=1, ...,</w:t>
      </w:r>
      <w:proofErr w:type="spellStart"/>
      <w:r w:rsidRPr="0017742B">
        <w:rPr>
          <w:rFonts w:cs="Times New Roman"/>
          <w:i/>
          <w:iCs/>
          <w:sz w:val="20"/>
          <w:szCs w:val="20"/>
          <w:lang w:val="en-US"/>
        </w:rPr>
        <w:t>ni</w:t>
      </w:r>
      <w:proofErr w:type="spellEnd"/>
      <w:r w:rsidRPr="0017742B">
        <w:rPr>
          <w:rFonts w:cs="Times New Roman"/>
          <w:sz w:val="20"/>
          <w:szCs w:val="20"/>
          <w:lang w:val="en-US"/>
        </w:rPr>
        <w:t xml:space="preserve">) indexed the </w:t>
      </w:r>
      <w:r w:rsidR="00C12095" w:rsidRPr="0017742B">
        <w:rPr>
          <w:rFonts w:cs="Times New Roman"/>
          <w:sz w:val="20"/>
          <w:szCs w:val="20"/>
          <w:lang w:val="en-US"/>
        </w:rPr>
        <w:t>study visit</w:t>
      </w:r>
      <w:r w:rsidR="00C84E1F" w:rsidRPr="0017742B">
        <w:rPr>
          <w:rFonts w:cs="Times New Roman"/>
          <w:sz w:val="20"/>
          <w:szCs w:val="20"/>
          <w:lang w:val="en-US"/>
        </w:rPr>
        <w:t xml:space="preserve"> for patient</w:t>
      </w:r>
      <w:r w:rsidRPr="0017742B">
        <w:rPr>
          <w:rFonts w:cs="Times New Roman"/>
          <w:sz w:val="20"/>
          <w:szCs w:val="20"/>
          <w:lang w:val="en-US"/>
        </w:rPr>
        <w:t xml:space="preserve"> </w:t>
      </w:r>
      <w:r w:rsidR="00C84E1F" w:rsidRPr="0017742B">
        <w:rPr>
          <w:rFonts w:cs="Times New Roman"/>
          <w:i/>
          <w:iCs/>
          <w:sz w:val="20"/>
          <w:szCs w:val="20"/>
          <w:lang w:val="en-US"/>
        </w:rPr>
        <w:t>i</w:t>
      </w:r>
      <w:r w:rsidRPr="0017742B">
        <w:rPr>
          <w:rFonts w:cs="Times New Roman"/>
          <w:sz w:val="20"/>
          <w:szCs w:val="20"/>
          <w:lang w:val="en-US"/>
        </w:rPr>
        <w:t>;</w:t>
      </w:r>
      <w:r w:rsidR="00C12095" w:rsidRPr="0017742B">
        <w:rPr>
          <w:rFonts w:cs="Times New Roman"/>
          <w:sz w:val="20"/>
          <w:szCs w:val="20"/>
          <w:lang w:val="en-US"/>
        </w:rPr>
        <w:t xml:space="preserve"> x is the treatment allocation: </w:t>
      </w:r>
      <w:proofErr w:type="spellStart"/>
      <w:r w:rsidRPr="0017742B">
        <w:rPr>
          <w:rFonts w:cs="Times New Roman"/>
          <w:sz w:val="20"/>
          <w:szCs w:val="20"/>
          <w:lang w:val="en-GB"/>
        </w:rPr>
        <w:t>y</w:t>
      </w:r>
      <w:r w:rsidR="00F408FF" w:rsidRPr="0017742B">
        <w:rPr>
          <w:rFonts w:cs="Times New Roman"/>
          <w:sz w:val="20"/>
          <w:szCs w:val="20"/>
          <w:vertAlign w:val="subscript"/>
          <w:lang w:val="en-GB"/>
        </w:rPr>
        <w:t>i</w:t>
      </w:r>
      <w:proofErr w:type="spellEnd"/>
      <w:r w:rsidR="00C12095" w:rsidRPr="0017742B">
        <w:rPr>
          <w:rFonts w:cs="Times New Roman"/>
          <w:sz w:val="20"/>
          <w:szCs w:val="20"/>
          <w:lang w:val="en-GB"/>
        </w:rPr>
        <w:t xml:space="preserve"> = random </w:t>
      </w:r>
      <w:proofErr w:type="spellStart"/>
      <w:r w:rsidR="00C12095" w:rsidRPr="0017742B">
        <w:rPr>
          <w:rFonts w:cs="Times New Roman"/>
          <w:sz w:val="20"/>
          <w:szCs w:val="20"/>
          <w:lang w:val="en-GB"/>
        </w:rPr>
        <w:t>intercept</w:t>
      </w:r>
      <w:r w:rsidR="00C12095" w:rsidRPr="0017742B">
        <w:rPr>
          <w:rFonts w:cs="Times New Roman"/>
          <w:sz w:val="20"/>
          <w:szCs w:val="20"/>
          <w:vertAlign w:val="subscript"/>
          <w:lang w:val="en-GB"/>
        </w:rPr>
        <w:t>i</w:t>
      </w:r>
      <w:proofErr w:type="spellEnd"/>
      <w:r w:rsidR="00C12095" w:rsidRPr="0017742B">
        <w:rPr>
          <w:rFonts w:cs="Times New Roman"/>
          <w:sz w:val="20"/>
          <w:szCs w:val="20"/>
          <w:lang w:val="en-GB"/>
        </w:rPr>
        <w:t xml:space="preserve"> + β</w:t>
      </w:r>
      <w:proofErr w:type="spellStart"/>
      <w:r w:rsidR="00C12095" w:rsidRPr="0017742B">
        <w:rPr>
          <w:rFonts w:cs="Times New Roman"/>
          <w:sz w:val="20"/>
          <w:szCs w:val="20"/>
          <w:lang w:val="en-GB"/>
        </w:rPr>
        <w:t>x</w:t>
      </w:r>
      <w:r w:rsidR="00C12095" w:rsidRPr="0017742B">
        <w:rPr>
          <w:rFonts w:cs="Times New Roman"/>
          <w:sz w:val="20"/>
          <w:szCs w:val="20"/>
          <w:vertAlign w:val="subscript"/>
          <w:lang w:val="en-GB"/>
        </w:rPr>
        <w:t>ij</w:t>
      </w:r>
      <w:proofErr w:type="spellEnd"/>
      <w:r w:rsidR="00C12095" w:rsidRPr="0017742B">
        <w:rPr>
          <w:rFonts w:cs="Times New Roman"/>
          <w:sz w:val="20"/>
          <w:szCs w:val="20"/>
          <w:lang w:val="en-GB"/>
        </w:rPr>
        <w:t xml:space="preserve"> + </w:t>
      </w:r>
      <w:proofErr w:type="spellStart"/>
      <w:r w:rsidR="00C12095" w:rsidRPr="0017742B">
        <w:rPr>
          <w:rFonts w:cs="Times New Roman"/>
          <w:sz w:val="20"/>
          <w:szCs w:val="20"/>
          <w:lang w:val="en-GB"/>
        </w:rPr>
        <w:t>error</w:t>
      </w:r>
      <w:r w:rsidR="00F82531" w:rsidRPr="0017742B">
        <w:rPr>
          <w:rFonts w:cs="Times New Roman"/>
          <w:sz w:val="20"/>
          <w:szCs w:val="20"/>
          <w:vertAlign w:val="subscript"/>
          <w:lang w:val="en-GB"/>
        </w:rPr>
        <w:t>i</w:t>
      </w:r>
      <w:proofErr w:type="spellEnd"/>
      <w:r w:rsidR="00C12095" w:rsidRPr="0017742B">
        <w:rPr>
          <w:rFonts w:cs="Times New Roman"/>
          <w:sz w:val="20"/>
          <w:szCs w:val="20"/>
          <w:lang w:val="en-GB"/>
        </w:rPr>
        <w:t xml:space="preserve"> </w:t>
      </w:r>
    </w:p>
    <w:p w:rsidR="00C12095" w:rsidRPr="0017742B" w:rsidRDefault="00C12095" w:rsidP="00C84E1F">
      <w:pPr>
        <w:autoSpaceDE w:val="0"/>
        <w:autoSpaceDN w:val="0"/>
        <w:adjustRightInd w:val="0"/>
        <w:spacing w:after="0"/>
        <w:jc w:val="both"/>
        <w:rPr>
          <w:rFonts w:cs="Times New Roman"/>
          <w:sz w:val="20"/>
          <w:szCs w:val="20"/>
          <w:lang w:val="en-GB"/>
        </w:rPr>
      </w:pPr>
      <w:r w:rsidRPr="0017742B">
        <w:rPr>
          <w:rFonts w:cs="Times New Roman"/>
          <w:sz w:val="20"/>
          <w:szCs w:val="20"/>
          <w:lang w:val="en-GB"/>
        </w:rPr>
        <w:t xml:space="preserve">A random intercept </w:t>
      </w:r>
      <w:r w:rsidR="00C84E1F" w:rsidRPr="0017742B">
        <w:rPr>
          <w:rFonts w:cs="Times New Roman"/>
          <w:sz w:val="20"/>
          <w:szCs w:val="20"/>
          <w:lang w:val="en-GB"/>
        </w:rPr>
        <w:t>and a fixed slope were</w:t>
      </w:r>
      <w:r w:rsidRPr="0017742B">
        <w:rPr>
          <w:rFonts w:cs="Times New Roman"/>
          <w:sz w:val="20"/>
          <w:szCs w:val="20"/>
          <w:lang w:val="en-GB"/>
        </w:rPr>
        <w:t xml:space="preserve"> used</w:t>
      </w:r>
      <w:r w:rsidR="00C84E1F" w:rsidRPr="0017742B">
        <w:rPr>
          <w:rFonts w:cs="Times New Roman"/>
          <w:sz w:val="20"/>
          <w:szCs w:val="20"/>
          <w:lang w:val="en-GB"/>
        </w:rPr>
        <w:t xml:space="preserve">. The model below was selected based on the lowest </w:t>
      </w:r>
      <w:proofErr w:type="spellStart"/>
      <w:r w:rsidR="00C84E1F" w:rsidRPr="0017742B">
        <w:rPr>
          <w:rFonts w:cs="Times New Roman"/>
          <w:sz w:val="20"/>
          <w:szCs w:val="20"/>
          <w:lang w:val="en-GB"/>
        </w:rPr>
        <w:t>Akaike</w:t>
      </w:r>
      <w:proofErr w:type="spellEnd"/>
      <w:r w:rsidR="00C84E1F" w:rsidRPr="0017742B">
        <w:rPr>
          <w:rFonts w:cs="Times New Roman"/>
          <w:sz w:val="20"/>
          <w:szCs w:val="20"/>
          <w:lang w:val="en-GB"/>
        </w:rPr>
        <w:t xml:space="preserve"> information criterion (AIC) which is a measure of the relative quality of statistical models.</w:t>
      </w:r>
    </w:p>
    <w:p w:rsidR="00C84E1F" w:rsidRPr="0017742B" w:rsidRDefault="00C84E1F" w:rsidP="00C84E1F">
      <w:pPr>
        <w:autoSpaceDE w:val="0"/>
        <w:autoSpaceDN w:val="0"/>
        <w:adjustRightInd w:val="0"/>
        <w:spacing w:after="0"/>
        <w:jc w:val="both"/>
        <w:rPr>
          <w:rFonts w:cs="Times New Roman"/>
          <w:sz w:val="20"/>
          <w:szCs w:val="20"/>
          <w:lang w:val="en-GB"/>
        </w:rPr>
      </w:pPr>
    </w:p>
    <w:tbl>
      <w:tblPr>
        <w:tblStyle w:val="TableGrid"/>
        <w:tblW w:w="0" w:type="auto"/>
        <w:tblLook w:val="04A0" w:firstRow="1" w:lastRow="0" w:firstColumn="1" w:lastColumn="0" w:noHBand="0" w:noVBand="1"/>
      </w:tblPr>
      <w:tblGrid>
        <w:gridCol w:w="2324"/>
        <w:gridCol w:w="1154"/>
        <w:gridCol w:w="1241"/>
        <w:gridCol w:w="1399"/>
        <w:gridCol w:w="1510"/>
        <w:gridCol w:w="1660"/>
      </w:tblGrid>
      <w:tr w:rsidR="00AF7807" w:rsidRPr="0017742B" w:rsidTr="008439D8">
        <w:tc>
          <w:tcPr>
            <w:tcW w:w="2288" w:type="dxa"/>
            <w:tcBorders>
              <w:bottom w:val="single" w:sz="4" w:space="0" w:color="auto"/>
            </w:tcBorders>
          </w:tcPr>
          <w:p w:rsidR="00AF7807" w:rsidRPr="0017742B" w:rsidRDefault="00AF7807" w:rsidP="008439D8">
            <w:pPr>
              <w:spacing w:line="360" w:lineRule="auto"/>
              <w:jc w:val="center"/>
              <w:rPr>
                <w:rFonts w:cs="Times New Roman"/>
                <w:b/>
                <w:sz w:val="20"/>
                <w:szCs w:val="20"/>
                <w:lang w:val="en-GB"/>
              </w:rPr>
            </w:pPr>
            <w:r w:rsidRPr="0017742B">
              <w:rPr>
                <w:rFonts w:cs="Times New Roman"/>
                <w:b/>
                <w:sz w:val="20"/>
                <w:szCs w:val="20"/>
                <w:lang w:val="en-GB"/>
              </w:rPr>
              <w:t>Treatment allocation</w:t>
            </w:r>
          </w:p>
        </w:tc>
        <w:tc>
          <w:tcPr>
            <w:tcW w:w="1148" w:type="dxa"/>
            <w:tcBorders>
              <w:bottom w:val="single" w:sz="4" w:space="0" w:color="auto"/>
            </w:tcBorders>
          </w:tcPr>
          <w:p w:rsidR="00AF7807" w:rsidRPr="0017742B" w:rsidRDefault="00AF7807" w:rsidP="008439D8">
            <w:pPr>
              <w:spacing w:line="360" w:lineRule="auto"/>
              <w:jc w:val="center"/>
              <w:rPr>
                <w:rFonts w:cs="Times New Roman"/>
                <w:b/>
                <w:sz w:val="20"/>
                <w:szCs w:val="20"/>
                <w:lang w:val="en-GB"/>
              </w:rPr>
            </w:pPr>
            <w:r w:rsidRPr="0017742B">
              <w:rPr>
                <w:rFonts w:cs="Times New Roman"/>
                <w:b/>
                <w:sz w:val="20"/>
                <w:szCs w:val="20"/>
              </w:rPr>
              <w:t>Coefficient</w:t>
            </w:r>
          </w:p>
        </w:tc>
        <w:tc>
          <w:tcPr>
            <w:tcW w:w="1119" w:type="dxa"/>
            <w:tcBorders>
              <w:bottom w:val="single" w:sz="4" w:space="0" w:color="auto"/>
            </w:tcBorders>
          </w:tcPr>
          <w:p w:rsidR="00AF7807" w:rsidRPr="0017742B" w:rsidRDefault="00AF7807" w:rsidP="008439D8">
            <w:pPr>
              <w:spacing w:line="360" w:lineRule="auto"/>
              <w:jc w:val="center"/>
              <w:rPr>
                <w:rFonts w:cs="Times New Roman"/>
                <w:b/>
                <w:sz w:val="20"/>
                <w:szCs w:val="20"/>
                <w:lang w:val="en-GB"/>
              </w:rPr>
            </w:pPr>
            <w:r w:rsidRPr="0017742B">
              <w:rPr>
                <w:rFonts w:cs="Times New Roman"/>
                <w:b/>
                <w:sz w:val="20"/>
                <w:szCs w:val="20"/>
              </w:rPr>
              <w:t>95% CI (Coefficient)</w:t>
            </w:r>
          </w:p>
        </w:tc>
        <w:tc>
          <w:tcPr>
            <w:tcW w:w="1378" w:type="dxa"/>
            <w:tcBorders>
              <w:bottom w:val="single" w:sz="4" w:space="0" w:color="auto"/>
            </w:tcBorders>
          </w:tcPr>
          <w:p w:rsidR="00AF7807" w:rsidRPr="0017742B" w:rsidRDefault="00AF7807" w:rsidP="008439D8">
            <w:pPr>
              <w:spacing w:line="360" w:lineRule="auto"/>
              <w:jc w:val="center"/>
              <w:rPr>
                <w:rFonts w:cs="Times New Roman"/>
                <w:b/>
                <w:sz w:val="20"/>
                <w:szCs w:val="20"/>
              </w:rPr>
            </w:pPr>
            <w:r w:rsidRPr="0017742B">
              <w:rPr>
                <w:rFonts w:cs="Times New Roman"/>
                <w:b/>
                <w:sz w:val="20"/>
                <w:szCs w:val="20"/>
              </w:rPr>
              <w:t>Odds ratio</w:t>
            </w:r>
          </w:p>
        </w:tc>
        <w:tc>
          <w:tcPr>
            <w:tcW w:w="1483" w:type="dxa"/>
            <w:tcBorders>
              <w:bottom w:val="single" w:sz="4" w:space="0" w:color="auto"/>
            </w:tcBorders>
          </w:tcPr>
          <w:p w:rsidR="00AF7807" w:rsidRPr="0017742B" w:rsidRDefault="00AF7807" w:rsidP="008439D8">
            <w:pPr>
              <w:spacing w:line="360" w:lineRule="auto"/>
              <w:jc w:val="center"/>
              <w:rPr>
                <w:rFonts w:cs="Times New Roman"/>
                <w:b/>
                <w:sz w:val="20"/>
                <w:szCs w:val="20"/>
              </w:rPr>
            </w:pPr>
            <w:r w:rsidRPr="0017742B">
              <w:rPr>
                <w:rFonts w:cs="Times New Roman"/>
                <w:b/>
                <w:sz w:val="20"/>
                <w:szCs w:val="20"/>
              </w:rPr>
              <w:t>95% CI</w:t>
            </w:r>
          </w:p>
          <w:p w:rsidR="00AF7807" w:rsidRPr="0017742B" w:rsidRDefault="00AF7807" w:rsidP="008439D8">
            <w:pPr>
              <w:spacing w:line="360" w:lineRule="auto"/>
              <w:jc w:val="center"/>
              <w:rPr>
                <w:rFonts w:cs="Times New Roman"/>
                <w:b/>
                <w:sz w:val="20"/>
                <w:szCs w:val="20"/>
              </w:rPr>
            </w:pPr>
            <w:r w:rsidRPr="0017742B">
              <w:rPr>
                <w:rFonts w:cs="Times New Roman"/>
                <w:b/>
                <w:sz w:val="20"/>
                <w:szCs w:val="20"/>
              </w:rPr>
              <w:t>(Odds ratio)</w:t>
            </w:r>
          </w:p>
        </w:tc>
        <w:tc>
          <w:tcPr>
            <w:tcW w:w="1646" w:type="dxa"/>
            <w:tcBorders>
              <w:bottom w:val="single" w:sz="4" w:space="0" w:color="auto"/>
            </w:tcBorders>
          </w:tcPr>
          <w:p w:rsidR="00AF7807" w:rsidRPr="0017742B" w:rsidRDefault="00AF7807" w:rsidP="008439D8">
            <w:pPr>
              <w:spacing w:line="360" w:lineRule="auto"/>
              <w:jc w:val="center"/>
              <w:rPr>
                <w:rFonts w:cs="Times New Roman"/>
                <w:b/>
                <w:sz w:val="20"/>
                <w:szCs w:val="20"/>
                <w:lang w:val="en-GB"/>
              </w:rPr>
            </w:pPr>
            <w:r w:rsidRPr="0017742B">
              <w:rPr>
                <w:rFonts w:cs="Times New Roman"/>
                <w:b/>
                <w:sz w:val="20"/>
                <w:szCs w:val="20"/>
              </w:rPr>
              <w:t>p-value</w:t>
            </w:r>
          </w:p>
        </w:tc>
      </w:tr>
      <w:tr w:rsidR="00AF7807" w:rsidRPr="0017742B" w:rsidTr="008439D8">
        <w:tc>
          <w:tcPr>
            <w:tcW w:w="2360" w:type="dxa"/>
          </w:tcPr>
          <w:p w:rsidR="00AF7807" w:rsidRPr="0017742B" w:rsidRDefault="00AF7807" w:rsidP="008439D8">
            <w:pPr>
              <w:spacing w:line="360" w:lineRule="auto"/>
              <w:jc w:val="center"/>
              <w:rPr>
                <w:rFonts w:cs="Times New Roman"/>
                <w:sz w:val="20"/>
                <w:szCs w:val="20"/>
                <w:lang w:val="en-GB"/>
              </w:rPr>
            </w:pPr>
            <w:r w:rsidRPr="0017742B">
              <w:rPr>
                <w:rFonts w:cs="Times New Roman"/>
                <w:sz w:val="20"/>
                <w:szCs w:val="20"/>
              </w:rPr>
              <w:t>IFX+MTX</w:t>
            </w:r>
            <w:r w:rsidRPr="0017742B">
              <w:rPr>
                <w:rFonts w:cs="Times New Roman"/>
                <w:sz w:val="20"/>
                <w:szCs w:val="20"/>
                <w:lang w:val="en-GB"/>
              </w:rPr>
              <w:t xml:space="preserve"> </w:t>
            </w:r>
          </w:p>
        </w:tc>
        <w:tc>
          <w:tcPr>
            <w:tcW w:w="1155" w:type="dxa"/>
          </w:tcPr>
          <w:p w:rsidR="00AF7807" w:rsidRPr="0017742B" w:rsidRDefault="00AF7807" w:rsidP="008439D8">
            <w:pPr>
              <w:spacing w:line="360" w:lineRule="auto"/>
              <w:jc w:val="center"/>
              <w:rPr>
                <w:rFonts w:cs="Times New Roman"/>
                <w:sz w:val="20"/>
                <w:szCs w:val="20"/>
                <w:lang w:val="en-GB"/>
              </w:rPr>
            </w:pPr>
            <w:r w:rsidRPr="0017742B">
              <w:rPr>
                <w:rFonts w:cs="Times New Roman"/>
                <w:sz w:val="20"/>
                <w:szCs w:val="20"/>
              </w:rPr>
              <w:t>3.6</w:t>
            </w:r>
          </w:p>
        </w:tc>
        <w:tc>
          <w:tcPr>
            <w:tcW w:w="1129" w:type="dxa"/>
          </w:tcPr>
          <w:p w:rsidR="00AF7807" w:rsidRPr="0017742B" w:rsidRDefault="00AF7807" w:rsidP="008439D8">
            <w:pPr>
              <w:spacing w:line="360" w:lineRule="auto"/>
              <w:jc w:val="center"/>
              <w:rPr>
                <w:rFonts w:cs="Times New Roman"/>
                <w:sz w:val="20"/>
                <w:szCs w:val="20"/>
                <w:lang w:val="en-GB"/>
              </w:rPr>
            </w:pPr>
            <w:r w:rsidRPr="0017742B">
              <w:rPr>
                <w:rFonts w:cs="Times New Roman"/>
                <w:sz w:val="20"/>
                <w:szCs w:val="20"/>
              </w:rPr>
              <w:t>1.2, 5.9</w:t>
            </w:r>
          </w:p>
        </w:tc>
        <w:tc>
          <w:tcPr>
            <w:tcW w:w="1421" w:type="dxa"/>
          </w:tcPr>
          <w:p w:rsidR="00AF7807" w:rsidRPr="0017742B" w:rsidRDefault="00AF7807" w:rsidP="008439D8">
            <w:pPr>
              <w:spacing w:line="360" w:lineRule="auto"/>
              <w:jc w:val="center"/>
              <w:rPr>
                <w:rFonts w:cs="Times New Roman"/>
                <w:sz w:val="20"/>
                <w:szCs w:val="20"/>
              </w:rPr>
            </w:pPr>
            <w:r w:rsidRPr="0017742B">
              <w:rPr>
                <w:rFonts w:cs="Times New Roman"/>
                <w:sz w:val="20"/>
                <w:szCs w:val="20"/>
              </w:rPr>
              <w:t>35.0</w:t>
            </w:r>
          </w:p>
        </w:tc>
        <w:tc>
          <w:tcPr>
            <w:tcW w:w="1534" w:type="dxa"/>
          </w:tcPr>
          <w:p w:rsidR="00AF7807" w:rsidRPr="0017742B" w:rsidRDefault="00AF7807" w:rsidP="008439D8">
            <w:pPr>
              <w:spacing w:line="360" w:lineRule="auto"/>
              <w:jc w:val="center"/>
              <w:rPr>
                <w:rFonts w:cs="Times New Roman"/>
                <w:sz w:val="20"/>
                <w:szCs w:val="20"/>
              </w:rPr>
            </w:pPr>
            <w:r w:rsidRPr="0017742B">
              <w:rPr>
                <w:rFonts w:cs="Times New Roman"/>
                <w:sz w:val="20"/>
                <w:szCs w:val="20"/>
              </w:rPr>
              <w:t>3.3, 365.0</w:t>
            </w:r>
          </w:p>
        </w:tc>
        <w:tc>
          <w:tcPr>
            <w:tcW w:w="1689" w:type="dxa"/>
          </w:tcPr>
          <w:p w:rsidR="00AF7807" w:rsidRPr="0017742B" w:rsidRDefault="00BA43DE" w:rsidP="008439D8">
            <w:pPr>
              <w:spacing w:line="360" w:lineRule="auto"/>
              <w:jc w:val="center"/>
              <w:rPr>
                <w:rFonts w:cs="Times New Roman"/>
                <w:sz w:val="20"/>
                <w:szCs w:val="20"/>
                <w:lang w:val="en-GB"/>
              </w:rPr>
            </w:pPr>
            <w:r w:rsidRPr="0017742B">
              <w:rPr>
                <w:rFonts w:cs="Times New Roman"/>
                <w:sz w:val="20"/>
                <w:szCs w:val="20"/>
              </w:rPr>
              <w:t>0.003</w:t>
            </w:r>
          </w:p>
        </w:tc>
      </w:tr>
      <w:tr w:rsidR="00AF7807" w:rsidRPr="0017742B" w:rsidTr="00F82531">
        <w:tc>
          <w:tcPr>
            <w:tcW w:w="2360" w:type="dxa"/>
          </w:tcPr>
          <w:p w:rsidR="00AF7807" w:rsidRPr="0017742B" w:rsidRDefault="00AF7807" w:rsidP="008439D8">
            <w:pPr>
              <w:spacing w:line="360" w:lineRule="auto"/>
              <w:jc w:val="center"/>
              <w:rPr>
                <w:rFonts w:cs="Times New Roman"/>
                <w:sz w:val="20"/>
                <w:szCs w:val="20"/>
                <w:lang w:val="en-GB"/>
              </w:rPr>
            </w:pPr>
            <w:r w:rsidRPr="0017742B">
              <w:rPr>
                <w:rFonts w:cs="Times New Roman"/>
                <w:sz w:val="20"/>
                <w:szCs w:val="20"/>
                <w:lang w:val="en-GB"/>
              </w:rPr>
              <w:t>MTX</w:t>
            </w:r>
          </w:p>
        </w:tc>
        <w:tc>
          <w:tcPr>
            <w:tcW w:w="1155" w:type="dxa"/>
          </w:tcPr>
          <w:p w:rsidR="00AF7807" w:rsidRPr="0017742B" w:rsidRDefault="00AF7807" w:rsidP="008439D8">
            <w:pPr>
              <w:spacing w:line="360" w:lineRule="auto"/>
              <w:jc w:val="center"/>
              <w:rPr>
                <w:rFonts w:cs="Times New Roman"/>
                <w:sz w:val="20"/>
                <w:szCs w:val="20"/>
                <w:lang w:val="en-GB"/>
              </w:rPr>
            </w:pPr>
            <w:r w:rsidRPr="0017742B">
              <w:rPr>
                <w:rFonts w:cs="Times New Roman"/>
                <w:sz w:val="20"/>
                <w:szCs w:val="20"/>
              </w:rPr>
              <w:t>2.8</w:t>
            </w:r>
          </w:p>
        </w:tc>
        <w:tc>
          <w:tcPr>
            <w:tcW w:w="1129" w:type="dxa"/>
          </w:tcPr>
          <w:p w:rsidR="00AF7807" w:rsidRPr="0017742B" w:rsidRDefault="00AF7807" w:rsidP="008439D8">
            <w:pPr>
              <w:spacing w:line="360" w:lineRule="auto"/>
              <w:jc w:val="center"/>
              <w:rPr>
                <w:rFonts w:cs="Times New Roman"/>
                <w:sz w:val="20"/>
                <w:szCs w:val="20"/>
                <w:lang w:val="en-GB"/>
              </w:rPr>
            </w:pPr>
            <w:r w:rsidRPr="0017742B">
              <w:rPr>
                <w:rFonts w:cs="Times New Roman"/>
                <w:sz w:val="20"/>
                <w:szCs w:val="20"/>
                <w:lang w:val="en-GB"/>
              </w:rPr>
              <w:t>0.6, 5.0</w:t>
            </w:r>
          </w:p>
        </w:tc>
        <w:tc>
          <w:tcPr>
            <w:tcW w:w="1421" w:type="dxa"/>
          </w:tcPr>
          <w:p w:rsidR="00AF7807" w:rsidRPr="0017742B" w:rsidRDefault="00AF7807" w:rsidP="008439D8">
            <w:pPr>
              <w:spacing w:line="360" w:lineRule="auto"/>
              <w:jc w:val="center"/>
              <w:rPr>
                <w:rFonts w:cs="Times New Roman"/>
                <w:sz w:val="20"/>
                <w:szCs w:val="20"/>
              </w:rPr>
            </w:pPr>
            <w:r w:rsidRPr="0017742B">
              <w:rPr>
                <w:rFonts w:cs="Times New Roman"/>
                <w:sz w:val="20"/>
                <w:szCs w:val="20"/>
              </w:rPr>
              <w:t>16.5</w:t>
            </w:r>
          </w:p>
        </w:tc>
        <w:tc>
          <w:tcPr>
            <w:tcW w:w="1534" w:type="dxa"/>
          </w:tcPr>
          <w:p w:rsidR="00AF7807" w:rsidRPr="0017742B" w:rsidRDefault="00AF7807" w:rsidP="008439D8">
            <w:pPr>
              <w:spacing w:line="360" w:lineRule="auto"/>
              <w:jc w:val="center"/>
              <w:rPr>
                <w:rFonts w:cs="Times New Roman"/>
                <w:sz w:val="20"/>
                <w:szCs w:val="20"/>
              </w:rPr>
            </w:pPr>
            <w:r w:rsidRPr="0017742B">
              <w:rPr>
                <w:rFonts w:cs="Times New Roman"/>
                <w:sz w:val="20"/>
                <w:szCs w:val="20"/>
              </w:rPr>
              <w:t>1.8, 148.4</w:t>
            </w:r>
          </w:p>
        </w:tc>
        <w:tc>
          <w:tcPr>
            <w:tcW w:w="1689" w:type="dxa"/>
          </w:tcPr>
          <w:p w:rsidR="00AF7807" w:rsidRPr="0017742B" w:rsidRDefault="00BA43DE" w:rsidP="008439D8">
            <w:pPr>
              <w:spacing w:line="360" w:lineRule="auto"/>
              <w:jc w:val="center"/>
              <w:rPr>
                <w:rFonts w:cs="Times New Roman"/>
                <w:sz w:val="20"/>
                <w:szCs w:val="20"/>
                <w:lang w:val="en-GB"/>
              </w:rPr>
            </w:pPr>
            <w:r w:rsidRPr="0017742B">
              <w:rPr>
                <w:rFonts w:cs="Times New Roman"/>
                <w:sz w:val="20"/>
                <w:szCs w:val="20"/>
              </w:rPr>
              <w:t>0.019</w:t>
            </w:r>
          </w:p>
        </w:tc>
      </w:tr>
      <w:tr w:rsidR="00F82531" w:rsidRPr="0017742B" w:rsidTr="008439D8">
        <w:tc>
          <w:tcPr>
            <w:tcW w:w="2360" w:type="dxa"/>
            <w:tcBorders>
              <w:bottom w:val="single" w:sz="4" w:space="0" w:color="auto"/>
            </w:tcBorders>
          </w:tcPr>
          <w:p w:rsidR="00F82531" w:rsidRPr="0017742B" w:rsidRDefault="00F82531" w:rsidP="008439D8">
            <w:pPr>
              <w:spacing w:line="360" w:lineRule="auto"/>
              <w:jc w:val="center"/>
              <w:rPr>
                <w:rFonts w:cs="Times New Roman"/>
                <w:sz w:val="20"/>
                <w:szCs w:val="20"/>
                <w:lang w:val="en-GB"/>
              </w:rPr>
            </w:pPr>
            <w:r w:rsidRPr="0017742B">
              <w:rPr>
                <w:rFonts w:cs="Times New Roman"/>
                <w:sz w:val="20"/>
                <w:szCs w:val="20"/>
                <w:lang w:val="en-GB"/>
              </w:rPr>
              <w:t>PL (reference)</w:t>
            </w:r>
          </w:p>
        </w:tc>
        <w:tc>
          <w:tcPr>
            <w:tcW w:w="1155" w:type="dxa"/>
            <w:tcBorders>
              <w:bottom w:val="single" w:sz="4" w:space="0" w:color="auto"/>
            </w:tcBorders>
          </w:tcPr>
          <w:p w:rsidR="00F82531" w:rsidRPr="0017742B" w:rsidRDefault="00F82531" w:rsidP="008439D8">
            <w:pPr>
              <w:spacing w:line="360" w:lineRule="auto"/>
              <w:jc w:val="center"/>
              <w:rPr>
                <w:rFonts w:cs="Times New Roman"/>
                <w:sz w:val="20"/>
                <w:szCs w:val="20"/>
              </w:rPr>
            </w:pPr>
            <w:r w:rsidRPr="0017742B">
              <w:rPr>
                <w:rFonts w:cs="Times New Roman"/>
                <w:sz w:val="20"/>
                <w:szCs w:val="20"/>
              </w:rPr>
              <w:t>-</w:t>
            </w:r>
          </w:p>
        </w:tc>
        <w:tc>
          <w:tcPr>
            <w:tcW w:w="1129" w:type="dxa"/>
            <w:tcBorders>
              <w:bottom w:val="single" w:sz="4" w:space="0" w:color="auto"/>
            </w:tcBorders>
          </w:tcPr>
          <w:p w:rsidR="00F82531" w:rsidRPr="0017742B" w:rsidRDefault="00F82531" w:rsidP="008439D8">
            <w:pPr>
              <w:spacing w:line="360" w:lineRule="auto"/>
              <w:jc w:val="center"/>
              <w:rPr>
                <w:rFonts w:cs="Times New Roman"/>
                <w:sz w:val="20"/>
                <w:szCs w:val="20"/>
                <w:lang w:val="en-GB"/>
              </w:rPr>
            </w:pPr>
            <w:r w:rsidRPr="0017742B">
              <w:rPr>
                <w:rFonts w:cs="Times New Roman"/>
                <w:sz w:val="20"/>
                <w:szCs w:val="20"/>
                <w:lang w:val="en-GB"/>
              </w:rPr>
              <w:t>-</w:t>
            </w:r>
          </w:p>
        </w:tc>
        <w:tc>
          <w:tcPr>
            <w:tcW w:w="1421" w:type="dxa"/>
            <w:tcBorders>
              <w:bottom w:val="single" w:sz="4" w:space="0" w:color="auto"/>
            </w:tcBorders>
          </w:tcPr>
          <w:p w:rsidR="00F82531" w:rsidRPr="0017742B" w:rsidRDefault="00F82531" w:rsidP="008439D8">
            <w:pPr>
              <w:spacing w:line="360" w:lineRule="auto"/>
              <w:jc w:val="center"/>
              <w:rPr>
                <w:rFonts w:cs="Times New Roman"/>
                <w:sz w:val="20"/>
                <w:szCs w:val="20"/>
              </w:rPr>
            </w:pPr>
            <w:r w:rsidRPr="0017742B">
              <w:rPr>
                <w:rFonts w:cs="Times New Roman"/>
                <w:sz w:val="20"/>
                <w:szCs w:val="20"/>
              </w:rPr>
              <w:t>-</w:t>
            </w:r>
          </w:p>
        </w:tc>
        <w:tc>
          <w:tcPr>
            <w:tcW w:w="1534" w:type="dxa"/>
            <w:tcBorders>
              <w:bottom w:val="single" w:sz="4" w:space="0" w:color="auto"/>
            </w:tcBorders>
          </w:tcPr>
          <w:p w:rsidR="00F82531" w:rsidRPr="0017742B" w:rsidRDefault="00F82531" w:rsidP="008439D8">
            <w:pPr>
              <w:spacing w:line="360" w:lineRule="auto"/>
              <w:jc w:val="center"/>
              <w:rPr>
                <w:rFonts w:cs="Times New Roman"/>
                <w:sz w:val="20"/>
                <w:szCs w:val="20"/>
              </w:rPr>
            </w:pPr>
            <w:r w:rsidRPr="0017742B">
              <w:rPr>
                <w:rFonts w:cs="Times New Roman"/>
                <w:sz w:val="20"/>
                <w:szCs w:val="20"/>
              </w:rPr>
              <w:t>-</w:t>
            </w:r>
          </w:p>
        </w:tc>
        <w:tc>
          <w:tcPr>
            <w:tcW w:w="1689" w:type="dxa"/>
            <w:tcBorders>
              <w:bottom w:val="single" w:sz="4" w:space="0" w:color="auto"/>
            </w:tcBorders>
          </w:tcPr>
          <w:p w:rsidR="00F82531" w:rsidRPr="0017742B" w:rsidRDefault="00F82531" w:rsidP="008439D8">
            <w:pPr>
              <w:spacing w:line="360" w:lineRule="auto"/>
              <w:jc w:val="center"/>
              <w:rPr>
                <w:rFonts w:cs="Times New Roman"/>
                <w:sz w:val="20"/>
                <w:szCs w:val="20"/>
              </w:rPr>
            </w:pPr>
            <w:r w:rsidRPr="0017742B">
              <w:rPr>
                <w:rFonts w:cs="Times New Roman"/>
                <w:sz w:val="20"/>
                <w:szCs w:val="20"/>
              </w:rPr>
              <w:t>-</w:t>
            </w:r>
          </w:p>
        </w:tc>
      </w:tr>
    </w:tbl>
    <w:p w:rsidR="00AF7807" w:rsidRPr="0017742B" w:rsidRDefault="00AF7807">
      <w:pPr>
        <w:rPr>
          <w:lang w:val="en-US"/>
        </w:rPr>
      </w:pPr>
    </w:p>
    <w:p w:rsidR="00197474" w:rsidRPr="0017742B" w:rsidRDefault="0017676E" w:rsidP="00197474">
      <w:pPr>
        <w:jc w:val="both"/>
        <w:rPr>
          <w:sz w:val="20"/>
          <w:szCs w:val="20"/>
          <w:lang w:val="en-GB"/>
        </w:rPr>
      </w:pPr>
      <w:proofErr w:type="gramStart"/>
      <w:r w:rsidRPr="0017742B">
        <w:rPr>
          <w:b/>
          <w:sz w:val="20"/>
          <w:szCs w:val="20"/>
          <w:u w:val="single"/>
          <w:lang w:val="en-GB"/>
        </w:rPr>
        <w:t>T</w:t>
      </w:r>
      <w:r w:rsidR="00197474" w:rsidRPr="0017742B">
        <w:rPr>
          <w:b/>
          <w:sz w:val="20"/>
          <w:szCs w:val="20"/>
          <w:u w:val="single"/>
          <w:lang w:val="en-GB"/>
        </w:rPr>
        <w:t xml:space="preserve">able </w:t>
      </w:r>
      <w:r>
        <w:rPr>
          <w:b/>
          <w:sz w:val="20"/>
          <w:szCs w:val="20"/>
          <w:u w:val="single"/>
          <w:lang w:val="en-GB"/>
        </w:rPr>
        <w:t>S</w:t>
      </w:r>
      <w:r w:rsidR="00197474" w:rsidRPr="0017742B">
        <w:rPr>
          <w:b/>
          <w:sz w:val="20"/>
          <w:szCs w:val="20"/>
          <w:u w:val="single"/>
          <w:lang w:val="en-GB"/>
        </w:rPr>
        <w:t>C. Baseline characteristics of the patients who were in remission at year one.</w:t>
      </w:r>
      <w:proofErr w:type="gramEnd"/>
      <w:r w:rsidR="00197474" w:rsidRPr="0017742B">
        <w:rPr>
          <w:b/>
          <w:sz w:val="20"/>
          <w:szCs w:val="20"/>
          <w:u w:val="single"/>
          <w:lang w:val="en-GB"/>
        </w:rPr>
        <w:t xml:space="preserve"> </w:t>
      </w:r>
      <w:r w:rsidR="00197474" w:rsidRPr="0017742B">
        <w:rPr>
          <w:sz w:val="20"/>
          <w:szCs w:val="20"/>
          <w:lang w:val="en-GB"/>
        </w:rPr>
        <w:t xml:space="preserve">Data are shown as mean (±SD) or absolute (relative) frequencies where appropriate. The number of patients classified as RA or non-RA at baseline </w:t>
      </w:r>
      <w:proofErr w:type="gramStart"/>
      <w:r w:rsidR="00197474" w:rsidRPr="0017742B">
        <w:rPr>
          <w:sz w:val="20"/>
          <w:szCs w:val="20"/>
          <w:lang w:val="en-GB"/>
        </w:rPr>
        <w:t>who</w:t>
      </w:r>
      <w:proofErr w:type="gramEnd"/>
      <w:r w:rsidR="00197474" w:rsidRPr="0017742B">
        <w:rPr>
          <w:sz w:val="20"/>
          <w:szCs w:val="20"/>
          <w:lang w:val="en-GB"/>
        </w:rPr>
        <w:t xml:space="preserve"> were in remission at year one are shown in a separate paragraph in the results section of the main body of the paper. </w:t>
      </w:r>
    </w:p>
    <w:p w:rsidR="00197474" w:rsidRPr="0017742B" w:rsidRDefault="00197474" w:rsidP="00197474">
      <w:pPr>
        <w:rPr>
          <w:b/>
          <w:u w:val="single"/>
          <w:lang w:val="en-GB"/>
        </w:rPr>
      </w:pPr>
    </w:p>
    <w:tbl>
      <w:tblPr>
        <w:tblW w:w="6377" w:type="dxa"/>
        <w:jc w:val="center"/>
        <w:tblLayout w:type="fixed"/>
        <w:tblCellMar>
          <w:left w:w="0" w:type="dxa"/>
          <w:right w:w="0" w:type="dxa"/>
        </w:tblCellMar>
        <w:tblLook w:val="0000" w:firstRow="0" w:lastRow="0" w:firstColumn="0" w:lastColumn="0" w:noHBand="0" w:noVBand="0"/>
      </w:tblPr>
      <w:tblGrid>
        <w:gridCol w:w="3828"/>
        <w:gridCol w:w="1273"/>
        <w:gridCol w:w="1276"/>
      </w:tblGrid>
      <w:tr w:rsidR="00197474" w:rsidRPr="0017742B" w:rsidTr="005F5155">
        <w:trPr>
          <w:cantSplit/>
          <w:tblHeader/>
          <w:jc w:val="center"/>
        </w:trPr>
        <w:tc>
          <w:tcPr>
            <w:tcW w:w="3828" w:type="dxa"/>
            <w:tcBorders>
              <w:top w:val="single" w:sz="6" w:space="0" w:color="000000"/>
              <w:left w:val="nil"/>
              <w:bottom w:val="single" w:sz="6" w:space="0" w:color="000000"/>
              <w:right w:val="nil"/>
            </w:tcBorders>
            <w:shd w:val="clear" w:color="auto" w:fill="auto"/>
            <w:tcMar>
              <w:left w:w="80" w:type="dxa"/>
              <w:right w:w="80" w:type="dxa"/>
            </w:tcMar>
            <w:vAlign w:val="bottom"/>
          </w:tcPr>
          <w:p w:rsidR="00197474" w:rsidRPr="0017742B" w:rsidRDefault="00197474" w:rsidP="005F5155">
            <w:pPr>
              <w:keepNext/>
              <w:autoSpaceDE w:val="0"/>
              <w:autoSpaceDN w:val="0"/>
              <w:adjustRightInd w:val="0"/>
              <w:spacing w:before="80" w:after="80"/>
              <w:rPr>
                <w:rFonts w:cs="Calibri"/>
                <w:b/>
                <w:bCs/>
                <w:color w:val="000000"/>
                <w:lang w:val="en-GB"/>
              </w:rPr>
            </w:pPr>
            <w:bookmarkStart w:id="1" w:name="IDX"/>
            <w:bookmarkEnd w:id="1"/>
          </w:p>
        </w:tc>
        <w:tc>
          <w:tcPr>
            <w:tcW w:w="1273" w:type="dxa"/>
            <w:tcBorders>
              <w:top w:val="single" w:sz="6" w:space="0" w:color="000000"/>
              <w:left w:val="nil"/>
              <w:bottom w:val="single" w:sz="6" w:space="0" w:color="000000"/>
              <w:right w:val="nil"/>
            </w:tcBorders>
            <w:shd w:val="clear" w:color="auto" w:fill="auto"/>
            <w:tcMar>
              <w:left w:w="80" w:type="dxa"/>
              <w:right w:w="80" w:type="dxa"/>
            </w:tcMar>
            <w:vAlign w:val="center"/>
          </w:tcPr>
          <w:p w:rsidR="00197474" w:rsidRPr="0017742B" w:rsidRDefault="00197474" w:rsidP="005F5155">
            <w:pPr>
              <w:keepNext/>
              <w:autoSpaceDE w:val="0"/>
              <w:autoSpaceDN w:val="0"/>
              <w:adjustRightInd w:val="0"/>
              <w:spacing w:before="80" w:after="80"/>
              <w:jc w:val="center"/>
              <w:rPr>
                <w:rFonts w:cs="Calibri"/>
                <w:b/>
                <w:bCs/>
                <w:color w:val="000000"/>
                <w:sz w:val="16"/>
                <w:szCs w:val="16"/>
                <w:lang w:val="en-GB"/>
              </w:rPr>
            </w:pPr>
            <w:r w:rsidRPr="0017742B">
              <w:rPr>
                <w:rFonts w:cs="Calibri"/>
                <w:b/>
                <w:bCs/>
                <w:color w:val="000000"/>
                <w:sz w:val="16"/>
                <w:szCs w:val="16"/>
                <w:lang w:val="en-GB"/>
              </w:rPr>
              <w:t>IFX+MTX</w:t>
            </w:r>
          </w:p>
        </w:tc>
        <w:tc>
          <w:tcPr>
            <w:tcW w:w="1276" w:type="dxa"/>
            <w:tcBorders>
              <w:top w:val="single" w:sz="6" w:space="0" w:color="000000"/>
              <w:left w:val="nil"/>
              <w:bottom w:val="single" w:sz="6" w:space="0" w:color="000000"/>
              <w:right w:val="nil"/>
            </w:tcBorders>
            <w:shd w:val="clear" w:color="auto" w:fill="auto"/>
            <w:tcMar>
              <w:left w:w="80" w:type="dxa"/>
              <w:right w:w="80" w:type="dxa"/>
            </w:tcMar>
            <w:vAlign w:val="center"/>
          </w:tcPr>
          <w:p w:rsidR="00197474" w:rsidRPr="0017742B" w:rsidRDefault="00197474" w:rsidP="005F5155">
            <w:pPr>
              <w:keepNext/>
              <w:autoSpaceDE w:val="0"/>
              <w:autoSpaceDN w:val="0"/>
              <w:adjustRightInd w:val="0"/>
              <w:spacing w:before="80" w:after="80"/>
              <w:jc w:val="center"/>
              <w:rPr>
                <w:rFonts w:cs="Calibri"/>
                <w:b/>
                <w:bCs/>
                <w:color w:val="000000"/>
                <w:sz w:val="16"/>
                <w:szCs w:val="16"/>
                <w:lang w:val="en-GB"/>
              </w:rPr>
            </w:pPr>
            <w:r w:rsidRPr="0017742B">
              <w:rPr>
                <w:rFonts w:cs="Calibri"/>
                <w:b/>
                <w:bCs/>
                <w:color w:val="000000"/>
                <w:sz w:val="16"/>
                <w:szCs w:val="16"/>
                <w:lang w:val="en-GB"/>
              </w:rPr>
              <w:t>MTX</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Number of patients in remission (N)</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12</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5</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Female (%)</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4 (33.3)</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 (20)</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Age (years)</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52.8 (13.1)</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43.9 (11.9)</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Symptom duration (weeks)*</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10.2 (1.7)</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10.8 (1.3)</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Rheumatoid factor (% positive)</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3 (25)</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 (20)</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US"/>
              </w:rPr>
            </w:pPr>
            <w:r w:rsidRPr="0017742B">
              <w:rPr>
                <w:rFonts w:cs="Calibri"/>
                <w:color w:val="000000"/>
                <w:sz w:val="16"/>
                <w:szCs w:val="16"/>
                <w:lang w:val="en-GB"/>
              </w:rPr>
              <w:t>Anti-</w:t>
            </w:r>
            <w:proofErr w:type="spellStart"/>
            <w:r w:rsidRPr="0017742B">
              <w:rPr>
                <w:rFonts w:cs="Calibri"/>
                <w:color w:val="000000"/>
                <w:sz w:val="16"/>
                <w:szCs w:val="16"/>
                <w:lang w:val="en-GB"/>
              </w:rPr>
              <w:t>citrullinated</w:t>
            </w:r>
            <w:proofErr w:type="spellEnd"/>
            <w:r w:rsidRPr="0017742B">
              <w:rPr>
                <w:rFonts w:cs="Calibri"/>
                <w:color w:val="000000"/>
                <w:sz w:val="16"/>
                <w:szCs w:val="16"/>
                <w:lang w:val="en-GB"/>
              </w:rPr>
              <w:t xml:space="preserve"> protein antibodies (% p</w:t>
            </w:r>
            <w:proofErr w:type="spellStart"/>
            <w:r w:rsidRPr="0017742B">
              <w:rPr>
                <w:rFonts w:cs="Calibri"/>
                <w:color w:val="000000"/>
                <w:sz w:val="16"/>
                <w:szCs w:val="16"/>
                <w:lang w:val="en-US"/>
              </w:rPr>
              <w:t>ositive</w:t>
            </w:r>
            <w:proofErr w:type="spellEnd"/>
            <w:r w:rsidRPr="0017742B">
              <w:rPr>
                <w:rFonts w:cs="Calibri"/>
                <w:color w:val="000000"/>
                <w:sz w:val="16"/>
                <w:szCs w:val="16"/>
                <w:lang w:val="en-US"/>
              </w:rPr>
              <w:t>)</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5 (41.7)</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2 (40)</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de-AT"/>
              </w:rPr>
            </w:pPr>
            <w:r w:rsidRPr="0017742B">
              <w:rPr>
                <w:rFonts w:cs="Calibri"/>
                <w:color w:val="000000"/>
                <w:sz w:val="16"/>
                <w:szCs w:val="16"/>
                <w:lang w:val="en-GB"/>
              </w:rPr>
              <w:t xml:space="preserve">Health </w:t>
            </w:r>
            <w:r w:rsidRPr="0017742B">
              <w:rPr>
                <w:rFonts w:cs="Calibri"/>
                <w:color w:val="000000"/>
                <w:sz w:val="16"/>
                <w:szCs w:val="16"/>
                <w:lang w:val="de-AT"/>
              </w:rPr>
              <w:t>Assessment Questionnaire (0-3)</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0.8 (0.7)</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0.6 (0.4)</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US"/>
              </w:rPr>
            </w:pPr>
            <w:r w:rsidRPr="0017742B">
              <w:rPr>
                <w:rFonts w:cs="Calibri"/>
                <w:color w:val="000000"/>
                <w:sz w:val="16"/>
                <w:szCs w:val="16"/>
                <w:lang w:val="en-US"/>
              </w:rPr>
              <w:t>Disease activity score 28 (DAS28; based on ESR)</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4.5 (1.4)</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3.4 (2.1)</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US"/>
              </w:rPr>
            </w:pPr>
            <w:r w:rsidRPr="0017742B">
              <w:rPr>
                <w:rFonts w:cs="Calibri"/>
                <w:color w:val="000000"/>
                <w:sz w:val="16"/>
                <w:szCs w:val="16"/>
                <w:lang w:val="en-US"/>
              </w:rPr>
              <w:t>Simplified disease activity index (SDAI)</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24.6 (5)</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19.6 (12.4)</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US"/>
              </w:rPr>
            </w:pPr>
            <w:r w:rsidRPr="0017742B">
              <w:rPr>
                <w:rFonts w:cs="Calibri"/>
                <w:color w:val="000000"/>
                <w:sz w:val="16"/>
                <w:szCs w:val="16"/>
                <w:lang w:val="en-US"/>
              </w:rPr>
              <w:t>Clinical disease activity index (CDAI)</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21.9 (13.7)</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17.6 (9.1)</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Swollen joint count (0-28)</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7 (4.8)</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4.6 (3.1)</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Tender joint count (0-28)</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8.2 (7.1)</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5.8 (6.7)</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Visual analogue scale pain (mm)</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35.4 (29.5)</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34 (22)</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Patient global assessment (mm)</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29.3 (26.5)</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39 (20.1)</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US"/>
              </w:rPr>
            </w:pPr>
            <w:r w:rsidRPr="0017742B">
              <w:rPr>
                <w:rFonts w:cs="Calibri"/>
                <w:color w:val="000000"/>
                <w:sz w:val="16"/>
                <w:szCs w:val="16"/>
                <w:lang w:val="en-US"/>
              </w:rPr>
              <w:t>Evaluator/Physician global assessment (mm)</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28.3 (16.4)</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33.4 (14.5)</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keepNext/>
              <w:autoSpaceDE w:val="0"/>
              <w:autoSpaceDN w:val="0"/>
              <w:adjustRightInd w:val="0"/>
              <w:spacing w:before="80" w:after="80"/>
              <w:rPr>
                <w:rFonts w:cs="Calibri"/>
                <w:color w:val="000000"/>
                <w:sz w:val="16"/>
                <w:szCs w:val="16"/>
                <w:lang w:val="en-US"/>
              </w:rPr>
            </w:pPr>
            <w:r w:rsidRPr="0017742B">
              <w:rPr>
                <w:rFonts w:cs="Calibri"/>
                <w:color w:val="000000"/>
                <w:sz w:val="16"/>
                <w:szCs w:val="16"/>
                <w:lang w:val="en-US"/>
              </w:rPr>
              <w:t>C-reactive protein (CRP; mg/dl)</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1.6 (2.5)</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1.1 (0.8)</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Erythrocyte sedimentation rate (ESR; mm/h)</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15 (15.7)</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5.7 (3.5)</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nl-NL"/>
              </w:rPr>
            </w:pPr>
            <w:r w:rsidRPr="0017742B">
              <w:rPr>
                <w:rFonts w:cs="Calibri"/>
                <w:color w:val="000000"/>
                <w:sz w:val="16"/>
                <w:szCs w:val="16"/>
                <w:lang w:val="nl-NL"/>
              </w:rPr>
              <w:t xml:space="preserve">Total Sharp-van-der-Heide score </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4.8 (7.8)</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0.8 (1.8)</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vAlign w:val="cente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lastRenderedPageBreak/>
              <w:t xml:space="preserve">Erosion score </w:t>
            </w:r>
          </w:p>
        </w:tc>
        <w:tc>
          <w:tcPr>
            <w:tcW w:w="1273" w:type="dxa"/>
            <w:tcBorders>
              <w:top w:val="nil"/>
              <w:left w:val="nil"/>
              <w:bottom w:val="nil"/>
              <w:right w:val="nil"/>
            </w:tcBorders>
            <w:shd w:val="clear" w:color="auto" w:fill="FFFFFF"/>
            <w:tcMar>
              <w:left w:w="80" w:type="dxa"/>
              <w:right w:w="80" w:type="dxa"/>
            </w:tcMar>
            <w:vAlign w:val="cente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1.4 (1.4)</w:t>
            </w:r>
          </w:p>
        </w:tc>
        <w:tc>
          <w:tcPr>
            <w:tcW w:w="1276" w:type="dxa"/>
            <w:tcBorders>
              <w:top w:val="nil"/>
              <w:left w:val="nil"/>
              <w:bottom w:val="nil"/>
              <w:right w:val="nil"/>
            </w:tcBorders>
            <w:shd w:val="clear" w:color="auto" w:fill="FFFFFF"/>
            <w:tcMar>
              <w:left w:w="80" w:type="dxa"/>
              <w:right w:w="80" w:type="dxa"/>
            </w:tcMar>
            <w:vAlign w:val="cente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0.4 (0.9)</w:t>
            </w:r>
          </w:p>
        </w:tc>
      </w:tr>
      <w:tr w:rsidR="00197474" w:rsidRPr="0017742B" w:rsidTr="005F5155">
        <w:trPr>
          <w:cantSplit/>
          <w:jc w:val="center"/>
        </w:trPr>
        <w:tc>
          <w:tcPr>
            <w:tcW w:w="3828" w:type="dxa"/>
            <w:tcBorders>
              <w:top w:val="nil"/>
              <w:left w:val="nil"/>
              <w:bottom w:val="single" w:sz="6" w:space="0" w:color="000000"/>
              <w:right w:val="nil"/>
            </w:tcBorders>
            <w:shd w:val="clear" w:color="auto" w:fill="FFFFFF"/>
            <w:tcMar>
              <w:left w:w="80" w:type="dxa"/>
              <w:right w:w="80" w:type="dxa"/>
            </w:tcMar>
            <w:vAlign w:val="cente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Joint space narrowing score</w:t>
            </w:r>
          </w:p>
        </w:tc>
        <w:tc>
          <w:tcPr>
            <w:tcW w:w="1273" w:type="dxa"/>
            <w:tcBorders>
              <w:top w:val="nil"/>
              <w:left w:val="nil"/>
              <w:bottom w:val="single" w:sz="6" w:space="0" w:color="000000"/>
              <w:right w:val="nil"/>
            </w:tcBorders>
            <w:shd w:val="clear" w:color="auto" w:fill="FFFFFF"/>
            <w:tcMar>
              <w:left w:w="80" w:type="dxa"/>
              <w:right w:w="80" w:type="dxa"/>
            </w:tcMar>
            <w:vAlign w:val="cente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3.4 (7.3)</w:t>
            </w:r>
          </w:p>
        </w:tc>
        <w:tc>
          <w:tcPr>
            <w:tcW w:w="1276" w:type="dxa"/>
            <w:tcBorders>
              <w:top w:val="nil"/>
              <w:left w:val="nil"/>
              <w:bottom w:val="single" w:sz="6" w:space="0" w:color="000000"/>
              <w:right w:val="nil"/>
            </w:tcBorders>
            <w:shd w:val="clear" w:color="auto" w:fill="FFFFFF"/>
            <w:tcMar>
              <w:left w:w="80" w:type="dxa"/>
              <w:right w:w="80" w:type="dxa"/>
            </w:tcMar>
            <w:vAlign w:val="cente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0.4 (0.9)</w:t>
            </w:r>
          </w:p>
        </w:tc>
      </w:tr>
    </w:tbl>
    <w:p w:rsidR="00197474" w:rsidRPr="0017742B" w:rsidRDefault="00197474" w:rsidP="00197474">
      <w:pPr>
        <w:spacing w:afterLines="100" w:after="240" w:line="360" w:lineRule="auto"/>
        <w:jc w:val="both"/>
      </w:pPr>
    </w:p>
    <w:p w:rsidR="00197474" w:rsidRPr="0017742B" w:rsidRDefault="0017676E" w:rsidP="00197474">
      <w:pPr>
        <w:jc w:val="both"/>
        <w:rPr>
          <w:b/>
          <w:sz w:val="20"/>
          <w:szCs w:val="20"/>
          <w:u w:val="single"/>
          <w:lang w:val="en-GB"/>
        </w:rPr>
      </w:pPr>
      <w:r w:rsidRPr="0017742B">
        <w:rPr>
          <w:b/>
          <w:sz w:val="20"/>
          <w:szCs w:val="20"/>
          <w:u w:val="single"/>
          <w:lang w:val="en-GB"/>
        </w:rPr>
        <w:t>T</w:t>
      </w:r>
      <w:r w:rsidR="00197474" w:rsidRPr="0017742B">
        <w:rPr>
          <w:b/>
          <w:sz w:val="20"/>
          <w:szCs w:val="20"/>
          <w:u w:val="single"/>
          <w:lang w:val="en-GB"/>
        </w:rPr>
        <w:t xml:space="preserve">able </w:t>
      </w:r>
      <w:r>
        <w:rPr>
          <w:b/>
          <w:sz w:val="20"/>
          <w:szCs w:val="20"/>
          <w:u w:val="single"/>
          <w:lang w:val="en-GB"/>
        </w:rPr>
        <w:t>S</w:t>
      </w:r>
      <w:r w:rsidR="00197474" w:rsidRPr="0017742B">
        <w:rPr>
          <w:b/>
          <w:sz w:val="20"/>
          <w:szCs w:val="20"/>
          <w:u w:val="single"/>
          <w:lang w:val="en-GB"/>
        </w:rPr>
        <w:t xml:space="preserve">D. </w:t>
      </w:r>
      <w:proofErr w:type="gramStart"/>
      <w:r w:rsidR="00197474" w:rsidRPr="0017742B">
        <w:rPr>
          <w:b/>
          <w:sz w:val="20"/>
          <w:szCs w:val="20"/>
          <w:u w:val="single"/>
          <w:lang w:val="en-GB"/>
        </w:rPr>
        <w:t>One year data of patients who were in remission at year one.</w:t>
      </w:r>
      <w:proofErr w:type="gramEnd"/>
      <w:r w:rsidR="00197474" w:rsidRPr="0017742B">
        <w:rPr>
          <w:b/>
          <w:sz w:val="20"/>
          <w:szCs w:val="20"/>
          <w:lang w:val="en-GB"/>
        </w:rPr>
        <w:t xml:space="preserve"> </w:t>
      </w:r>
      <w:r w:rsidR="00197474" w:rsidRPr="0017742B">
        <w:rPr>
          <w:sz w:val="20"/>
          <w:szCs w:val="20"/>
          <w:lang w:val="en-GB"/>
        </w:rPr>
        <w:t xml:space="preserve">Data are shown as mean (±SD) or absolute (relative) frequencies where appropriate. </w:t>
      </w:r>
    </w:p>
    <w:p w:rsidR="00197474" w:rsidRPr="0017742B" w:rsidRDefault="00197474" w:rsidP="00197474">
      <w:pPr>
        <w:jc w:val="both"/>
        <w:rPr>
          <w:b/>
          <w:u w:val="single"/>
          <w:lang w:val="en-GB"/>
        </w:rPr>
      </w:pPr>
    </w:p>
    <w:tbl>
      <w:tblPr>
        <w:tblW w:w="6377" w:type="dxa"/>
        <w:jc w:val="center"/>
        <w:tblLayout w:type="fixed"/>
        <w:tblCellMar>
          <w:left w:w="0" w:type="dxa"/>
          <w:right w:w="0" w:type="dxa"/>
        </w:tblCellMar>
        <w:tblLook w:val="0000" w:firstRow="0" w:lastRow="0" w:firstColumn="0" w:lastColumn="0" w:noHBand="0" w:noVBand="0"/>
      </w:tblPr>
      <w:tblGrid>
        <w:gridCol w:w="3828"/>
        <w:gridCol w:w="1273"/>
        <w:gridCol w:w="1276"/>
      </w:tblGrid>
      <w:tr w:rsidR="00197474" w:rsidRPr="0017742B" w:rsidTr="005F5155">
        <w:trPr>
          <w:cantSplit/>
          <w:tblHeader/>
          <w:jc w:val="center"/>
        </w:trPr>
        <w:tc>
          <w:tcPr>
            <w:tcW w:w="3828" w:type="dxa"/>
            <w:tcBorders>
              <w:top w:val="single" w:sz="6" w:space="0" w:color="000000"/>
              <w:left w:val="nil"/>
              <w:bottom w:val="single" w:sz="6" w:space="0" w:color="000000"/>
              <w:right w:val="nil"/>
            </w:tcBorders>
            <w:shd w:val="clear" w:color="auto" w:fill="auto"/>
            <w:tcMar>
              <w:left w:w="80" w:type="dxa"/>
              <w:right w:w="80" w:type="dxa"/>
            </w:tcMar>
            <w:vAlign w:val="bottom"/>
          </w:tcPr>
          <w:p w:rsidR="00197474" w:rsidRPr="0017742B" w:rsidRDefault="00197474" w:rsidP="005F5155">
            <w:pPr>
              <w:keepNext/>
              <w:autoSpaceDE w:val="0"/>
              <w:autoSpaceDN w:val="0"/>
              <w:adjustRightInd w:val="0"/>
              <w:spacing w:before="80" w:after="80"/>
              <w:rPr>
                <w:rFonts w:cs="Calibri"/>
                <w:b/>
                <w:bCs/>
                <w:color w:val="000000"/>
                <w:lang w:val="en-GB"/>
              </w:rPr>
            </w:pPr>
          </w:p>
        </w:tc>
        <w:tc>
          <w:tcPr>
            <w:tcW w:w="1273" w:type="dxa"/>
            <w:tcBorders>
              <w:top w:val="single" w:sz="6" w:space="0" w:color="000000"/>
              <w:left w:val="nil"/>
              <w:bottom w:val="single" w:sz="6" w:space="0" w:color="000000"/>
              <w:right w:val="nil"/>
            </w:tcBorders>
            <w:shd w:val="clear" w:color="auto" w:fill="auto"/>
            <w:tcMar>
              <w:left w:w="80" w:type="dxa"/>
              <w:right w:w="80" w:type="dxa"/>
            </w:tcMar>
            <w:vAlign w:val="center"/>
          </w:tcPr>
          <w:p w:rsidR="00197474" w:rsidRPr="0017742B" w:rsidRDefault="00197474" w:rsidP="005F5155">
            <w:pPr>
              <w:keepNext/>
              <w:autoSpaceDE w:val="0"/>
              <w:autoSpaceDN w:val="0"/>
              <w:adjustRightInd w:val="0"/>
              <w:spacing w:before="80" w:after="80"/>
              <w:jc w:val="center"/>
              <w:rPr>
                <w:rFonts w:cs="Calibri"/>
                <w:b/>
                <w:bCs/>
                <w:color w:val="000000"/>
                <w:sz w:val="16"/>
                <w:szCs w:val="16"/>
                <w:lang w:val="en-GB"/>
              </w:rPr>
            </w:pPr>
            <w:r w:rsidRPr="0017742B">
              <w:rPr>
                <w:rFonts w:cs="Calibri"/>
                <w:b/>
                <w:bCs/>
                <w:color w:val="000000"/>
                <w:sz w:val="16"/>
                <w:szCs w:val="16"/>
                <w:lang w:val="en-GB"/>
              </w:rPr>
              <w:t>IFX+MTX</w:t>
            </w:r>
          </w:p>
        </w:tc>
        <w:tc>
          <w:tcPr>
            <w:tcW w:w="1276" w:type="dxa"/>
            <w:tcBorders>
              <w:top w:val="single" w:sz="6" w:space="0" w:color="000000"/>
              <w:left w:val="nil"/>
              <w:bottom w:val="single" w:sz="6" w:space="0" w:color="000000"/>
              <w:right w:val="nil"/>
            </w:tcBorders>
            <w:shd w:val="clear" w:color="auto" w:fill="auto"/>
            <w:tcMar>
              <w:left w:w="80" w:type="dxa"/>
              <w:right w:w="80" w:type="dxa"/>
            </w:tcMar>
            <w:vAlign w:val="center"/>
          </w:tcPr>
          <w:p w:rsidR="00197474" w:rsidRPr="0017742B" w:rsidRDefault="00197474" w:rsidP="005F5155">
            <w:pPr>
              <w:keepNext/>
              <w:autoSpaceDE w:val="0"/>
              <w:autoSpaceDN w:val="0"/>
              <w:adjustRightInd w:val="0"/>
              <w:spacing w:before="80" w:after="80"/>
              <w:jc w:val="center"/>
              <w:rPr>
                <w:rFonts w:cs="Calibri"/>
                <w:b/>
                <w:bCs/>
                <w:color w:val="000000"/>
                <w:sz w:val="16"/>
                <w:szCs w:val="16"/>
                <w:lang w:val="en-GB"/>
              </w:rPr>
            </w:pPr>
            <w:r w:rsidRPr="0017742B">
              <w:rPr>
                <w:rFonts w:cs="Calibri"/>
                <w:b/>
                <w:bCs/>
                <w:color w:val="000000"/>
                <w:sz w:val="16"/>
                <w:szCs w:val="16"/>
                <w:lang w:val="en-GB"/>
              </w:rPr>
              <w:t>MTX</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Number of patients (N)</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12</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5</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de-AT"/>
              </w:rPr>
            </w:pPr>
            <w:r w:rsidRPr="0017742B">
              <w:rPr>
                <w:rFonts w:cs="Calibri"/>
                <w:color w:val="000000"/>
                <w:sz w:val="16"/>
                <w:szCs w:val="16"/>
                <w:lang w:val="en-GB"/>
              </w:rPr>
              <w:t xml:space="preserve">Health </w:t>
            </w:r>
            <w:r w:rsidRPr="0017742B">
              <w:rPr>
                <w:rFonts w:cs="Calibri"/>
                <w:color w:val="000000"/>
                <w:sz w:val="16"/>
                <w:szCs w:val="16"/>
                <w:lang w:val="de-AT"/>
              </w:rPr>
              <w:t>Assessment Questionnaire (0-3)</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0.1 (0.2)</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 xml:space="preserve">0 (0.1)  </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US"/>
              </w:rPr>
            </w:pPr>
            <w:r w:rsidRPr="0017742B">
              <w:rPr>
                <w:rFonts w:cs="Calibri"/>
                <w:color w:val="000000"/>
                <w:sz w:val="16"/>
                <w:szCs w:val="16"/>
                <w:lang w:val="en-US"/>
              </w:rPr>
              <w:t>Disease activity score 28 (DAS28; based on ESR)</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1.6 (0.5)</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1.1 (0.6)</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US"/>
              </w:rPr>
            </w:pPr>
            <w:r w:rsidRPr="0017742B">
              <w:rPr>
                <w:rFonts w:cs="Calibri"/>
                <w:color w:val="000000"/>
                <w:sz w:val="16"/>
                <w:szCs w:val="16"/>
                <w:lang w:val="en-US"/>
              </w:rPr>
              <w:t>Simplified disease activity index (SDAI)</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1.1 (0.8)</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1.1 (1.5)</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US"/>
              </w:rPr>
            </w:pPr>
            <w:r w:rsidRPr="0017742B">
              <w:rPr>
                <w:rFonts w:cs="Calibri"/>
                <w:color w:val="000000"/>
                <w:sz w:val="16"/>
                <w:szCs w:val="16"/>
                <w:lang w:val="en-US"/>
              </w:rPr>
              <w:t>Clinical disease activity index (CDAI)</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0.9 (0.8)</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0.9 (1.5)</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Swollen joint count (0-28)</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Tender joint count (0-28)</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0.2 (0.4)</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0.2 (0.5)</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Visual analogue scale pain (mm)</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4.7 (6.8)</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1.8 (2.9)</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Patient global assessment (mm)</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5.8 (7.1)</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4.3 (6.1)</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US"/>
              </w:rPr>
            </w:pPr>
            <w:r w:rsidRPr="0017742B">
              <w:rPr>
                <w:rFonts w:cs="Calibri"/>
                <w:color w:val="000000"/>
                <w:sz w:val="16"/>
                <w:szCs w:val="16"/>
                <w:lang w:val="en-US"/>
              </w:rPr>
              <w:t>Evaluator/Physician global assessment (mm)</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12.1 (2.6)</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2.3 (4.5)</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keepNext/>
              <w:autoSpaceDE w:val="0"/>
              <w:autoSpaceDN w:val="0"/>
              <w:adjustRightInd w:val="0"/>
              <w:spacing w:before="80" w:after="80"/>
              <w:rPr>
                <w:rFonts w:cs="Calibri"/>
                <w:color w:val="000000"/>
                <w:sz w:val="16"/>
                <w:szCs w:val="16"/>
                <w:lang w:val="en-US"/>
              </w:rPr>
            </w:pPr>
            <w:r w:rsidRPr="0017742B">
              <w:rPr>
                <w:rFonts w:cs="Calibri"/>
                <w:color w:val="000000"/>
                <w:sz w:val="16"/>
                <w:szCs w:val="16"/>
                <w:lang w:val="en-US"/>
              </w:rPr>
              <w:t>C-reactive protein (CRP; mg/dl)</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0.2 (0.3)</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0.2 (0.4)</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Erythrocyte sedimentation rate (ESR; mm/h)</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9 (6)</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6.8 (7)</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rPr>
                <w:rFonts w:cs="Calibri"/>
                <w:color w:val="000000"/>
                <w:sz w:val="16"/>
                <w:szCs w:val="16"/>
                <w:lang w:val="nl-NL"/>
              </w:rPr>
            </w:pPr>
            <w:r w:rsidRPr="0017742B">
              <w:rPr>
                <w:rFonts w:cs="Calibri"/>
                <w:color w:val="000000"/>
                <w:sz w:val="16"/>
                <w:szCs w:val="16"/>
                <w:lang w:val="nl-NL"/>
              </w:rPr>
              <w:t xml:space="preserve">Total Sharp-van-der-Heide score </w:t>
            </w:r>
          </w:p>
        </w:tc>
        <w:tc>
          <w:tcPr>
            <w:tcW w:w="1273"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4.7 (7.5)</w:t>
            </w:r>
          </w:p>
        </w:tc>
        <w:tc>
          <w:tcPr>
            <w:tcW w:w="1276" w:type="dxa"/>
            <w:tcBorders>
              <w:top w:val="nil"/>
              <w:left w:val="nil"/>
              <w:bottom w:val="nil"/>
              <w:right w:val="nil"/>
            </w:tcBorders>
            <w:shd w:val="clear" w:color="auto" w:fill="FFFFFF"/>
            <w:tcMar>
              <w:left w:w="80" w:type="dxa"/>
              <w:right w:w="80" w:type="dxa"/>
            </w:tcMa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 (0)</w:t>
            </w:r>
          </w:p>
        </w:tc>
      </w:tr>
      <w:tr w:rsidR="00197474" w:rsidRPr="0017742B" w:rsidTr="005F5155">
        <w:trPr>
          <w:cantSplit/>
          <w:jc w:val="center"/>
        </w:trPr>
        <w:tc>
          <w:tcPr>
            <w:tcW w:w="3828" w:type="dxa"/>
            <w:tcBorders>
              <w:top w:val="nil"/>
              <w:left w:val="nil"/>
              <w:bottom w:val="nil"/>
              <w:right w:val="nil"/>
            </w:tcBorders>
            <w:shd w:val="clear" w:color="auto" w:fill="FFFFFF"/>
            <w:tcMar>
              <w:left w:w="80" w:type="dxa"/>
              <w:right w:w="80" w:type="dxa"/>
            </w:tcMar>
            <w:vAlign w:val="cente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 xml:space="preserve">Erosion score </w:t>
            </w:r>
          </w:p>
        </w:tc>
        <w:tc>
          <w:tcPr>
            <w:tcW w:w="1273" w:type="dxa"/>
            <w:tcBorders>
              <w:top w:val="nil"/>
              <w:left w:val="nil"/>
              <w:bottom w:val="nil"/>
              <w:right w:val="nil"/>
            </w:tcBorders>
            <w:shd w:val="clear" w:color="auto" w:fill="FFFFFF"/>
            <w:tcMar>
              <w:left w:w="80" w:type="dxa"/>
              <w:right w:w="80" w:type="dxa"/>
            </w:tcMar>
            <w:vAlign w:val="cente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1.2 (1.2)</w:t>
            </w:r>
          </w:p>
        </w:tc>
        <w:tc>
          <w:tcPr>
            <w:tcW w:w="1276" w:type="dxa"/>
            <w:tcBorders>
              <w:top w:val="nil"/>
              <w:left w:val="nil"/>
              <w:bottom w:val="nil"/>
              <w:right w:val="nil"/>
            </w:tcBorders>
            <w:shd w:val="clear" w:color="auto" w:fill="FFFFFF"/>
            <w:tcMar>
              <w:left w:w="80" w:type="dxa"/>
              <w:right w:w="80" w:type="dxa"/>
            </w:tcMar>
            <w:vAlign w:val="cente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 (0)</w:t>
            </w:r>
          </w:p>
        </w:tc>
      </w:tr>
      <w:tr w:rsidR="00197474" w:rsidRPr="0017742B" w:rsidTr="005F5155">
        <w:trPr>
          <w:cantSplit/>
          <w:jc w:val="center"/>
        </w:trPr>
        <w:tc>
          <w:tcPr>
            <w:tcW w:w="3828" w:type="dxa"/>
            <w:tcBorders>
              <w:top w:val="nil"/>
              <w:left w:val="nil"/>
              <w:bottom w:val="single" w:sz="6" w:space="0" w:color="000000"/>
              <w:right w:val="nil"/>
            </w:tcBorders>
            <w:shd w:val="clear" w:color="auto" w:fill="FFFFFF"/>
            <w:tcMar>
              <w:left w:w="80" w:type="dxa"/>
              <w:right w:w="80" w:type="dxa"/>
            </w:tcMar>
            <w:vAlign w:val="center"/>
          </w:tcPr>
          <w:p w:rsidR="00197474" w:rsidRPr="0017742B" w:rsidRDefault="00197474" w:rsidP="005F5155">
            <w:pPr>
              <w:autoSpaceDE w:val="0"/>
              <w:autoSpaceDN w:val="0"/>
              <w:adjustRightInd w:val="0"/>
              <w:spacing w:before="80" w:after="80"/>
              <w:rPr>
                <w:rFonts w:cs="Calibri"/>
                <w:color w:val="000000"/>
                <w:sz w:val="16"/>
                <w:szCs w:val="16"/>
                <w:lang w:val="en-GB"/>
              </w:rPr>
            </w:pPr>
            <w:r w:rsidRPr="0017742B">
              <w:rPr>
                <w:rFonts w:cs="Calibri"/>
                <w:color w:val="000000"/>
                <w:sz w:val="16"/>
                <w:szCs w:val="16"/>
                <w:lang w:val="en-GB"/>
              </w:rPr>
              <w:t>Joint space narrowing score</w:t>
            </w:r>
          </w:p>
        </w:tc>
        <w:tc>
          <w:tcPr>
            <w:tcW w:w="1273" w:type="dxa"/>
            <w:tcBorders>
              <w:top w:val="nil"/>
              <w:left w:val="nil"/>
              <w:bottom w:val="single" w:sz="6" w:space="0" w:color="000000"/>
              <w:right w:val="nil"/>
            </w:tcBorders>
            <w:shd w:val="clear" w:color="auto" w:fill="FFFFFF"/>
            <w:tcMar>
              <w:left w:w="80" w:type="dxa"/>
              <w:right w:w="80" w:type="dxa"/>
            </w:tcMar>
            <w:vAlign w:val="cente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3.5 (7.0)</w:t>
            </w:r>
          </w:p>
        </w:tc>
        <w:tc>
          <w:tcPr>
            <w:tcW w:w="1276" w:type="dxa"/>
            <w:tcBorders>
              <w:top w:val="nil"/>
              <w:left w:val="nil"/>
              <w:bottom w:val="single" w:sz="6" w:space="0" w:color="000000"/>
              <w:right w:val="nil"/>
            </w:tcBorders>
            <w:shd w:val="clear" w:color="auto" w:fill="FFFFFF"/>
            <w:tcMar>
              <w:left w:w="80" w:type="dxa"/>
              <w:right w:w="80" w:type="dxa"/>
            </w:tcMar>
            <w:vAlign w:val="center"/>
          </w:tcPr>
          <w:p w:rsidR="00197474" w:rsidRPr="0017742B" w:rsidRDefault="00197474" w:rsidP="005F5155">
            <w:pPr>
              <w:autoSpaceDE w:val="0"/>
              <w:autoSpaceDN w:val="0"/>
              <w:adjustRightInd w:val="0"/>
              <w:spacing w:before="80" w:after="80"/>
              <w:jc w:val="center"/>
              <w:rPr>
                <w:rFonts w:cs="Calibri"/>
                <w:color w:val="000000"/>
                <w:sz w:val="16"/>
                <w:szCs w:val="16"/>
                <w:lang w:val="en-GB"/>
              </w:rPr>
            </w:pPr>
            <w:r w:rsidRPr="0017742B">
              <w:rPr>
                <w:rFonts w:cs="Calibri"/>
                <w:color w:val="000000"/>
                <w:sz w:val="16"/>
                <w:szCs w:val="16"/>
                <w:lang w:val="en-GB"/>
              </w:rPr>
              <w:t>0 (0)</w:t>
            </w:r>
          </w:p>
        </w:tc>
      </w:tr>
    </w:tbl>
    <w:p w:rsidR="00197474" w:rsidRPr="0017742B" w:rsidRDefault="00197474" w:rsidP="00197474">
      <w:pPr>
        <w:spacing w:afterLines="100" w:after="240" w:line="360" w:lineRule="auto"/>
        <w:jc w:val="both"/>
      </w:pPr>
    </w:p>
    <w:p w:rsidR="001F6F90" w:rsidRPr="0017742B" w:rsidRDefault="001F6F90">
      <w:pPr>
        <w:rPr>
          <w:lang w:val="en-GB"/>
        </w:rPr>
      </w:pPr>
    </w:p>
    <w:p w:rsidR="001F6F90" w:rsidRPr="0017742B" w:rsidRDefault="001F6F90">
      <w:pPr>
        <w:rPr>
          <w:rFonts w:ascii="Times New Roman" w:hAnsi="Times New Roman" w:cs="Times New Roman"/>
          <w:lang w:val="en-US"/>
        </w:rPr>
      </w:pPr>
    </w:p>
    <w:p w:rsidR="00E66EC3" w:rsidRPr="0017742B" w:rsidRDefault="001F6F90" w:rsidP="00E66EC3">
      <w:pPr>
        <w:pStyle w:val="EndNoteBibliography"/>
        <w:spacing w:after="0"/>
      </w:pPr>
      <w:r w:rsidRPr="0017742B">
        <w:rPr>
          <w:rFonts w:ascii="Times New Roman" w:hAnsi="Times New Roman" w:cs="Times New Roman"/>
        </w:rPr>
        <w:fldChar w:fldCharType="begin"/>
      </w:r>
      <w:r w:rsidRPr="0017742B">
        <w:rPr>
          <w:rFonts w:ascii="Times New Roman" w:hAnsi="Times New Roman" w:cs="Times New Roman"/>
          <w:lang w:val="de-AT"/>
        </w:rPr>
        <w:instrText xml:space="preserve"> ADDIN EN.REFLIST </w:instrText>
      </w:r>
      <w:r w:rsidRPr="0017742B">
        <w:rPr>
          <w:rFonts w:ascii="Times New Roman" w:hAnsi="Times New Roman" w:cs="Times New Roman"/>
        </w:rPr>
        <w:fldChar w:fldCharType="separate"/>
      </w:r>
      <w:r w:rsidR="00E66EC3" w:rsidRPr="0017742B">
        <w:rPr>
          <w:lang w:val="de-AT"/>
        </w:rPr>
        <w:t>1.</w:t>
      </w:r>
      <w:r w:rsidR="00E66EC3" w:rsidRPr="0017742B">
        <w:rPr>
          <w:lang w:val="de-AT"/>
        </w:rPr>
        <w:tab/>
        <w:t>Machold KP, Landewe R, Smol</w:t>
      </w:r>
      <w:r w:rsidR="00E66EC3" w:rsidRPr="0017742B">
        <w:rPr>
          <w:lang w:val="de-DE"/>
        </w:rPr>
        <w:t xml:space="preserve">en JS, Stamm TA, van der </w:t>
      </w:r>
      <w:r w:rsidR="00E66EC3" w:rsidRPr="0017742B">
        <w:rPr>
          <w:lang w:val="de-AT"/>
        </w:rPr>
        <w:t xml:space="preserve">Heijde DM, Verpoort KN, et al. </w:t>
      </w:r>
      <w:r w:rsidR="00E66EC3" w:rsidRPr="0017742B">
        <w:t>The Stop Arthritis Very Early (SAVE) trial, an international multicentre, randomised, double-blind, placebo-controlled trial on glucocorticoids in very early arthritis. AnnRheumDis. 2010;69(3):495-502.</w:t>
      </w:r>
    </w:p>
    <w:p w:rsidR="00E66EC3" w:rsidRPr="0017742B" w:rsidRDefault="00E66EC3" w:rsidP="00E66EC3">
      <w:pPr>
        <w:pStyle w:val="EndNoteBibliography"/>
        <w:spacing w:after="0"/>
      </w:pPr>
      <w:r w:rsidRPr="0017742B">
        <w:t>2.</w:t>
      </w:r>
      <w:r w:rsidRPr="0017742B">
        <w:tab/>
        <w:t>Verstappen SM, McCoy MJ, Roberts C, Dale NE, Hassell AB, Symmons DP, et al. Beneficial effects of a 3-week course of intramuscular glucocorticoid injections in patients with very early inflammatory polyarthritis: results of the STIVEA trial. Ann Rheum Dis. 2010;69(3):503-9.</w:t>
      </w:r>
    </w:p>
    <w:p w:rsidR="00E66EC3" w:rsidRPr="0017742B" w:rsidRDefault="00E66EC3" w:rsidP="00E66EC3">
      <w:pPr>
        <w:pStyle w:val="EndNoteBibliography"/>
        <w:spacing w:after="0"/>
      </w:pPr>
      <w:r w:rsidRPr="0017742B">
        <w:t>3.</w:t>
      </w:r>
      <w:r w:rsidRPr="0017742B">
        <w:tab/>
        <w:t>Smolen JS, Emery P, Fleischmann R, van Vollenhoven RF, Pavelka K, Durez P, et al. Adjustment of therapy in rheumatoid arthritis on the basis of achievement of stable low disease activity with adalimumab plus methotrexate or methotrexate alone: the randomised controlled OPTIMA trial. Lancet. 2014;383(9914):321-32.</w:t>
      </w:r>
    </w:p>
    <w:p w:rsidR="00E66EC3" w:rsidRPr="0017742B" w:rsidRDefault="00E66EC3" w:rsidP="00E66EC3">
      <w:pPr>
        <w:pStyle w:val="EndNoteBibliography"/>
        <w:spacing w:after="0"/>
      </w:pPr>
      <w:r w:rsidRPr="0017742B">
        <w:lastRenderedPageBreak/>
        <w:t>4.</w:t>
      </w:r>
      <w:r w:rsidRPr="0017742B">
        <w:tab/>
        <w:t>Breedveld FC, Weisman MH, Kavanaugh AF, Cohen SB, Pavelka K, van Vollenhoven R, et al. The PREMIER study: A multicenter, randomized, double-blind clinical trial of combination therapy with adalimumab plus methotrexate versus methotrexate alone or adalimumab alone in patients with early, aggressive rheumatoid arthritis who had not had previous methotrexate treatment. Arthritis Rheum. 2006;54(1):26-37.</w:t>
      </w:r>
    </w:p>
    <w:p w:rsidR="00E66EC3" w:rsidRPr="0017742B" w:rsidRDefault="00E66EC3" w:rsidP="00E66EC3">
      <w:pPr>
        <w:pStyle w:val="EndNoteBibliography"/>
        <w:spacing w:after="0"/>
      </w:pPr>
      <w:r w:rsidRPr="0017742B">
        <w:t>5.</w:t>
      </w:r>
      <w:r w:rsidRPr="0017742B">
        <w:tab/>
        <w:t>Keystone EC, Kavanaugh AF, Sharp JT, Tannenbaum H, Hua Y, Teoh LS, et al. Radiographic, clinical, and functional outcomes of treatment with adalimumab (a human anti-tumor necrosis factor monoclonal antibody) in patients with active rheumatoid arthritis receiving concomitant methotrexate therapy: a randomized, placebo-controlled, 52-week trial. Arthritis Rheum. 2004;50(5):1400-11.</w:t>
      </w:r>
    </w:p>
    <w:p w:rsidR="00E66EC3" w:rsidRPr="0017742B" w:rsidRDefault="00E66EC3" w:rsidP="00E66EC3">
      <w:pPr>
        <w:pStyle w:val="EndNoteBibliography"/>
        <w:spacing w:after="0"/>
      </w:pPr>
      <w:r w:rsidRPr="0017742B">
        <w:t>6.</w:t>
      </w:r>
      <w:r w:rsidRPr="0017742B">
        <w:tab/>
        <w:t>Weinblatt ME, Keystone EC, Furst DE, Moreland LW, Weisman MH, Birbara CA, et al. Adalimumab, a fully human anti-tumor necrosis factor alpha monoclonal antibody, for the treatment of rheumatoid arthritis in patients taking concomitant methotrexate: the ARMADA trial. Arthritis Rheum. 2003;48(1):35-45.</w:t>
      </w:r>
    </w:p>
    <w:p w:rsidR="00E66EC3" w:rsidRPr="0017742B" w:rsidRDefault="00E66EC3" w:rsidP="00E66EC3">
      <w:pPr>
        <w:pStyle w:val="EndNoteBibliography"/>
      </w:pPr>
      <w:r w:rsidRPr="0017742B">
        <w:t>7.</w:t>
      </w:r>
      <w:r w:rsidRPr="0017742B">
        <w:tab/>
        <w:t>Carriere I, Bouyer J. Choosing marginal or random-effects models for longitudinal binary responses: application to self-reported disability among older persons. BMC medical research methodology. 2002;2:15.</w:t>
      </w:r>
    </w:p>
    <w:p w:rsidR="00D962BA" w:rsidRPr="00C62C6E" w:rsidRDefault="001F6F90">
      <w:pPr>
        <w:rPr>
          <w:rFonts w:ascii="Times New Roman" w:hAnsi="Times New Roman" w:cs="Times New Roman"/>
          <w:lang w:val="en-US"/>
        </w:rPr>
      </w:pPr>
      <w:r w:rsidRPr="0017742B">
        <w:rPr>
          <w:rFonts w:ascii="Times New Roman" w:hAnsi="Times New Roman" w:cs="Times New Roman"/>
          <w:lang w:val="en-US"/>
        </w:rPr>
        <w:fldChar w:fldCharType="end"/>
      </w:r>
    </w:p>
    <w:sectPr w:rsidR="00D962BA" w:rsidRPr="00C62C6E">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98" w:rsidRDefault="00402298" w:rsidP="006F0ACE">
      <w:pPr>
        <w:spacing w:after="0" w:line="240" w:lineRule="auto"/>
      </w:pPr>
      <w:r>
        <w:separator/>
      </w:r>
    </w:p>
  </w:endnote>
  <w:endnote w:type="continuationSeparator" w:id="0">
    <w:p w:rsidR="00402298" w:rsidRDefault="00402298" w:rsidP="006F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755853"/>
      <w:docPartObj>
        <w:docPartGallery w:val="Page Numbers (Bottom of Page)"/>
        <w:docPartUnique/>
      </w:docPartObj>
    </w:sdtPr>
    <w:sdtEndPr/>
    <w:sdtContent>
      <w:p w:rsidR="006F0ACE" w:rsidRDefault="006F0ACE">
        <w:pPr>
          <w:pStyle w:val="Footer"/>
          <w:jc w:val="right"/>
        </w:pPr>
        <w:r>
          <w:fldChar w:fldCharType="begin"/>
        </w:r>
        <w:r>
          <w:instrText>PAGE   \* MERGEFORMAT</w:instrText>
        </w:r>
        <w:r>
          <w:fldChar w:fldCharType="separate"/>
        </w:r>
        <w:r w:rsidR="00BE1AF7">
          <w:rPr>
            <w:noProof/>
          </w:rPr>
          <w:t>1</w:t>
        </w:r>
        <w:r>
          <w:fldChar w:fldCharType="end"/>
        </w:r>
      </w:p>
    </w:sdtContent>
  </w:sdt>
  <w:p w:rsidR="006F0ACE" w:rsidRDefault="006F0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98" w:rsidRDefault="00402298" w:rsidP="006F0ACE">
      <w:pPr>
        <w:spacing w:after="0" w:line="240" w:lineRule="auto"/>
      </w:pPr>
      <w:r>
        <w:separator/>
      </w:r>
    </w:p>
  </w:footnote>
  <w:footnote w:type="continuationSeparator" w:id="0">
    <w:p w:rsidR="00402298" w:rsidRDefault="00402298" w:rsidP="006F0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691A43E-6999-4046-8A03-7DF3AFFA8497}"/>
    <w:docVar w:name="dgnword-eventsink" w:val="645523112"/>
    <w:docVar w:name="EN.InstantFormat" w:val="&lt;ENInstantFormat&gt;&lt;Enabled&gt;1&lt;/Enabled&gt;&lt;ScanUnformatted&gt;1&lt;/ScanUnformatted&gt;&lt;ScanChanges&gt;1&lt;/ScanChanges&gt;&lt;Suspended&gt;0&lt;/Suspended&gt;&lt;/ENInstantFormat&gt;"/>
    <w:docVar w:name="EN.Layout" w:val="&lt;ENLayout&gt;&lt;Style&gt;Arthritis Rheumatis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2wdvtvdpv59wevtp5v2wrlp0e5fax2ezfd&quot;&gt;tanjaref-aktuell-Saved&lt;record-ids&gt;&lt;item&gt;901&lt;/item&gt;&lt;item&gt;1122&lt;/item&gt;&lt;item&gt;1332&lt;/item&gt;&lt;item&gt;1333&lt;/item&gt;&lt;item&gt;1334&lt;/item&gt;&lt;item&gt;1658&lt;/item&gt;&lt;item&gt;1664&lt;/item&gt;&lt;/record-ids&gt;&lt;/item&gt;&lt;/Libraries&gt;"/>
    <w:docVar w:name="Total_Editing_Time" w:val="0"/>
  </w:docVars>
  <w:rsids>
    <w:rsidRoot w:val="00D962BA"/>
    <w:rsid w:val="000163A8"/>
    <w:rsid w:val="00045A70"/>
    <w:rsid w:val="00056567"/>
    <w:rsid w:val="00077408"/>
    <w:rsid w:val="000E1141"/>
    <w:rsid w:val="000E49C1"/>
    <w:rsid w:val="00115C1B"/>
    <w:rsid w:val="0012295B"/>
    <w:rsid w:val="00162D0C"/>
    <w:rsid w:val="0017676E"/>
    <w:rsid w:val="0017742B"/>
    <w:rsid w:val="0019120E"/>
    <w:rsid w:val="00197474"/>
    <w:rsid w:val="001977D6"/>
    <w:rsid w:val="001F6F90"/>
    <w:rsid w:val="002C66C6"/>
    <w:rsid w:val="00300789"/>
    <w:rsid w:val="00323203"/>
    <w:rsid w:val="003A78B9"/>
    <w:rsid w:val="003C3EA2"/>
    <w:rsid w:val="00402298"/>
    <w:rsid w:val="0041617E"/>
    <w:rsid w:val="00441726"/>
    <w:rsid w:val="004803AB"/>
    <w:rsid w:val="004939DF"/>
    <w:rsid w:val="00502C77"/>
    <w:rsid w:val="00510420"/>
    <w:rsid w:val="0053377F"/>
    <w:rsid w:val="00537755"/>
    <w:rsid w:val="00551F3A"/>
    <w:rsid w:val="005526B6"/>
    <w:rsid w:val="00556300"/>
    <w:rsid w:val="005E143B"/>
    <w:rsid w:val="00612C5B"/>
    <w:rsid w:val="006312FD"/>
    <w:rsid w:val="00644AAF"/>
    <w:rsid w:val="006A0525"/>
    <w:rsid w:val="006F0ACE"/>
    <w:rsid w:val="00706584"/>
    <w:rsid w:val="00712E87"/>
    <w:rsid w:val="00755262"/>
    <w:rsid w:val="00776894"/>
    <w:rsid w:val="00777B3D"/>
    <w:rsid w:val="007918C0"/>
    <w:rsid w:val="00867B37"/>
    <w:rsid w:val="008861F8"/>
    <w:rsid w:val="008A1DA6"/>
    <w:rsid w:val="008B05D8"/>
    <w:rsid w:val="008D69DB"/>
    <w:rsid w:val="00911FDD"/>
    <w:rsid w:val="0093139A"/>
    <w:rsid w:val="009324D9"/>
    <w:rsid w:val="009F526C"/>
    <w:rsid w:val="00A03115"/>
    <w:rsid w:val="00A31ED3"/>
    <w:rsid w:val="00A37D72"/>
    <w:rsid w:val="00A42460"/>
    <w:rsid w:val="00A465FB"/>
    <w:rsid w:val="00A52F43"/>
    <w:rsid w:val="00A57CA6"/>
    <w:rsid w:val="00AC0AC3"/>
    <w:rsid w:val="00AD6318"/>
    <w:rsid w:val="00AF196E"/>
    <w:rsid w:val="00AF4026"/>
    <w:rsid w:val="00AF7807"/>
    <w:rsid w:val="00B109D4"/>
    <w:rsid w:val="00B14917"/>
    <w:rsid w:val="00B66DFB"/>
    <w:rsid w:val="00BA43DE"/>
    <w:rsid w:val="00BB03FD"/>
    <w:rsid w:val="00BE1AF7"/>
    <w:rsid w:val="00C12095"/>
    <w:rsid w:val="00C23ECC"/>
    <w:rsid w:val="00C242D7"/>
    <w:rsid w:val="00C62C6E"/>
    <w:rsid w:val="00C84E1F"/>
    <w:rsid w:val="00CD6C57"/>
    <w:rsid w:val="00CE35B9"/>
    <w:rsid w:val="00D6783F"/>
    <w:rsid w:val="00D962BA"/>
    <w:rsid w:val="00DB0914"/>
    <w:rsid w:val="00DF52D2"/>
    <w:rsid w:val="00E4068C"/>
    <w:rsid w:val="00E574A4"/>
    <w:rsid w:val="00E57C33"/>
    <w:rsid w:val="00E6119D"/>
    <w:rsid w:val="00E66EC3"/>
    <w:rsid w:val="00EB1F4B"/>
    <w:rsid w:val="00F408FF"/>
    <w:rsid w:val="00F43CC9"/>
    <w:rsid w:val="00F82531"/>
    <w:rsid w:val="00FA1809"/>
    <w:rsid w:val="00FE4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2BA"/>
    <w:rPr>
      <w:rFonts w:ascii="Tahoma" w:hAnsi="Tahoma" w:cs="Tahoma"/>
      <w:sz w:val="16"/>
      <w:szCs w:val="16"/>
    </w:rPr>
  </w:style>
  <w:style w:type="table" w:styleId="TableGrid">
    <w:name w:val="Table Grid"/>
    <w:basedOn w:val="TableNormal"/>
    <w:uiPriority w:val="99"/>
    <w:rsid w:val="00D962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12E87"/>
    <w:rPr>
      <w:rFonts w:cs="Times New Roman"/>
      <w:sz w:val="16"/>
      <w:szCs w:val="16"/>
    </w:rPr>
  </w:style>
  <w:style w:type="paragraph" w:styleId="CommentText">
    <w:name w:val="annotation text"/>
    <w:basedOn w:val="Normal"/>
    <w:link w:val="CommentTextChar"/>
    <w:uiPriority w:val="99"/>
    <w:semiHidden/>
    <w:rsid w:val="00712E8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12E87"/>
    <w:rPr>
      <w:rFonts w:ascii="Calibri" w:eastAsia="Calibri" w:hAnsi="Calibri" w:cs="Times New Roman"/>
      <w:sz w:val="20"/>
      <w:szCs w:val="20"/>
    </w:rPr>
  </w:style>
  <w:style w:type="paragraph" w:styleId="Header">
    <w:name w:val="header"/>
    <w:basedOn w:val="Normal"/>
    <w:link w:val="HeaderChar"/>
    <w:uiPriority w:val="99"/>
    <w:unhideWhenUsed/>
    <w:rsid w:val="006F0A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0ACE"/>
  </w:style>
  <w:style w:type="paragraph" w:styleId="Footer">
    <w:name w:val="footer"/>
    <w:basedOn w:val="Normal"/>
    <w:link w:val="FooterChar"/>
    <w:uiPriority w:val="99"/>
    <w:unhideWhenUsed/>
    <w:rsid w:val="006F0A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0ACE"/>
  </w:style>
  <w:style w:type="paragraph" w:customStyle="1" w:styleId="EndNoteBibliographyTitle">
    <w:name w:val="EndNote Bibliography Title"/>
    <w:basedOn w:val="Normal"/>
    <w:link w:val="EndNoteBibliographyTitleZchn"/>
    <w:rsid w:val="001F6F90"/>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1F6F90"/>
    <w:rPr>
      <w:rFonts w:ascii="Calibri" w:hAnsi="Calibri"/>
      <w:noProof/>
      <w:lang w:val="en-US"/>
    </w:rPr>
  </w:style>
  <w:style w:type="paragraph" w:customStyle="1" w:styleId="EndNoteBibliography">
    <w:name w:val="EndNote Bibliography"/>
    <w:basedOn w:val="Normal"/>
    <w:link w:val="EndNoteBibliographyZchn"/>
    <w:rsid w:val="001F6F90"/>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1F6F90"/>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2BA"/>
    <w:rPr>
      <w:rFonts w:ascii="Tahoma" w:hAnsi="Tahoma" w:cs="Tahoma"/>
      <w:sz w:val="16"/>
      <w:szCs w:val="16"/>
    </w:rPr>
  </w:style>
  <w:style w:type="table" w:styleId="TableGrid">
    <w:name w:val="Table Grid"/>
    <w:basedOn w:val="TableNormal"/>
    <w:uiPriority w:val="99"/>
    <w:rsid w:val="00D962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712E87"/>
    <w:rPr>
      <w:rFonts w:cs="Times New Roman"/>
      <w:sz w:val="16"/>
      <w:szCs w:val="16"/>
    </w:rPr>
  </w:style>
  <w:style w:type="paragraph" w:styleId="CommentText">
    <w:name w:val="annotation text"/>
    <w:basedOn w:val="Normal"/>
    <w:link w:val="CommentTextChar"/>
    <w:uiPriority w:val="99"/>
    <w:semiHidden/>
    <w:rsid w:val="00712E8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12E87"/>
    <w:rPr>
      <w:rFonts w:ascii="Calibri" w:eastAsia="Calibri" w:hAnsi="Calibri" w:cs="Times New Roman"/>
      <w:sz w:val="20"/>
      <w:szCs w:val="20"/>
    </w:rPr>
  </w:style>
  <w:style w:type="paragraph" w:styleId="Header">
    <w:name w:val="header"/>
    <w:basedOn w:val="Normal"/>
    <w:link w:val="HeaderChar"/>
    <w:uiPriority w:val="99"/>
    <w:unhideWhenUsed/>
    <w:rsid w:val="006F0A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0ACE"/>
  </w:style>
  <w:style w:type="paragraph" w:styleId="Footer">
    <w:name w:val="footer"/>
    <w:basedOn w:val="Normal"/>
    <w:link w:val="FooterChar"/>
    <w:uiPriority w:val="99"/>
    <w:unhideWhenUsed/>
    <w:rsid w:val="006F0A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0ACE"/>
  </w:style>
  <w:style w:type="paragraph" w:customStyle="1" w:styleId="EndNoteBibliographyTitle">
    <w:name w:val="EndNote Bibliography Title"/>
    <w:basedOn w:val="Normal"/>
    <w:link w:val="EndNoteBibliographyTitleZchn"/>
    <w:rsid w:val="001F6F90"/>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1F6F90"/>
    <w:rPr>
      <w:rFonts w:ascii="Calibri" w:hAnsi="Calibri"/>
      <w:noProof/>
      <w:lang w:val="en-US"/>
    </w:rPr>
  </w:style>
  <w:style w:type="paragraph" w:customStyle="1" w:styleId="EndNoteBibliography">
    <w:name w:val="EndNote Bibliography"/>
    <w:basedOn w:val="Normal"/>
    <w:link w:val="EndNoteBibliographyZchn"/>
    <w:rsid w:val="001F6F90"/>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1F6F90"/>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36AD-80BD-4B8D-94BF-21B13AF5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1865</Words>
  <Characters>10633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Somoza, Jesun</cp:lastModifiedBy>
  <cp:revision>4</cp:revision>
  <cp:lastPrinted>2016-12-20T11:56:00Z</cp:lastPrinted>
  <dcterms:created xsi:type="dcterms:W3CDTF">2018-06-11T13:50:00Z</dcterms:created>
  <dcterms:modified xsi:type="dcterms:W3CDTF">2018-08-03T21:24:00Z</dcterms:modified>
</cp:coreProperties>
</file>