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A5FE" w14:textId="546930C0" w:rsidR="008D0D65" w:rsidRPr="008122C5" w:rsidRDefault="00516FD5" w:rsidP="008D0D65">
      <w:pPr>
        <w:pStyle w:val="Heading1"/>
        <w:rPr>
          <w:rFonts w:ascii="Arial" w:hAnsi="Arial"/>
          <w:sz w:val="32"/>
          <w:szCs w:val="32"/>
        </w:rPr>
      </w:pPr>
      <w:r>
        <w:rPr>
          <w:rFonts w:ascii="Arial" w:hAnsi="Arial"/>
          <w:sz w:val="32"/>
          <w:szCs w:val="32"/>
        </w:rPr>
        <w:t>Additional</w:t>
      </w:r>
      <w:bookmarkStart w:id="0" w:name="_GoBack"/>
      <w:bookmarkEnd w:id="0"/>
      <w:r w:rsidR="0076720C">
        <w:rPr>
          <w:rFonts w:ascii="Arial" w:hAnsi="Arial"/>
          <w:sz w:val="32"/>
          <w:szCs w:val="32"/>
        </w:rPr>
        <w:t xml:space="preserve"> File 1</w:t>
      </w:r>
    </w:p>
    <w:p w14:paraId="4742E59A" w14:textId="77777777" w:rsidR="008D0D65" w:rsidRDefault="008D0D65" w:rsidP="008D0D65">
      <w:pPr>
        <w:tabs>
          <w:tab w:val="left" w:pos="1290"/>
        </w:tabs>
        <w:rPr>
          <w:rFonts w:ascii="Arial" w:eastAsia="Times New Roman" w:hAnsi="Arial" w:cs="Arial"/>
          <w:sz w:val="22"/>
          <w:szCs w:val="22"/>
        </w:rPr>
      </w:pPr>
      <w:r w:rsidRPr="006C393E">
        <w:rPr>
          <w:rFonts w:ascii="Arial" w:eastAsia="Times New Roman" w:hAnsi="Arial" w:cs="Arial"/>
          <w:sz w:val="22"/>
          <w:szCs w:val="22"/>
        </w:rPr>
        <w:t xml:space="preserve">In this appendix, we provide additional details related to our study, including: </w:t>
      </w:r>
    </w:p>
    <w:p w14:paraId="6C6F2719" w14:textId="77777777" w:rsidR="008D0D65" w:rsidRDefault="008D0D65" w:rsidP="008D0D65">
      <w:pPr>
        <w:tabs>
          <w:tab w:val="left" w:pos="1290"/>
        </w:tabs>
        <w:rPr>
          <w:rFonts w:ascii="Arial" w:eastAsia="Times New Roman" w:hAnsi="Arial" w:cs="Arial"/>
          <w:sz w:val="22"/>
          <w:szCs w:val="22"/>
        </w:rPr>
      </w:pPr>
    </w:p>
    <w:p w14:paraId="7F3BE855" w14:textId="77777777" w:rsidR="008D0D65" w:rsidRDefault="008D0D65" w:rsidP="008D0D65">
      <w:pPr>
        <w:pStyle w:val="ListParagraph"/>
        <w:numPr>
          <w:ilvl w:val="0"/>
          <w:numId w:val="1"/>
        </w:numPr>
        <w:tabs>
          <w:tab w:val="left" w:pos="1290"/>
        </w:tabs>
        <w:rPr>
          <w:rFonts w:ascii="Arial" w:eastAsia="Times New Roman" w:hAnsi="Arial" w:cs="Arial"/>
          <w:lang w:val="en-US"/>
        </w:rPr>
      </w:pPr>
      <w:r w:rsidRPr="006C393E">
        <w:rPr>
          <w:rFonts w:ascii="Arial" w:eastAsia="Times New Roman" w:hAnsi="Arial" w:cs="Arial"/>
          <w:lang w:val="en-US"/>
        </w:rPr>
        <w:t>Text S1: South African National Department of Health standard of care: PMTCT guidelines and basic antenatal care</w:t>
      </w:r>
    </w:p>
    <w:p w14:paraId="7E2A83FA" w14:textId="6D034A7A" w:rsidR="008D0D65" w:rsidRPr="00000573" w:rsidRDefault="008D0D65" w:rsidP="008D0D65">
      <w:pPr>
        <w:pStyle w:val="ListParagraph"/>
        <w:numPr>
          <w:ilvl w:val="0"/>
          <w:numId w:val="1"/>
        </w:numPr>
        <w:tabs>
          <w:tab w:val="left" w:pos="1290"/>
        </w:tabs>
        <w:rPr>
          <w:rFonts w:ascii="Arial" w:eastAsia="Times New Roman" w:hAnsi="Arial" w:cs="Arial"/>
          <w:lang w:val="en-US"/>
        </w:rPr>
      </w:pPr>
      <w:r w:rsidRPr="007C2FFD">
        <w:rPr>
          <w:rFonts w:ascii="Arial" w:eastAsia="Times New Roman" w:hAnsi="Arial" w:cs="Arial"/>
        </w:rPr>
        <w:t>Table S1. Minimum detectable differences in percentage points by outcome</w:t>
      </w:r>
    </w:p>
    <w:p w14:paraId="5429779D" w14:textId="77777777" w:rsidR="008122C5" w:rsidRDefault="008122C5" w:rsidP="008D0D65">
      <w:pPr>
        <w:pStyle w:val="Heading2"/>
        <w:rPr>
          <w:rFonts w:ascii="Arial" w:hAnsi="Arial"/>
        </w:rPr>
      </w:pPr>
    </w:p>
    <w:p w14:paraId="4015FB84" w14:textId="77777777" w:rsidR="008D0D65" w:rsidRPr="008122C5" w:rsidRDefault="008D0D65" w:rsidP="008D0D65">
      <w:pPr>
        <w:pStyle w:val="Heading2"/>
        <w:rPr>
          <w:rFonts w:ascii="Arial" w:hAnsi="Arial"/>
        </w:rPr>
      </w:pPr>
      <w:r w:rsidRPr="008122C5">
        <w:rPr>
          <w:rFonts w:ascii="Arial" w:hAnsi="Arial"/>
        </w:rPr>
        <w:t>Text S1.  South African National Department of Health standard of care: PMTCT guidelines and basic antenatal care</w:t>
      </w:r>
    </w:p>
    <w:p w14:paraId="265ECDCC" w14:textId="77777777" w:rsidR="008D0D65" w:rsidRPr="0060105C" w:rsidRDefault="008D0D65" w:rsidP="008D0D65">
      <w:pPr>
        <w:spacing w:before="120" w:after="120" w:line="360" w:lineRule="auto"/>
        <w:rPr>
          <w:rFonts w:ascii="Arial" w:hAnsi="Arial" w:cs="Arial"/>
          <w:sz w:val="22"/>
          <w:szCs w:val="22"/>
        </w:rPr>
      </w:pPr>
      <w:r w:rsidRPr="0060105C">
        <w:rPr>
          <w:rFonts w:ascii="Arial" w:hAnsi="Arial" w:cs="Arial"/>
          <w:sz w:val="22"/>
          <w:szCs w:val="22"/>
        </w:rPr>
        <w:t xml:space="preserve">As part of achieving health care equity, strengthening HIV prevention and treatment services is a priority area in South Africa which is the highest HIV burden country in the world. </w:t>
      </w:r>
    </w:p>
    <w:p w14:paraId="1E09D298" w14:textId="57B92669" w:rsidR="008D0D65" w:rsidRPr="0060105C" w:rsidRDefault="008D0D65" w:rsidP="008D0D65">
      <w:pPr>
        <w:spacing w:before="120" w:after="120" w:line="360" w:lineRule="auto"/>
        <w:rPr>
          <w:rFonts w:ascii="Arial" w:hAnsi="Arial" w:cs="Arial"/>
          <w:sz w:val="22"/>
          <w:szCs w:val="22"/>
        </w:rPr>
      </w:pPr>
      <w:r w:rsidRPr="0060105C">
        <w:rPr>
          <w:rFonts w:ascii="Arial" w:eastAsia="Times New Roman" w:hAnsi="Arial" w:cs="Arial"/>
          <w:i/>
          <w:sz w:val="22"/>
          <w:szCs w:val="22"/>
        </w:rPr>
        <w:t>The basic antenatal care</w:t>
      </w:r>
      <w:r w:rsidRPr="0060105C">
        <w:rPr>
          <w:rFonts w:ascii="Arial" w:eastAsia="Times New Roman" w:hAnsi="Arial" w:cs="Arial"/>
          <w:sz w:val="22"/>
          <w:szCs w:val="22"/>
        </w:rPr>
        <w:t xml:space="preserve"> approach recommends every woman attends antenatal care at least four times during her pregnancy, beginning in the first trimester to receive preventive services for maternal health, identify high risk pregnancies, and prepare for delivery and the postpartum period, including infant feeding advice.  As per standard South African antenatal guidelines, all pregnant women are asked to return every six weeks until delivery or more frequently if the pregnancy is complicated</w:t>
      </w:r>
      <w:r w:rsidR="008122C5">
        <w:rPr>
          <w:rFonts w:ascii="Arial" w:eastAsia="Times New Roman" w:hAnsi="Arial" w:cs="Arial"/>
          <w:sz w:val="22"/>
          <w:szCs w:val="22"/>
        </w:rPr>
        <w:t xml:space="preserve"> </w:t>
      </w:r>
      <w:r>
        <w:rPr>
          <w:rFonts w:ascii="Arial" w:eastAsia="Times New Roman" w:hAnsi="Arial" w:cs="Arial"/>
          <w:sz w:val="22"/>
          <w:szCs w:val="22"/>
        </w:rPr>
        <w:fldChar w:fldCharType="begin"/>
      </w:r>
      <w:r>
        <w:rPr>
          <w:rFonts w:ascii="Arial" w:eastAsia="Times New Roman" w:hAnsi="Arial" w:cs="Arial"/>
          <w:sz w:val="22"/>
          <w:szCs w:val="22"/>
        </w:rPr>
        <w:instrText xml:space="preserve"> ADDIN EN.CITE &lt;EndNote&gt;&lt;Cite&gt;&lt;Author&gt;National Department of Health&lt;/Author&gt;&lt;Year&gt;2015&lt;/Year&gt;&lt;RecNum&gt;836&lt;/RecNum&gt;&lt;DisplayText&gt;[32]&lt;/DisplayText&gt;&lt;record&gt;&lt;rec-number&gt;836&lt;/rec-number&gt;&lt;foreign-keys&gt;&lt;key app="EN" db-id="fr29zaezpzr9x1edwx7v9etjx0a5avf5r0pe" timestamp="1516685971"&gt;836&lt;/key&gt;&lt;key app="ENWeb" db-id=""&gt;0&lt;/key&gt;&lt;/foreign-keys&gt;&lt;ref-type name="Report"&gt;27&lt;/ref-type&gt;&lt;contributors&gt;&lt;authors&gt;&lt;author&gt;National Department of Health, South Africa&lt;/author&gt;&lt;/authors&gt;&lt;/contributors&gt;&lt;titles&gt;&lt;title&gt;Guidelines for maternity care in South Africa. A manual for clinics, community health centres and district hospitals.&lt;/title&gt;&lt;/titles&gt;&lt;dates&gt;&lt;year&gt;2015&lt;/year&gt;&lt;/dates&gt;&lt;urls&gt;&lt;/urls&gt;&lt;/record&gt;&lt;/Cite&gt;&lt;/EndNote&gt;</w:instrText>
      </w:r>
      <w:r>
        <w:rPr>
          <w:rFonts w:ascii="Arial" w:eastAsia="Times New Roman" w:hAnsi="Arial" w:cs="Arial"/>
          <w:sz w:val="22"/>
          <w:szCs w:val="22"/>
        </w:rPr>
        <w:fldChar w:fldCharType="separate"/>
      </w:r>
      <w:r>
        <w:rPr>
          <w:rFonts w:ascii="Arial" w:eastAsia="Times New Roman" w:hAnsi="Arial" w:cs="Arial"/>
          <w:noProof/>
          <w:sz w:val="22"/>
          <w:szCs w:val="22"/>
        </w:rPr>
        <w:t>[32]</w:t>
      </w:r>
      <w:r>
        <w:rPr>
          <w:rFonts w:ascii="Arial" w:eastAsia="Times New Roman" w:hAnsi="Arial" w:cs="Arial"/>
          <w:sz w:val="22"/>
          <w:szCs w:val="22"/>
        </w:rPr>
        <w:fldChar w:fldCharType="end"/>
      </w:r>
      <w:r w:rsidR="008122C5">
        <w:rPr>
          <w:rFonts w:ascii="Arial" w:eastAsia="Times New Roman" w:hAnsi="Arial" w:cs="Arial"/>
          <w:sz w:val="22"/>
          <w:szCs w:val="22"/>
        </w:rPr>
        <w:t>.</w:t>
      </w:r>
    </w:p>
    <w:p w14:paraId="79E0CFA1" w14:textId="5846F086" w:rsidR="008D0D65" w:rsidRPr="0060105C" w:rsidRDefault="008D0D65" w:rsidP="008D0D65">
      <w:pPr>
        <w:spacing w:before="120" w:after="120" w:line="360" w:lineRule="auto"/>
        <w:rPr>
          <w:rFonts w:ascii="Arial" w:hAnsi="Arial" w:cs="Arial"/>
          <w:sz w:val="22"/>
          <w:szCs w:val="22"/>
        </w:rPr>
      </w:pPr>
      <w:r w:rsidRPr="0060105C">
        <w:rPr>
          <w:rFonts w:ascii="Arial" w:hAnsi="Arial" w:cs="Arial"/>
          <w:sz w:val="22"/>
          <w:szCs w:val="22"/>
        </w:rPr>
        <w:t xml:space="preserve">For </w:t>
      </w:r>
      <w:r w:rsidRPr="0060105C">
        <w:rPr>
          <w:rFonts w:ascii="Arial" w:hAnsi="Arial" w:cs="Arial"/>
          <w:i/>
          <w:sz w:val="22"/>
          <w:szCs w:val="22"/>
        </w:rPr>
        <w:t>pregnant/ breastfeeding women with unknown or negative HIV status</w:t>
      </w:r>
      <w:r w:rsidRPr="0060105C">
        <w:rPr>
          <w:rFonts w:ascii="Arial" w:hAnsi="Arial" w:cs="Arial"/>
          <w:sz w:val="22"/>
          <w:szCs w:val="22"/>
        </w:rPr>
        <w:t>, South African PMTCT guidelines recommend provider-initiated counselling and testing (PICT) for HIV every 3 months during pregnancy, during labour/delivery, at the 6-week infant immunization visit and every 3 months during the breastfeeding period. Objectives are early diagnosis of HIV to shorten foetal/ infant exposure to mate</w:t>
      </w:r>
      <w:r w:rsidR="00000573">
        <w:rPr>
          <w:rFonts w:ascii="Arial" w:hAnsi="Arial" w:cs="Arial"/>
          <w:sz w:val="22"/>
          <w:szCs w:val="22"/>
        </w:rPr>
        <w:t xml:space="preserve">rnal HIV viraemia, and improve maternal </w:t>
      </w:r>
      <w:r w:rsidRPr="0060105C">
        <w:rPr>
          <w:rFonts w:ascii="Arial" w:hAnsi="Arial" w:cs="Arial"/>
          <w:sz w:val="22"/>
          <w:szCs w:val="22"/>
        </w:rPr>
        <w:t>health. PICT is performed with a point-of-care rapid HIV test. After confirmation with a second rapid HIV test, immediate ART initiation (usually a fixed-dose combination, FDC, with tenofovir disoproxil fumarate, emtricitabine and efavirenz unless contraindicated) is recommended. Blood samples are drawn for CD4+ T-cell counts, haemoglobin, hepatitis B screening and serum creatinine. If the 2</w:t>
      </w:r>
      <w:r w:rsidRPr="0060105C">
        <w:rPr>
          <w:rFonts w:ascii="Arial" w:hAnsi="Arial" w:cs="Arial"/>
          <w:sz w:val="22"/>
          <w:szCs w:val="22"/>
          <w:vertAlign w:val="superscript"/>
        </w:rPr>
        <w:t>nd</w:t>
      </w:r>
      <w:r w:rsidRPr="0060105C">
        <w:rPr>
          <w:rFonts w:ascii="Arial" w:hAnsi="Arial" w:cs="Arial"/>
          <w:sz w:val="22"/>
          <w:szCs w:val="22"/>
        </w:rPr>
        <w:t xml:space="preserve"> confirmatory test is inconclusive a blood draw for HIV ELISA is recommended</w:t>
      </w:r>
      <w:r w:rsidR="008122C5">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&lt;EndNote&gt;&lt;Cite&gt;&lt;Author&gt;National Department of Health&lt;/Author&gt;&lt;Year&gt;2015&lt;/Year&gt;&lt;RecNum&gt;421&lt;/RecNum&gt;&lt;DisplayText&gt;[33]&lt;/DisplayText&gt;&lt;record&gt;&lt;rec-number&gt;421&lt;/rec-number&gt;&lt;foreign-keys&gt;&lt;key app="EN" db-id="fr29zaezpzr9x1edwx7v9etjx0a5avf5r0pe" timestamp="1503308484"&gt;421&lt;/key&gt;&lt;key app="ENWeb" db-id=""&gt;0&lt;/key&gt;&lt;/foreign-keys&gt;&lt;ref-type name="Report"&gt;27&lt;/ref-type&gt;&lt;contributors&gt;&lt;authors&gt;&lt;author&gt;National Department of Health, South Africa&lt;/author&gt;&lt;/authors&gt;&lt;/contributors&gt;&lt;titles&gt;&lt;title&gt;National Consolidated Guidelines for the Prevention of Mother-to-Child Transmission of HIV (PMTCT) and the Management of HIV in Children, Adolescents and Adults&lt;/title&gt;&lt;/titles&gt;&lt;dates&gt;&lt;year&gt;2015&lt;/year&gt;&lt;/dates&gt;&lt;pub-location&gt;Pretoria&lt;/pub-location&gt;&lt;publisher&gt;National Department of Health&lt;/publisher&gt;&lt;urls&gt;&lt;related-urls&gt;&lt;url&gt;www.doh.gov.za&lt;/url&gt;&lt;/related-urls&gt;&lt;/urls&gt;&lt;/record&gt;&lt;/Cite&gt;&lt;/EndNote&gt;</w:instrText>
      </w:r>
      <w:r>
        <w:rPr>
          <w:rFonts w:ascii="Arial" w:hAnsi="Arial" w:cs="Arial"/>
          <w:sz w:val="22"/>
          <w:szCs w:val="22"/>
        </w:rPr>
        <w:fldChar w:fldCharType="separate"/>
      </w:r>
      <w:r>
        <w:rPr>
          <w:rFonts w:ascii="Arial" w:hAnsi="Arial" w:cs="Arial"/>
          <w:noProof/>
          <w:sz w:val="22"/>
          <w:szCs w:val="22"/>
        </w:rPr>
        <w:t>[33]</w:t>
      </w:r>
      <w:r>
        <w:rPr>
          <w:rFonts w:ascii="Arial" w:hAnsi="Arial" w:cs="Arial"/>
          <w:sz w:val="22"/>
          <w:szCs w:val="22"/>
        </w:rPr>
        <w:fldChar w:fldCharType="end"/>
      </w:r>
      <w:r w:rsidR="008122C5">
        <w:rPr>
          <w:rFonts w:ascii="Arial" w:hAnsi="Arial" w:cs="Arial"/>
          <w:sz w:val="22"/>
          <w:szCs w:val="22"/>
        </w:rPr>
        <w:t>.</w:t>
      </w:r>
      <w:r w:rsidRPr="0060105C">
        <w:rPr>
          <w:rFonts w:ascii="Arial" w:hAnsi="Arial" w:cs="Arial"/>
          <w:sz w:val="22"/>
          <w:szCs w:val="22"/>
        </w:rPr>
        <w:t xml:space="preserve"> </w:t>
      </w:r>
    </w:p>
    <w:p w14:paraId="408A5F74" w14:textId="3C6EB56B" w:rsidR="008D0D65" w:rsidRPr="0060105C" w:rsidRDefault="008D0D65" w:rsidP="008D0D65">
      <w:pPr>
        <w:spacing w:after="120" w:line="360" w:lineRule="auto"/>
        <w:rPr>
          <w:rFonts w:ascii="Arial" w:hAnsi="Arial" w:cs="Arial"/>
          <w:sz w:val="22"/>
          <w:szCs w:val="22"/>
        </w:rPr>
      </w:pPr>
      <w:r w:rsidRPr="0060105C">
        <w:rPr>
          <w:rFonts w:ascii="Arial" w:hAnsi="Arial" w:cs="Arial"/>
          <w:i/>
          <w:sz w:val="22"/>
          <w:szCs w:val="22"/>
        </w:rPr>
        <w:t>Viral load monitoring of HIV-positive women</w:t>
      </w:r>
      <w:r w:rsidRPr="0060105C">
        <w:rPr>
          <w:rFonts w:ascii="Arial" w:hAnsi="Arial" w:cs="Arial"/>
          <w:sz w:val="22"/>
          <w:szCs w:val="22"/>
        </w:rPr>
        <w:t xml:space="preserve"> varies by ART status and VL result on ART. For </w:t>
      </w:r>
      <w:r w:rsidRPr="0060105C">
        <w:rPr>
          <w:rFonts w:ascii="Arial" w:hAnsi="Arial" w:cs="Arial"/>
          <w:i/>
          <w:sz w:val="22"/>
          <w:szCs w:val="22"/>
        </w:rPr>
        <w:t>pregnant women initiating ART</w:t>
      </w:r>
      <w:r w:rsidRPr="0060105C">
        <w:rPr>
          <w:rFonts w:ascii="Arial" w:hAnsi="Arial" w:cs="Arial"/>
          <w:sz w:val="22"/>
          <w:szCs w:val="22"/>
        </w:rPr>
        <w:t xml:space="preserve"> for the first time (first-line regimen), a VL test is recommended 3 months after initiation, 6 months post-initiation then 6-monthly thereafter throughout pregnancy &amp; breastfeeding if the VL is below 1000 copies/mL. </w:t>
      </w:r>
      <w:r w:rsidRPr="0060105C">
        <w:rPr>
          <w:rFonts w:ascii="Arial" w:hAnsi="Arial" w:cs="Arial"/>
          <w:sz w:val="22"/>
          <w:szCs w:val="22"/>
        </w:rPr>
        <w:lastRenderedPageBreak/>
        <w:t xml:space="preserve">The laboratory assay limit of detection of HIV is 40 copies/mL. For </w:t>
      </w:r>
      <w:r w:rsidRPr="0060105C">
        <w:rPr>
          <w:rFonts w:ascii="Arial" w:hAnsi="Arial" w:cs="Arial"/>
          <w:i/>
          <w:sz w:val="22"/>
          <w:szCs w:val="22"/>
        </w:rPr>
        <w:t>pregnant women already on ART at first antenatal booking</w:t>
      </w:r>
      <w:r w:rsidRPr="0060105C">
        <w:rPr>
          <w:rFonts w:ascii="Arial" w:hAnsi="Arial" w:cs="Arial"/>
          <w:sz w:val="22"/>
          <w:szCs w:val="22"/>
        </w:rPr>
        <w:t>, an immediate VL test is recommended regardless of last test date. If the VL is below 1000 copies/mL, repeat testing is recommended every 6 months thereafter throughout pregnancy and breastfeeding. If the VL is &gt;1000 copies/mL, a repeat VL test is recommended 1 month later with adherence counselling. Subsequent VL testing is based on VL results. Persistent viraemia &gt;1000 copies/mL requires an urgent switch to second-line therapy</w:t>
      </w:r>
      <w:r w:rsidR="008122C5">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&lt;EndNote&gt;&lt;Cite&gt;&lt;Author&gt;National Department of Health&lt;/Author&gt;&lt;Year&gt;2015&lt;/Year&gt;&lt;RecNum&gt;421&lt;/RecNum&gt;&lt;DisplayText&gt;[33]&lt;/DisplayText&gt;&lt;record&gt;&lt;rec-number&gt;421&lt;/rec-number&gt;&lt;foreign-keys&gt;&lt;key app="EN" db-id="fr29zaezpzr9x1edwx7v9etjx0a5avf5r0pe" timestamp="1503308484"&gt;421&lt;/key&gt;&lt;key app="ENWeb" db-id=""&gt;0&lt;/key&gt;&lt;/foreign-keys&gt;&lt;ref-type name="Report"&gt;27&lt;/ref-type&gt;&lt;contributors&gt;&lt;authors&gt;&lt;author&gt;National Department of Health, South Africa&lt;/author&gt;&lt;/authors&gt;&lt;/contributors&gt;&lt;titles&gt;&lt;title&gt;National Consolidated Guidelines for the Prevention of Mother-to-Child Transmission of HIV (PMTCT) and the Management of HIV in Children, Adolescents and Adults&lt;/title&gt;&lt;/titles&gt;&lt;dates&gt;&lt;year&gt;2015&lt;/year&gt;&lt;/dates&gt;&lt;pub-location&gt;Pretoria&lt;/pub-location&gt;&lt;publisher&gt;National Department of Health&lt;/publisher&gt;&lt;urls&gt;&lt;related-urls&gt;&lt;url&gt;www.doh.gov.za&lt;/url&gt;&lt;/related-urls&gt;&lt;/urls&gt;&lt;/record&gt;&lt;/Cite&gt;&lt;/EndNote&gt;</w:instrText>
      </w:r>
      <w:r>
        <w:rPr>
          <w:rFonts w:ascii="Arial" w:hAnsi="Arial" w:cs="Arial"/>
          <w:sz w:val="22"/>
          <w:szCs w:val="22"/>
        </w:rPr>
        <w:fldChar w:fldCharType="separate"/>
      </w:r>
      <w:r>
        <w:rPr>
          <w:rFonts w:ascii="Arial" w:hAnsi="Arial" w:cs="Arial"/>
          <w:noProof/>
          <w:sz w:val="22"/>
          <w:szCs w:val="22"/>
        </w:rPr>
        <w:t>[33]</w:t>
      </w:r>
      <w:r>
        <w:rPr>
          <w:rFonts w:ascii="Arial" w:hAnsi="Arial" w:cs="Arial"/>
          <w:sz w:val="22"/>
          <w:szCs w:val="22"/>
        </w:rPr>
        <w:fldChar w:fldCharType="end"/>
      </w:r>
      <w:r w:rsidR="008122C5">
        <w:rPr>
          <w:rFonts w:ascii="Arial" w:hAnsi="Arial" w:cs="Arial"/>
          <w:sz w:val="22"/>
          <w:szCs w:val="22"/>
        </w:rPr>
        <w:t>.</w:t>
      </w:r>
    </w:p>
    <w:p w14:paraId="177CCAAC" w14:textId="03A1CD6B" w:rsidR="008D0D65" w:rsidRPr="0060105C" w:rsidRDefault="008D0D65" w:rsidP="008D0D65">
      <w:pPr>
        <w:spacing w:after="120" w:line="360" w:lineRule="auto"/>
        <w:rPr>
          <w:rFonts w:ascii="Arial" w:hAnsi="Arial" w:cs="Arial"/>
          <w:sz w:val="22"/>
          <w:szCs w:val="22"/>
        </w:rPr>
      </w:pPr>
      <w:r w:rsidRPr="0060105C">
        <w:rPr>
          <w:rFonts w:ascii="Arial" w:hAnsi="Arial" w:cs="Arial"/>
          <w:i/>
          <w:sz w:val="22"/>
          <w:szCs w:val="22"/>
        </w:rPr>
        <w:t>HIV-exposed infants (HEI)</w:t>
      </w:r>
      <w:r w:rsidRPr="0060105C">
        <w:rPr>
          <w:rFonts w:ascii="Arial" w:hAnsi="Arial" w:cs="Arial"/>
          <w:sz w:val="22"/>
          <w:szCs w:val="22"/>
        </w:rPr>
        <w:t xml:space="preserve"> are required to be tested with HIV DNA PCR (dried blood spot) at birth and commence a minimum of 6 weeks’ prophylaxis with nevirapine (NVP) until confirmed HIV-negative. A repeat HIV test at 10 weeks (or 18 weeks for 12-week NVP prophylaxis) with HIV DNA PCR and a rapid HIV antibody test at 18 months, are recommended as a minimum. Additional testing is recommended for clinical suspicion of HIV infection, 6 weeks after cessation of breastfeeding, or death of an immediate family member attributable to HIV. Whether an HIV DNA PCR test or antibody test is performed depends on infant/child age: PCR if under 18 months, antibody of 18 months or older. HIV-positive infants must be commenced on ART immediately whilst awaiting results of confirmatory tests</w:t>
      </w:r>
      <w:r w:rsidR="008122C5">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&lt;EndNote&gt;&lt;Cite&gt;&lt;Author&gt;National Department of Health&lt;/Author&gt;&lt;Year&gt;2015&lt;/Year&gt;&lt;RecNum&gt;421&lt;/RecNum&gt;&lt;DisplayText&gt;[33]&lt;/DisplayText&gt;&lt;record&gt;&lt;rec-number&gt;421&lt;/rec-number&gt;&lt;foreign-keys&gt;&lt;key app="EN" db-id="fr29zaezpzr9x1edwx7v9etjx0a5avf5r0pe" timestamp="1503308484"&gt;421&lt;/key&gt;&lt;key app="ENWeb" db-id=""&gt;0&lt;/key&gt;&lt;/foreign-keys&gt;&lt;ref-type name="Report"&gt;27&lt;/ref-type&gt;&lt;contributors&gt;&lt;authors&gt;&lt;author&gt;National Department of Health, South Africa&lt;/author&gt;&lt;/authors&gt;&lt;/contributors&gt;&lt;titles&gt;&lt;title&gt;National Consolidated Guidelines for the Prevention of Mother-to-Child Transmission of HIV (PMTCT) and the Management of HIV in Children, Adolescents and Adults&lt;/title&gt;&lt;/titles&gt;&lt;dates&gt;&lt;year&gt;2015&lt;/year&gt;&lt;/dates&gt;&lt;pub-location&gt;Pretoria&lt;/pub-location&gt;&lt;publisher&gt;National Department of Health&lt;/publisher&gt;&lt;urls&gt;&lt;related-urls&gt;&lt;url&gt;www.doh.gov.za&lt;/url&gt;&lt;/related-urls&gt;&lt;/urls&gt;&lt;/record&gt;&lt;/Cite&gt;&lt;/EndNote&gt;</w:instrText>
      </w:r>
      <w:r>
        <w:rPr>
          <w:rFonts w:ascii="Arial" w:hAnsi="Arial" w:cs="Arial"/>
          <w:sz w:val="22"/>
          <w:szCs w:val="22"/>
        </w:rPr>
        <w:fldChar w:fldCharType="separate"/>
      </w:r>
      <w:r>
        <w:rPr>
          <w:rFonts w:ascii="Arial" w:hAnsi="Arial" w:cs="Arial"/>
          <w:noProof/>
          <w:sz w:val="22"/>
          <w:szCs w:val="22"/>
        </w:rPr>
        <w:t>[33]</w:t>
      </w:r>
      <w:r>
        <w:rPr>
          <w:rFonts w:ascii="Arial" w:hAnsi="Arial" w:cs="Arial"/>
          <w:sz w:val="22"/>
          <w:szCs w:val="22"/>
        </w:rPr>
        <w:fldChar w:fldCharType="end"/>
      </w:r>
      <w:r w:rsidR="008122C5">
        <w:rPr>
          <w:rFonts w:ascii="Arial" w:hAnsi="Arial" w:cs="Arial"/>
          <w:sz w:val="22"/>
          <w:szCs w:val="22"/>
        </w:rPr>
        <w:t>.</w:t>
      </w:r>
      <w:r w:rsidRPr="0060105C">
        <w:rPr>
          <w:rFonts w:ascii="Arial" w:hAnsi="Arial" w:cs="Arial"/>
          <w:sz w:val="22"/>
          <w:szCs w:val="22"/>
        </w:rPr>
        <w:t xml:space="preserve"> </w:t>
      </w:r>
    </w:p>
    <w:p w14:paraId="2977E0AF" w14:textId="5C73E48D" w:rsidR="008D0D65" w:rsidRPr="0060105C" w:rsidRDefault="008D0D65" w:rsidP="008D0D65">
      <w:pPr>
        <w:spacing w:line="360" w:lineRule="auto"/>
        <w:rPr>
          <w:rFonts w:ascii="Arial" w:hAnsi="Arial" w:cs="Arial"/>
          <w:sz w:val="22"/>
          <w:szCs w:val="22"/>
        </w:rPr>
      </w:pPr>
      <w:r w:rsidRPr="0060105C">
        <w:rPr>
          <w:rFonts w:ascii="Arial" w:hAnsi="Arial" w:cs="Arial"/>
          <w:i/>
          <w:sz w:val="22"/>
          <w:szCs w:val="22"/>
        </w:rPr>
        <w:t>The Maternity Case Record (MCR)</w:t>
      </w:r>
      <w:r w:rsidRPr="0060105C">
        <w:rPr>
          <w:rFonts w:ascii="Arial" w:hAnsi="Arial" w:cs="Arial"/>
          <w:sz w:val="22"/>
          <w:szCs w:val="22"/>
        </w:rPr>
        <w:t xml:space="preserve"> is the standardized official national document provided to all pregnant women in South Africa, regardless of public or private health care services</w:t>
      </w:r>
      <w:r w:rsidR="008122C5">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&lt;EndNote&gt;&lt;Cite&gt;&lt;Author&gt;National Department of Health&lt;/Author&gt;&lt;Year&gt;2015&lt;/Year&gt;&lt;RecNum&gt;836&lt;/RecNum&gt;&lt;DisplayText&gt;[32]&lt;/DisplayText&gt;&lt;record&gt;&lt;rec-number&gt;836&lt;/rec-number&gt;&lt;foreign-keys&gt;&lt;key app="EN" db-id="fr29zaezpzr9x1edwx7v9etjx0a5avf5r0pe" timestamp="1516685971"&gt;836&lt;/key&gt;&lt;key app="ENWeb" db-id=""&gt;0&lt;/key&gt;&lt;/foreign-keys&gt;&lt;ref-type name="Report"&gt;27&lt;/ref-type&gt;&lt;contributors&gt;&lt;authors&gt;&lt;author&gt;National Department of Health, South Africa&lt;/author&gt;&lt;/authors&gt;&lt;/contributors&gt;&lt;titles&gt;&lt;title&gt;Guidelines for maternity care in South Africa. A manual for clinics, community health centres and district hospitals.&lt;/title&gt;&lt;/titles&gt;&lt;dates&gt;&lt;year&gt;2015&lt;/year&gt;&lt;/dates&gt;&lt;urls&gt;&lt;/urls&gt;&lt;/record&gt;&lt;/Cite&gt;&lt;/EndNote&gt;</w:instrText>
      </w:r>
      <w:r>
        <w:rPr>
          <w:rFonts w:ascii="Arial" w:hAnsi="Arial" w:cs="Arial"/>
          <w:sz w:val="22"/>
          <w:szCs w:val="22"/>
        </w:rPr>
        <w:fldChar w:fldCharType="separate"/>
      </w:r>
      <w:r>
        <w:rPr>
          <w:rFonts w:ascii="Arial" w:hAnsi="Arial" w:cs="Arial"/>
          <w:noProof/>
          <w:sz w:val="22"/>
          <w:szCs w:val="22"/>
        </w:rPr>
        <w:t>[32]</w:t>
      </w:r>
      <w:r>
        <w:rPr>
          <w:rFonts w:ascii="Arial" w:hAnsi="Arial" w:cs="Arial"/>
          <w:sz w:val="22"/>
          <w:szCs w:val="22"/>
        </w:rPr>
        <w:fldChar w:fldCharType="end"/>
      </w:r>
      <w:r w:rsidR="008122C5">
        <w:rPr>
          <w:rFonts w:ascii="Arial" w:hAnsi="Arial" w:cs="Arial"/>
          <w:sz w:val="22"/>
          <w:szCs w:val="22"/>
        </w:rPr>
        <w:t>.</w:t>
      </w:r>
      <w:r w:rsidRPr="0060105C">
        <w:rPr>
          <w:rFonts w:ascii="Arial" w:hAnsi="Arial" w:cs="Arial"/>
          <w:sz w:val="22"/>
          <w:szCs w:val="22"/>
        </w:rPr>
        <w:t xml:space="preserve"> Up to date documentation of the MCR is required as its function is to communicate between different facilities or levels of care received during pregnancy, and is retained by the mother until delivery – at delivery, the MCR is retained at the confinement facility</w:t>
      </w:r>
      <w:r w:rsidR="008122C5">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&lt;EndNote&gt;&lt;Cite&gt;&lt;Author&gt;National Department of Health&lt;/Author&gt;&lt;Year&gt;2015&lt;/Year&gt;&lt;RecNum&gt;836&lt;/RecNum&gt;&lt;DisplayText&gt;[32]&lt;/DisplayText&gt;&lt;record&gt;&lt;rec-number&gt;836&lt;/rec-number&gt;&lt;foreign-keys&gt;&lt;key app="EN" db-id="fr29zaezpzr9x1edwx7v9etjx0a5avf5r0pe" timestamp="1516685971"&gt;836&lt;/key&gt;&lt;key app="ENWeb" db-id=""&gt;0&lt;/key&gt;&lt;/foreign-keys&gt;&lt;ref-type name="Report"&gt;27&lt;/ref-type&gt;&lt;contributors&gt;&lt;authors&gt;&lt;author&gt;National Department of Health, South Africa&lt;/author&gt;&lt;/authors&gt;&lt;/contributors&gt;&lt;titles&gt;&lt;title&gt;Guidelines for maternity care in South Africa. A manual for clinics, community health centres and district hospitals.&lt;/title&gt;&lt;/titles&gt;&lt;dates&gt;&lt;year&gt;2015&lt;/year&gt;&lt;/dates&gt;&lt;urls&gt;&lt;/urls&gt;&lt;/record&gt;&lt;/Cite&gt;&lt;/EndNote&gt;</w:instrText>
      </w:r>
      <w:r>
        <w:rPr>
          <w:rFonts w:ascii="Arial" w:hAnsi="Arial" w:cs="Arial"/>
          <w:sz w:val="22"/>
          <w:szCs w:val="22"/>
        </w:rPr>
        <w:fldChar w:fldCharType="separate"/>
      </w:r>
      <w:r>
        <w:rPr>
          <w:rFonts w:ascii="Arial" w:hAnsi="Arial" w:cs="Arial"/>
          <w:noProof/>
          <w:sz w:val="22"/>
          <w:szCs w:val="22"/>
        </w:rPr>
        <w:t>[32]</w:t>
      </w:r>
      <w:r>
        <w:rPr>
          <w:rFonts w:ascii="Arial" w:hAnsi="Arial" w:cs="Arial"/>
          <w:sz w:val="22"/>
          <w:szCs w:val="22"/>
        </w:rPr>
        <w:fldChar w:fldCharType="end"/>
      </w:r>
      <w:r w:rsidR="008122C5">
        <w:rPr>
          <w:rFonts w:ascii="Arial" w:hAnsi="Arial" w:cs="Arial"/>
          <w:sz w:val="22"/>
          <w:szCs w:val="22"/>
        </w:rPr>
        <w:t>.</w:t>
      </w:r>
      <w:r w:rsidRPr="0060105C">
        <w:rPr>
          <w:rFonts w:ascii="Arial" w:hAnsi="Arial" w:cs="Arial"/>
          <w:sz w:val="22"/>
          <w:szCs w:val="22"/>
        </w:rPr>
        <w:t xml:space="preserve"> </w:t>
      </w:r>
    </w:p>
    <w:p w14:paraId="10A990EC" w14:textId="0B8A0EA5" w:rsidR="008122C5" w:rsidRDefault="008122C5" w:rsidP="008D0D65">
      <w:pPr>
        <w:rPr>
          <w:rFonts w:ascii="Arial" w:hAnsi="Arial" w:cs="Arial"/>
        </w:rPr>
      </w:pPr>
    </w:p>
    <w:p w14:paraId="4A6093AD" w14:textId="6FA816FD" w:rsidR="00D60DB3" w:rsidRDefault="00D60DB3" w:rsidP="008D0D65">
      <w:pPr>
        <w:rPr>
          <w:rFonts w:ascii="Arial" w:hAnsi="Arial" w:cs="Arial"/>
        </w:rPr>
      </w:pPr>
    </w:p>
    <w:p w14:paraId="1E86DFDF" w14:textId="01FFB5E9" w:rsidR="00D60DB3" w:rsidRDefault="00D60DB3" w:rsidP="008D0D65">
      <w:pPr>
        <w:rPr>
          <w:rFonts w:ascii="Arial" w:hAnsi="Arial" w:cs="Arial"/>
        </w:rPr>
      </w:pPr>
    </w:p>
    <w:p w14:paraId="49F26710" w14:textId="3E40A537" w:rsidR="00D60DB3" w:rsidRDefault="00D60DB3" w:rsidP="008D0D65">
      <w:pPr>
        <w:rPr>
          <w:rFonts w:ascii="Arial" w:hAnsi="Arial" w:cs="Arial"/>
        </w:rPr>
      </w:pPr>
    </w:p>
    <w:p w14:paraId="510EF4AA" w14:textId="1CF6BD3B" w:rsidR="00D60DB3" w:rsidRDefault="00D60DB3" w:rsidP="008D0D65">
      <w:pPr>
        <w:rPr>
          <w:rFonts w:ascii="Arial" w:hAnsi="Arial" w:cs="Arial"/>
        </w:rPr>
      </w:pPr>
    </w:p>
    <w:p w14:paraId="40C63F4C" w14:textId="3D39C955" w:rsidR="00D60DB3" w:rsidRDefault="00D60DB3" w:rsidP="008D0D65">
      <w:pPr>
        <w:rPr>
          <w:rFonts w:ascii="Arial" w:hAnsi="Arial" w:cs="Arial"/>
        </w:rPr>
      </w:pPr>
    </w:p>
    <w:p w14:paraId="6CED8563" w14:textId="1B073A33" w:rsidR="00D60DB3" w:rsidRDefault="00D60DB3" w:rsidP="008D0D65">
      <w:pPr>
        <w:rPr>
          <w:rFonts w:ascii="Arial" w:hAnsi="Arial" w:cs="Arial"/>
        </w:rPr>
      </w:pPr>
    </w:p>
    <w:p w14:paraId="7F507384" w14:textId="3C38FE0E" w:rsidR="00D60DB3" w:rsidRDefault="00D60DB3" w:rsidP="008D0D65">
      <w:pPr>
        <w:rPr>
          <w:rFonts w:ascii="Arial" w:hAnsi="Arial" w:cs="Arial"/>
        </w:rPr>
      </w:pPr>
    </w:p>
    <w:p w14:paraId="7177339A" w14:textId="4B2BDF20" w:rsidR="00D60DB3" w:rsidRDefault="00D60DB3" w:rsidP="008D0D65">
      <w:pPr>
        <w:rPr>
          <w:rFonts w:ascii="Arial" w:hAnsi="Arial" w:cs="Arial"/>
        </w:rPr>
      </w:pPr>
    </w:p>
    <w:p w14:paraId="6D1BB413" w14:textId="5D4D7A5E" w:rsidR="00D60DB3" w:rsidRDefault="00D60DB3" w:rsidP="008D0D65">
      <w:pPr>
        <w:rPr>
          <w:rFonts w:ascii="Arial" w:hAnsi="Arial" w:cs="Arial"/>
        </w:rPr>
      </w:pPr>
    </w:p>
    <w:p w14:paraId="005C4B5C" w14:textId="44635288" w:rsidR="00D60DB3" w:rsidRDefault="00D60DB3" w:rsidP="008D0D65">
      <w:pPr>
        <w:rPr>
          <w:rFonts w:ascii="Arial" w:hAnsi="Arial" w:cs="Arial"/>
        </w:rPr>
      </w:pPr>
    </w:p>
    <w:p w14:paraId="31621236" w14:textId="772820CA" w:rsidR="00D60DB3" w:rsidRDefault="00D60DB3" w:rsidP="008D0D65">
      <w:pPr>
        <w:rPr>
          <w:rFonts w:ascii="Arial" w:hAnsi="Arial" w:cs="Arial"/>
        </w:rPr>
      </w:pPr>
    </w:p>
    <w:p w14:paraId="597EE7E8" w14:textId="45836C60" w:rsidR="00D60DB3" w:rsidRDefault="00D60DB3" w:rsidP="008D0D65">
      <w:pPr>
        <w:rPr>
          <w:rFonts w:ascii="Arial" w:hAnsi="Arial" w:cs="Arial"/>
        </w:rPr>
      </w:pPr>
    </w:p>
    <w:p w14:paraId="5DE16B27" w14:textId="3A1A4A56" w:rsidR="00D60DB3" w:rsidRDefault="00D60DB3" w:rsidP="008D0D65">
      <w:pPr>
        <w:rPr>
          <w:rFonts w:ascii="Arial" w:hAnsi="Arial" w:cs="Arial"/>
        </w:rPr>
      </w:pPr>
    </w:p>
    <w:p w14:paraId="1DA29E1C" w14:textId="03971B62" w:rsidR="00D60DB3" w:rsidRDefault="00D60DB3" w:rsidP="008D0D65">
      <w:pPr>
        <w:rPr>
          <w:rFonts w:ascii="Arial" w:hAnsi="Arial" w:cs="Arial"/>
        </w:rPr>
      </w:pPr>
    </w:p>
    <w:p w14:paraId="5702238A" w14:textId="7B907442" w:rsidR="00D60DB3" w:rsidRDefault="00D60DB3" w:rsidP="008D0D65">
      <w:pPr>
        <w:rPr>
          <w:rFonts w:ascii="Arial" w:hAnsi="Arial" w:cs="Arial"/>
        </w:rPr>
      </w:pPr>
    </w:p>
    <w:p w14:paraId="6FC8FD3D" w14:textId="1EB0B609" w:rsidR="00D60DB3" w:rsidRDefault="00D60DB3" w:rsidP="008D0D65">
      <w:pPr>
        <w:rPr>
          <w:rFonts w:ascii="Arial" w:hAnsi="Arial" w:cs="Arial"/>
        </w:rPr>
      </w:pPr>
    </w:p>
    <w:p w14:paraId="7C44335C" w14:textId="001BC1E5" w:rsidR="00D60DB3" w:rsidRDefault="00D60DB3" w:rsidP="008D0D65">
      <w:pPr>
        <w:rPr>
          <w:rFonts w:ascii="Arial" w:hAnsi="Arial" w:cs="Arial"/>
        </w:rPr>
      </w:pPr>
    </w:p>
    <w:p w14:paraId="43EA159B" w14:textId="77777777" w:rsidR="00D60DB3" w:rsidRPr="0060105C" w:rsidRDefault="00D60DB3" w:rsidP="008D0D65">
      <w:pPr>
        <w:rPr>
          <w:rFonts w:ascii="Arial" w:hAnsi="Arial" w:cs="Arial"/>
        </w:rPr>
      </w:pPr>
    </w:p>
    <w:p w14:paraId="6CE6742D" w14:textId="0025B2BE" w:rsidR="008D0D65" w:rsidRDefault="008D0D65" w:rsidP="008122C5">
      <w:pPr>
        <w:pStyle w:val="Heading2"/>
        <w:rPr>
          <w:rFonts w:ascii="Arial" w:hAnsi="Arial" w:cs="Arial"/>
        </w:rPr>
      </w:pPr>
      <w:r>
        <w:rPr>
          <w:rFonts w:ascii="Arial" w:hAnsi="Arial" w:cs="Arial"/>
        </w:rPr>
        <w:lastRenderedPageBreak/>
        <w:t>Table S1.</w:t>
      </w:r>
      <w:r w:rsidRPr="0060105C">
        <w:rPr>
          <w:rFonts w:ascii="Arial" w:hAnsi="Arial" w:cs="Arial"/>
        </w:rPr>
        <w:t xml:space="preserve"> Sample size calculation: minimal detectable differences </w:t>
      </w:r>
      <w:r w:rsidR="003871D1">
        <w:rPr>
          <w:rFonts w:ascii="Arial" w:hAnsi="Arial" w:cs="Arial"/>
        </w:rPr>
        <w:t>for a sample size of 1260 women</w:t>
      </w:r>
    </w:p>
    <w:p w14:paraId="2726B8E2" w14:textId="77777777" w:rsidR="00EC4645" w:rsidRDefault="00EC4645">
      <w:pPr>
        <w:rPr>
          <w:rFonts w:ascii="Arial" w:hAnsi="Arial" w:cs="Arial"/>
          <w:szCs w:val="24"/>
        </w:rPr>
      </w:pPr>
    </w:p>
    <w:tbl>
      <w:tblPr>
        <w:tblStyle w:val="TableGrid"/>
        <w:tblW w:w="0" w:type="auto"/>
        <w:tblLook w:val="04A0" w:firstRow="1" w:lastRow="0" w:firstColumn="1" w:lastColumn="0" w:noHBand="0" w:noVBand="1"/>
      </w:tblPr>
      <w:tblGrid>
        <w:gridCol w:w="1486"/>
        <w:gridCol w:w="1406"/>
        <w:gridCol w:w="1406"/>
        <w:gridCol w:w="1406"/>
        <w:gridCol w:w="1406"/>
        <w:gridCol w:w="1406"/>
      </w:tblGrid>
      <w:tr w:rsidR="00EC4645" w14:paraId="2735F172" w14:textId="77777777" w:rsidTr="0021047F">
        <w:tc>
          <w:tcPr>
            <w:tcW w:w="1566" w:type="dxa"/>
          </w:tcPr>
          <w:p w14:paraId="68CBDD06" w14:textId="77777777" w:rsidR="00EC4645" w:rsidRPr="009D4387" w:rsidRDefault="00EC4645" w:rsidP="0021047F">
            <w:pPr>
              <w:rPr>
                <w:rFonts w:ascii="Arial" w:hAnsi="Arial" w:cs="Arial"/>
                <w:lang w:val="de-DE"/>
              </w:rPr>
            </w:pPr>
          </w:p>
        </w:tc>
        <w:tc>
          <w:tcPr>
            <w:tcW w:w="7830" w:type="dxa"/>
            <w:gridSpan w:val="5"/>
          </w:tcPr>
          <w:p w14:paraId="6FEB0BF0" w14:textId="11DB03F9" w:rsidR="00EC4645" w:rsidRPr="0014063D" w:rsidRDefault="00E85AE2" w:rsidP="0021047F">
            <w:pPr>
              <w:rPr>
                <w:rFonts w:ascii="Arial" w:hAnsi="Arial" w:cs="Arial"/>
                <w:b/>
                <w:lang w:val="de-DE"/>
              </w:rPr>
            </w:pPr>
            <w:r>
              <w:rPr>
                <w:rFonts w:ascii="Arial" w:hAnsi="Arial" w:cs="Arial"/>
                <w:b/>
                <w:lang w:val="de-DE"/>
              </w:rPr>
              <w:t>ICC</w:t>
            </w:r>
          </w:p>
        </w:tc>
      </w:tr>
      <w:tr w:rsidR="00EC4645" w:rsidRPr="009D4387" w14:paraId="0F706AD8" w14:textId="77777777" w:rsidTr="0021047F">
        <w:tc>
          <w:tcPr>
            <w:tcW w:w="1566" w:type="dxa"/>
          </w:tcPr>
          <w:p w14:paraId="5B7C749C" w14:textId="77777777" w:rsidR="00EC4645" w:rsidRPr="0014063D" w:rsidRDefault="00EC4645" w:rsidP="0021047F">
            <w:pPr>
              <w:rPr>
                <w:rFonts w:ascii="Arial" w:hAnsi="Arial" w:cs="Arial"/>
                <w:b/>
              </w:rPr>
            </w:pPr>
            <w:r w:rsidRPr="0014063D">
              <w:rPr>
                <w:rFonts w:ascii="Arial" w:hAnsi="Arial" w:cs="Arial"/>
                <w:b/>
              </w:rPr>
              <w:t>Endpoint value in the control arm</w:t>
            </w:r>
          </w:p>
        </w:tc>
        <w:tc>
          <w:tcPr>
            <w:tcW w:w="1566" w:type="dxa"/>
          </w:tcPr>
          <w:p w14:paraId="5092687A" w14:textId="77777777" w:rsidR="00EC4645" w:rsidRPr="009D4387" w:rsidRDefault="00EC4645" w:rsidP="0021047F">
            <w:pPr>
              <w:rPr>
                <w:rFonts w:ascii="Arial" w:hAnsi="Arial" w:cs="Arial"/>
              </w:rPr>
            </w:pPr>
            <w:r w:rsidRPr="009D4387">
              <w:rPr>
                <w:rFonts w:ascii="Arial" w:hAnsi="Arial" w:cs="Arial"/>
              </w:rPr>
              <w:t>0.01</w:t>
            </w:r>
          </w:p>
        </w:tc>
        <w:tc>
          <w:tcPr>
            <w:tcW w:w="1566" w:type="dxa"/>
          </w:tcPr>
          <w:p w14:paraId="1BBEE810" w14:textId="77777777" w:rsidR="00EC4645" w:rsidRPr="009D4387" w:rsidRDefault="00EC4645" w:rsidP="0021047F">
            <w:pPr>
              <w:rPr>
                <w:rFonts w:ascii="Arial" w:hAnsi="Arial" w:cs="Arial"/>
              </w:rPr>
            </w:pPr>
            <w:r w:rsidRPr="009D4387">
              <w:rPr>
                <w:rFonts w:ascii="Arial" w:hAnsi="Arial" w:cs="Arial"/>
              </w:rPr>
              <w:t>0.05</w:t>
            </w:r>
          </w:p>
        </w:tc>
        <w:tc>
          <w:tcPr>
            <w:tcW w:w="1566" w:type="dxa"/>
          </w:tcPr>
          <w:p w14:paraId="05D97C31" w14:textId="77777777" w:rsidR="00EC4645" w:rsidRPr="009D4387" w:rsidRDefault="00EC4645" w:rsidP="0021047F">
            <w:pPr>
              <w:rPr>
                <w:rFonts w:ascii="Arial" w:hAnsi="Arial" w:cs="Arial"/>
              </w:rPr>
            </w:pPr>
            <w:r w:rsidRPr="009D4387">
              <w:rPr>
                <w:rFonts w:ascii="Arial" w:hAnsi="Arial" w:cs="Arial"/>
              </w:rPr>
              <w:t>0.10</w:t>
            </w:r>
          </w:p>
        </w:tc>
        <w:tc>
          <w:tcPr>
            <w:tcW w:w="1566" w:type="dxa"/>
          </w:tcPr>
          <w:p w14:paraId="037E1721" w14:textId="77777777" w:rsidR="00EC4645" w:rsidRPr="009D4387" w:rsidRDefault="00EC4645" w:rsidP="0021047F">
            <w:pPr>
              <w:rPr>
                <w:rFonts w:ascii="Arial" w:hAnsi="Arial" w:cs="Arial"/>
              </w:rPr>
            </w:pPr>
            <w:r w:rsidRPr="009D4387">
              <w:rPr>
                <w:rFonts w:ascii="Arial" w:hAnsi="Arial" w:cs="Arial"/>
              </w:rPr>
              <w:t>0.15</w:t>
            </w:r>
          </w:p>
        </w:tc>
        <w:tc>
          <w:tcPr>
            <w:tcW w:w="1566" w:type="dxa"/>
          </w:tcPr>
          <w:p w14:paraId="174A10BA" w14:textId="77777777" w:rsidR="00EC4645" w:rsidRPr="009D4387" w:rsidRDefault="00EC4645" w:rsidP="0021047F">
            <w:pPr>
              <w:rPr>
                <w:rFonts w:ascii="Arial" w:hAnsi="Arial" w:cs="Arial"/>
              </w:rPr>
            </w:pPr>
            <w:r w:rsidRPr="009D4387">
              <w:rPr>
                <w:rFonts w:ascii="Arial" w:hAnsi="Arial" w:cs="Arial"/>
              </w:rPr>
              <w:t>0.20</w:t>
            </w:r>
          </w:p>
        </w:tc>
      </w:tr>
      <w:tr w:rsidR="00EC4645" w:rsidRPr="009D4387" w14:paraId="5CC131EC" w14:textId="77777777" w:rsidTr="0021047F">
        <w:tc>
          <w:tcPr>
            <w:tcW w:w="9396" w:type="dxa"/>
            <w:gridSpan w:val="6"/>
          </w:tcPr>
          <w:p w14:paraId="66BF8794" w14:textId="77777777" w:rsidR="00EC4645" w:rsidRPr="0014063D" w:rsidRDefault="00EC4645" w:rsidP="0021047F">
            <w:pPr>
              <w:jc w:val="center"/>
              <w:rPr>
                <w:rFonts w:ascii="Arial" w:hAnsi="Arial" w:cs="Arial"/>
                <w:b/>
                <w:i/>
              </w:rPr>
            </w:pPr>
            <w:r w:rsidRPr="0014063D">
              <w:rPr>
                <w:rFonts w:ascii="Arial" w:hAnsi="Arial" w:cs="Arial"/>
                <w:b/>
                <w:i/>
              </w:rPr>
              <w:t>Viral load testing</w:t>
            </w:r>
          </w:p>
        </w:tc>
      </w:tr>
      <w:tr w:rsidR="00EC4645" w:rsidRPr="009D4387" w14:paraId="1DCA8E21" w14:textId="77777777" w:rsidTr="0021047F">
        <w:tc>
          <w:tcPr>
            <w:tcW w:w="1566" w:type="dxa"/>
          </w:tcPr>
          <w:p w14:paraId="7AA51FEB" w14:textId="77777777" w:rsidR="00EC4645" w:rsidRPr="0014063D" w:rsidRDefault="00EC4645" w:rsidP="0021047F">
            <w:pPr>
              <w:rPr>
                <w:rFonts w:ascii="Arial" w:hAnsi="Arial" w:cs="Arial"/>
                <w:b/>
              </w:rPr>
            </w:pPr>
            <w:r w:rsidRPr="0014063D">
              <w:rPr>
                <w:rFonts w:ascii="Arial" w:hAnsi="Arial" w:cs="Arial"/>
                <w:b/>
              </w:rPr>
              <w:t>30%</w:t>
            </w:r>
          </w:p>
        </w:tc>
        <w:tc>
          <w:tcPr>
            <w:tcW w:w="1566" w:type="dxa"/>
          </w:tcPr>
          <w:p w14:paraId="2BC67DDF" w14:textId="77777777" w:rsidR="00EC4645" w:rsidRPr="009D4387" w:rsidRDefault="00EC4645" w:rsidP="0021047F">
            <w:pPr>
              <w:rPr>
                <w:rFonts w:ascii="Arial" w:hAnsi="Arial" w:cs="Arial"/>
              </w:rPr>
            </w:pPr>
            <w:r>
              <w:rPr>
                <w:rFonts w:ascii="Arial" w:hAnsi="Arial" w:cs="Arial"/>
              </w:rPr>
              <w:t>12.6</w:t>
            </w:r>
          </w:p>
        </w:tc>
        <w:tc>
          <w:tcPr>
            <w:tcW w:w="1566" w:type="dxa"/>
          </w:tcPr>
          <w:p w14:paraId="78D7A575" w14:textId="77777777" w:rsidR="00EC4645" w:rsidRPr="009D4387" w:rsidRDefault="00EC4645" w:rsidP="0021047F">
            <w:pPr>
              <w:rPr>
                <w:rFonts w:ascii="Arial" w:hAnsi="Arial" w:cs="Arial"/>
              </w:rPr>
            </w:pPr>
            <w:r>
              <w:rPr>
                <w:rFonts w:ascii="Arial" w:hAnsi="Arial" w:cs="Arial"/>
              </w:rPr>
              <w:t>13.5</w:t>
            </w:r>
          </w:p>
        </w:tc>
        <w:tc>
          <w:tcPr>
            <w:tcW w:w="1566" w:type="dxa"/>
          </w:tcPr>
          <w:p w14:paraId="03F3645B" w14:textId="77777777" w:rsidR="00EC4645" w:rsidRPr="009D4387" w:rsidRDefault="00EC4645" w:rsidP="0021047F">
            <w:pPr>
              <w:rPr>
                <w:rFonts w:ascii="Arial" w:hAnsi="Arial" w:cs="Arial"/>
              </w:rPr>
            </w:pPr>
            <w:r>
              <w:rPr>
                <w:rFonts w:ascii="Arial" w:hAnsi="Arial" w:cs="Arial"/>
              </w:rPr>
              <w:t>13.4</w:t>
            </w:r>
          </w:p>
        </w:tc>
        <w:tc>
          <w:tcPr>
            <w:tcW w:w="1566" w:type="dxa"/>
          </w:tcPr>
          <w:p w14:paraId="2B5DAB6F" w14:textId="77777777" w:rsidR="00EC4645" w:rsidRPr="009D4387" w:rsidRDefault="00EC4645" w:rsidP="0021047F">
            <w:pPr>
              <w:rPr>
                <w:rFonts w:ascii="Arial" w:hAnsi="Arial" w:cs="Arial"/>
              </w:rPr>
            </w:pPr>
            <w:r>
              <w:rPr>
                <w:rFonts w:ascii="Arial" w:hAnsi="Arial" w:cs="Arial"/>
              </w:rPr>
              <w:t>13.1</w:t>
            </w:r>
          </w:p>
        </w:tc>
        <w:tc>
          <w:tcPr>
            <w:tcW w:w="1566" w:type="dxa"/>
          </w:tcPr>
          <w:p w14:paraId="438699E4" w14:textId="77777777" w:rsidR="00EC4645" w:rsidRPr="009D4387" w:rsidRDefault="00EC4645" w:rsidP="0021047F">
            <w:pPr>
              <w:rPr>
                <w:rFonts w:ascii="Arial" w:hAnsi="Arial" w:cs="Arial"/>
              </w:rPr>
            </w:pPr>
            <w:r>
              <w:rPr>
                <w:rFonts w:ascii="Arial" w:hAnsi="Arial" w:cs="Arial"/>
              </w:rPr>
              <w:t>12.7</w:t>
            </w:r>
          </w:p>
        </w:tc>
      </w:tr>
      <w:tr w:rsidR="00EC4645" w:rsidRPr="009D4387" w14:paraId="6BF9AEEB" w14:textId="77777777" w:rsidTr="0021047F">
        <w:tc>
          <w:tcPr>
            <w:tcW w:w="1566" w:type="dxa"/>
          </w:tcPr>
          <w:p w14:paraId="7EBB5AB5" w14:textId="77777777" w:rsidR="00EC4645" w:rsidRPr="0014063D" w:rsidRDefault="00EC4645" w:rsidP="0021047F">
            <w:pPr>
              <w:rPr>
                <w:rFonts w:ascii="Arial" w:hAnsi="Arial" w:cs="Arial"/>
                <w:b/>
              </w:rPr>
            </w:pPr>
            <w:r w:rsidRPr="0014063D">
              <w:rPr>
                <w:rFonts w:ascii="Arial" w:hAnsi="Arial" w:cs="Arial"/>
                <w:b/>
              </w:rPr>
              <w:t>40%</w:t>
            </w:r>
          </w:p>
        </w:tc>
        <w:tc>
          <w:tcPr>
            <w:tcW w:w="1566" w:type="dxa"/>
          </w:tcPr>
          <w:p w14:paraId="7493BFF8" w14:textId="77777777" w:rsidR="00EC4645" w:rsidRPr="009D4387" w:rsidRDefault="00EC4645" w:rsidP="0021047F">
            <w:pPr>
              <w:rPr>
                <w:rFonts w:ascii="Arial" w:hAnsi="Arial" w:cs="Arial"/>
              </w:rPr>
            </w:pPr>
            <w:r>
              <w:rPr>
                <w:rFonts w:ascii="Arial" w:hAnsi="Arial" w:cs="Arial"/>
              </w:rPr>
              <w:t>13.5</w:t>
            </w:r>
          </w:p>
        </w:tc>
        <w:tc>
          <w:tcPr>
            <w:tcW w:w="1566" w:type="dxa"/>
          </w:tcPr>
          <w:p w14:paraId="633894C9" w14:textId="77777777" w:rsidR="00EC4645" w:rsidRPr="009D4387" w:rsidRDefault="00EC4645" w:rsidP="0021047F">
            <w:pPr>
              <w:rPr>
                <w:rFonts w:ascii="Arial" w:hAnsi="Arial" w:cs="Arial"/>
              </w:rPr>
            </w:pPr>
            <w:r>
              <w:rPr>
                <w:rFonts w:ascii="Arial" w:hAnsi="Arial" w:cs="Arial"/>
              </w:rPr>
              <w:t>14.4</w:t>
            </w:r>
          </w:p>
        </w:tc>
        <w:tc>
          <w:tcPr>
            <w:tcW w:w="1566" w:type="dxa"/>
          </w:tcPr>
          <w:p w14:paraId="0CB0E16D" w14:textId="77777777" w:rsidR="00EC4645" w:rsidRPr="009D4387" w:rsidRDefault="00EC4645" w:rsidP="0021047F">
            <w:pPr>
              <w:rPr>
                <w:rFonts w:ascii="Arial" w:hAnsi="Arial" w:cs="Arial"/>
              </w:rPr>
            </w:pPr>
            <w:r>
              <w:rPr>
                <w:rFonts w:ascii="Arial" w:hAnsi="Arial" w:cs="Arial"/>
              </w:rPr>
              <w:t>14.3</w:t>
            </w:r>
          </w:p>
        </w:tc>
        <w:tc>
          <w:tcPr>
            <w:tcW w:w="1566" w:type="dxa"/>
          </w:tcPr>
          <w:p w14:paraId="78C4D67B" w14:textId="77777777" w:rsidR="00EC4645" w:rsidRPr="009D4387" w:rsidRDefault="00EC4645" w:rsidP="0021047F">
            <w:pPr>
              <w:rPr>
                <w:rFonts w:ascii="Arial" w:hAnsi="Arial" w:cs="Arial"/>
              </w:rPr>
            </w:pPr>
            <w:r>
              <w:rPr>
                <w:rFonts w:ascii="Arial" w:hAnsi="Arial" w:cs="Arial"/>
              </w:rPr>
              <w:t>14.0</w:t>
            </w:r>
          </w:p>
        </w:tc>
        <w:tc>
          <w:tcPr>
            <w:tcW w:w="1566" w:type="dxa"/>
          </w:tcPr>
          <w:p w14:paraId="32651C41" w14:textId="77777777" w:rsidR="00EC4645" w:rsidRPr="009D4387" w:rsidRDefault="00EC4645" w:rsidP="0021047F">
            <w:pPr>
              <w:rPr>
                <w:rFonts w:ascii="Arial" w:hAnsi="Arial" w:cs="Arial"/>
              </w:rPr>
            </w:pPr>
            <w:r>
              <w:rPr>
                <w:rFonts w:ascii="Arial" w:hAnsi="Arial" w:cs="Arial"/>
              </w:rPr>
              <w:t>13.6</w:t>
            </w:r>
          </w:p>
        </w:tc>
      </w:tr>
      <w:tr w:rsidR="00EC4645" w:rsidRPr="009D4387" w14:paraId="3FF6ECFE" w14:textId="77777777" w:rsidTr="0021047F">
        <w:tc>
          <w:tcPr>
            <w:tcW w:w="1566" w:type="dxa"/>
          </w:tcPr>
          <w:p w14:paraId="64B86E3F" w14:textId="77777777" w:rsidR="00EC4645" w:rsidRPr="0014063D" w:rsidRDefault="00EC4645" w:rsidP="0021047F">
            <w:pPr>
              <w:rPr>
                <w:rFonts w:ascii="Arial" w:hAnsi="Arial" w:cs="Arial"/>
                <w:b/>
              </w:rPr>
            </w:pPr>
            <w:r w:rsidRPr="0014063D">
              <w:rPr>
                <w:rFonts w:ascii="Arial" w:hAnsi="Arial" w:cs="Arial"/>
                <w:b/>
              </w:rPr>
              <w:t>50%</w:t>
            </w:r>
          </w:p>
        </w:tc>
        <w:tc>
          <w:tcPr>
            <w:tcW w:w="1566" w:type="dxa"/>
          </w:tcPr>
          <w:p w14:paraId="126A50EA" w14:textId="77777777" w:rsidR="00EC4645" w:rsidRPr="009D4387" w:rsidRDefault="00EC4645" w:rsidP="0021047F">
            <w:pPr>
              <w:rPr>
                <w:rFonts w:ascii="Arial" w:hAnsi="Arial" w:cs="Arial"/>
              </w:rPr>
            </w:pPr>
            <w:r>
              <w:rPr>
                <w:rFonts w:ascii="Arial" w:hAnsi="Arial" w:cs="Arial"/>
              </w:rPr>
              <w:t>13.8</w:t>
            </w:r>
          </w:p>
        </w:tc>
        <w:tc>
          <w:tcPr>
            <w:tcW w:w="1566" w:type="dxa"/>
          </w:tcPr>
          <w:p w14:paraId="13AED550" w14:textId="77777777" w:rsidR="00EC4645" w:rsidRPr="009D4387" w:rsidRDefault="00EC4645" w:rsidP="0021047F">
            <w:pPr>
              <w:rPr>
                <w:rFonts w:ascii="Arial" w:hAnsi="Arial" w:cs="Arial"/>
              </w:rPr>
            </w:pPr>
            <w:r>
              <w:rPr>
                <w:rFonts w:ascii="Arial" w:hAnsi="Arial" w:cs="Arial"/>
              </w:rPr>
              <w:t>14.7</w:t>
            </w:r>
          </w:p>
        </w:tc>
        <w:tc>
          <w:tcPr>
            <w:tcW w:w="1566" w:type="dxa"/>
          </w:tcPr>
          <w:p w14:paraId="353A094C" w14:textId="77777777" w:rsidR="00EC4645" w:rsidRPr="009D4387" w:rsidRDefault="00EC4645" w:rsidP="0021047F">
            <w:pPr>
              <w:rPr>
                <w:rFonts w:ascii="Arial" w:hAnsi="Arial" w:cs="Arial"/>
              </w:rPr>
            </w:pPr>
            <w:r>
              <w:rPr>
                <w:rFonts w:ascii="Arial" w:hAnsi="Arial" w:cs="Arial"/>
              </w:rPr>
              <w:t>14.6</w:t>
            </w:r>
          </w:p>
        </w:tc>
        <w:tc>
          <w:tcPr>
            <w:tcW w:w="1566" w:type="dxa"/>
          </w:tcPr>
          <w:p w14:paraId="0E837B09" w14:textId="77777777" w:rsidR="00EC4645" w:rsidRPr="009D4387" w:rsidRDefault="00EC4645" w:rsidP="0021047F">
            <w:pPr>
              <w:rPr>
                <w:rFonts w:ascii="Arial" w:hAnsi="Arial" w:cs="Arial"/>
              </w:rPr>
            </w:pPr>
            <w:r>
              <w:rPr>
                <w:rFonts w:ascii="Arial" w:hAnsi="Arial" w:cs="Arial"/>
              </w:rPr>
              <w:t>14.3</w:t>
            </w:r>
          </w:p>
        </w:tc>
        <w:tc>
          <w:tcPr>
            <w:tcW w:w="1566" w:type="dxa"/>
          </w:tcPr>
          <w:p w14:paraId="6513B440" w14:textId="77777777" w:rsidR="00EC4645" w:rsidRPr="009D4387" w:rsidRDefault="00EC4645" w:rsidP="0021047F">
            <w:pPr>
              <w:rPr>
                <w:rFonts w:ascii="Arial" w:hAnsi="Arial" w:cs="Arial"/>
              </w:rPr>
            </w:pPr>
            <w:r>
              <w:rPr>
                <w:rFonts w:ascii="Arial" w:hAnsi="Arial" w:cs="Arial"/>
              </w:rPr>
              <w:t>14.0</w:t>
            </w:r>
          </w:p>
        </w:tc>
      </w:tr>
      <w:tr w:rsidR="00EC4645" w:rsidRPr="009D4387" w14:paraId="22DACA0E" w14:textId="77777777" w:rsidTr="0021047F">
        <w:tc>
          <w:tcPr>
            <w:tcW w:w="9396" w:type="dxa"/>
            <w:gridSpan w:val="6"/>
          </w:tcPr>
          <w:p w14:paraId="7EEE9BC5" w14:textId="77777777" w:rsidR="00EC4645" w:rsidRPr="0014063D" w:rsidRDefault="00EC4645" w:rsidP="0021047F">
            <w:pPr>
              <w:jc w:val="center"/>
              <w:rPr>
                <w:rFonts w:ascii="Arial" w:hAnsi="Arial" w:cs="Arial"/>
                <w:b/>
                <w:i/>
              </w:rPr>
            </w:pPr>
            <w:r w:rsidRPr="0014063D">
              <w:rPr>
                <w:rFonts w:ascii="Arial" w:hAnsi="Arial" w:cs="Arial"/>
                <w:b/>
                <w:i/>
              </w:rPr>
              <w:t>Repeat HIV testing</w:t>
            </w:r>
          </w:p>
        </w:tc>
      </w:tr>
      <w:tr w:rsidR="00EC4645" w:rsidRPr="009D4387" w14:paraId="3F4AD490" w14:textId="77777777" w:rsidTr="0021047F">
        <w:tc>
          <w:tcPr>
            <w:tcW w:w="1566" w:type="dxa"/>
          </w:tcPr>
          <w:p w14:paraId="3E864DBB" w14:textId="77777777" w:rsidR="00EC4645" w:rsidRPr="0014063D" w:rsidRDefault="00EC4645" w:rsidP="0021047F">
            <w:pPr>
              <w:rPr>
                <w:rFonts w:ascii="Arial" w:hAnsi="Arial" w:cs="Arial"/>
                <w:b/>
              </w:rPr>
            </w:pPr>
            <w:r w:rsidRPr="0014063D">
              <w:rPr>
                <w:rFonts w:ascii="Arial" w:hAnsi="Arial" w:cs="Arial"/>
                <w:b/>
              </w:rPr>
              <w:t>50%</w:t>
            </w:r>
          </w:p>
        </w:tc>
        <w:tc>
          <w:tcPr>
            <w:tcW w:w="1566" w:type="dxa"/>
          </w:tcPr>
          <w:p w14:paraId="4160E62F" w14:textId="77777777" w:rsidR="00EC4645" w:rsidRPr="009D4387" w:rsidRDefault="00EC4645" w:rsidP="0021047F">
            <w:pPr>
              <w:rPr>
                <w:rFonts w:ascii="Arial" w:hAnsi="Arial" w:cs="Arial"/>
              </w:rPr>
            </w:pPr>
            <w:r>
              <w:rPr>
                <w:rFonts w:ascii="Arial" w:hAnsi="Arial" w:cs="Arial"/>
              </w:rPr>
              <w:t>13.8</w:t>
            </w:r>
          </w:p>
        </w:tc>
        <w:tc>
          <w:tcPr>
            <w:tcW w:w="1566" w:type="dxa"/>
          </w:tcPr>
          <w:p w14:paraId="3D6B7E74" w14:textId="77777777" w:rsidR="00EC4645" w:rsidRPr="009D4387" w:rsidRDefault="00EC4645" w:rsidP="0021047F">
            <w:pPr>
              <w:rPr>
                <w:rFonts w:ascii="Arial" w:hAnsi="Arial" w:cs="Arial"/>
              </w:rPr>
            </w:pPr>
            <w:r>
              <w:rPr>
                <w:rFonts w:ascii="Arial" w:hAnsi="Arial" w:cs="Arial"/>
              </w:rPr>
              <w:t>14.7</w:t>
            </w:r>
          </w:p>
        </w:tc>
        <w:tc>
          <w:tcPr>
            <w:tcW w:w="1566" w:type="dxa"/>
          </w:tcPr>
          <w:p w14:paraId="5FDEF8C3" w14:textId="77777777" w:rsidR="00EC4645" w:rsidRPr="009D4387" w:rsidRDefault="00EC4645" w:rsidP="0021047F">
            <w:pPr>
              <w:rPr>
                <w:rFonts w:ascii="Arial" w:hAnsi="Arial" w:cs="Arial"/>
              </w:rPr>
            </w:pPr>
            <w:r>
              <w:rPr>
                <w:rFonts w:ascii="Arial" w:hAnsi="Arial" w:cs="Arial"/>
              </w:rPr>
              <w:t>14.6</w:t>
            </w:r>
          </w:p>
        </w:tc>
        <w:tc>
          <w:tcPr>
            <w:tcW w:w="1566" w:type="dxa"/>
          </w:tcPr>
          <w:p w14:paraId="07FA3BC4" w14:textId="77777777" w:rsidR="00EC4645" w:rsidRPr="009D4387" w:rsidRDefault="00EC4645" w:rsidP="0021047F">
            <w:pPr>
              <w:rPr>
                <w:rFonts w:ascii="Arial" w:hAnsi="Arial" w:cs="Arial"/>
              </w:rPr>
            </w:pPr>
            <w:r>
              <w:rPr>
                <w:rFonts w:ascii="Arial" w:hAnsi="Arial" w:cs="Arial"/>
              </w:rPr>
              <w:t>14.3</w:t>
            </w:r>
          </w:p>
        </w:tc>
        <w:tc>
          <w:tcPr>
            <w:tcW w:w="1566" w:type="dxa"/>
          </w:tcPr>
          <w:p w14:paraId="25D38966" w14:textId="77777777" w:rsidR="00EC4645" w:rsidRPr="009D4387" w:rsidRDefault="00EC4645" w:rsidP="0021047F">
            <w:pPr>
              <w:rPr>
                <w:rFonts w:ascii="Arial" w:hAnsi="Arial" w:cs="Arial"/>
              </w:rPr>
            </w:pPr>
            <w:r>
              <w:rPr>
                <w:rFonts w:ascii="Arial" w:hAnsi="Arial" w:cs="Arial"/>
              </w:rPr>
              <w:t>14.0</w:t>
            </w:r>
          </w:p>
        </w:tc>
      </w:tr>
      <w:tr w:rsidR="00EC4645" w:rsidRPr="009D4387" w14:paraId="22589808" w14:textId="77777777" w:rsidTr="0021047F">
        <w:tc>
          <w:tcPr>
            <w:tcW w:w="1566" w:type="dxa"/>
          </w:tcPr>
          <w:p w14:paraId="34C96F3B" w14:textId="77777777" w:rsidR="00EC4645" w:rsidRPr="0014063D" w:rsidRDefault="00EC4645" w:rsidP="0021047F">
            <w:pPr>
              <w:rPr>
                <w:rFonts w:ascii="Arial" w:hAnsi="Arial" w:cs="Arial"/>
                <w:b/>
              </w:rPr>
            </w:pPr>
            <w:r w:rsidRPr="0014063D">
              <w:rPr>
                <w:rFonts w:ascii="Arial" w:hAnsi="Arial" w:cs="Arial"/>
                <w:b/>
              </w:rPr>
              <w:t>65%</w:t>
            </w:r>
          </w:p>
        </w:tc>
        <w:tc>
          <w:tcPr>
            <w:tcW w:w="1566" w:type="dxa"/>
          </w:tcPr>
          <w:p w14:paraId="2EBCF8E3" w14:textId="77777777" w:rsidR="00EC4645" w:rsidRPr="009D4387" w:rsidRDefault="00EC4645" w:rsidP="0021047F">
            <w:pPr>
              <w:rPr>
                <w:rFonts w:ascii="Arial" w:hAnsi="Arial" w:cs="Arial"/>
              </w:rPr>
            </w:pPr>
            <w:r>
              <w:rPr>
                <w:rFonts w:ascii="Arial" w:hAnsi="Arial" w:cs="Arial"/>
              </w:rPr>
              <w:t>13.2</w:t>
            </w:r>
          </w:p>
        </w:tc>
        <w:tc>
          <w:tcPr>
            <w:tcW w:w="1566" w:type="dxa"/>
          </w:tcPr>
          <w:p w14:paraId="22A4D6C3" w14:textId="77777777" w:rsidR="00EC4645" w:rsidRPr="009D4387" w:rsidRDefault="00EC4645" w:rsidP="0021047F">
            <w:pPr>
              <w:rPr>
                <w:rFonts w:ascii="Arial" w:hAnsi="Arial" w:cs="Arial"/>
              </w:rPr>
            </w:pPr>
            <w:r>
              <w:rPr>
                <w:rFonts w:ascii="Arial" w:hAnsi="Arial" w:cs="Arial"/>
              </w:rPr>
              <w:t>14.0</w:t>
            </w:r>
          </w:p>
        </w:tc>
        <w:tc>
          <w:tcPr>
            <w:tcW w:w="1566" w:type="dxa"/>
          </w:tcPr>
          <w:p w14:paraId="28CFB675" w14:textId="77777777" w:rsidR="00EC4645" w:rsidRPr="009D4387" w:rsidRDefault="00EC4645" w:rsidP="0021047F">
            <w:pPr>
              <w:rPr>
                <w:rFonts w:ascii="Arial" w:hAnsi="Arial" w:cs="Arial"/>
              </w:rPr>
            </w:pPr>
            <w:r>
              <w:rPr>
                <w:rFonts w:ascii="Arial" w:hAnsi="Arial" w:cs="Arial"/>
              </w:rPr>
              <w:t>13.9</w:t>
            </w:r>
          </w:p>
        </w:tc>
        <w:tc>
          <w:tcPr>
            <w:tcW w:w="1566" w:type="dxa"/>
          </w:tcPr>
          <w:p w14:paraId="43976226" w14:textId="77777777" w:rsidR="00EC4645" w:rsidRPr="009D4387" w:rsidRDefault="00EC4645" w:rsidP="0021047F">
            <w:pPr>
              <w:rPr>
                <w:rFonts w:ascii="Arial" w:hAnsi="Arial" w:cs="Arial"/>
              </w:rPr>
            </w:pPr>
            <w:r>
              <w:rPr>
                <w:rFonts w:ascii="Arial" w:hAnsi="Arial" w:cs="Arial"/>
              </w:rPr>
              <w:t>13.6</w:t>
            </w:r>
          </w:p>
        </w:tc>
        <w:tc>
          <w:tcPr>
            <w:tcW w:w="1566" w:type="dxa"/>
          </w:tcPr>
          <w:p w14:paraId="219D15C3" w14:textId="77777777" w:rsidR="00EC4645" w:rsidRPr="009D4387" w:rsidRDefault="00EC4645" w:rsidP="0021047F">
            <w:pPr>
              <w:rPr>
                <w:rFonts w:ascii="Arial" w:hAnsi="Arial" w:cs="Arial"/>
              </w:rPr>
            </w:pPr>
            <w:r>
              <w:rPr>
                <w:rFonts w:ascii="Arial" w:hAnsi="Arial" w:cs="Arial"/>
              </w:rPr>
              <w:t>13.3</w:t>
            </w:r>
          </w:p>
        </w:tc>
      </w:tr>
      <w:tr w:rsidR="00EC4645" w:rsidRPr="009D4387" w14:paraId="0E115C0F" w14:textId="77777777" w:rsidTr="0021047F">
        <w:tc>
          <w:tcPr>
            <w:tcW w:w="1566" w:type="dxa"/>
          </w:tcPr>
          <w:p w14:paraId="3BCD3B9B" w14:textId="77777777" w:rsidR="00EC4645" w:rsidRPr="0014063D" w:rsidRDefault="00EC4645" w:rsidP="0021047F">
            <w:pPr>
              <w:rPr>
                <w:rFonts w:ascii="Arial" w:hAnsi="Arial" w:cs="Arial"/>
                <w:b/>
              </w:rPr>
            </w:pPr>
            <w:r w:rsidRPr="0014063D">
              <w:rPr>
                <w:rFonts w:ascii="Arial" w:hAnsi="Arial" w:cs="Arial"/>
                <w:b/>
              </w:rPr>
              <w:t>80%</w:t>
            </w:r>
          </w:p>
        </w:tc>
        <w:tc>
          <w:tcPr>
            <w:tcW w:w="1566" w:type="dxa"/>
          </w:tcPr>
          <w:p w14:paraId="4B7474D6" w14:textId="77777777" w:rsidR="00EC4645" w:rsidRPr="009D4387" w:rsidRDefault="00EC4645" w:rsidP="0021047F">
            <w:pPr>
              <w:rPr>
                <w:rFonts w:ascii="Arial" w:hAnsi="Arial" w:cs="Arial"/>
              </w:rPr>
            </w:pPr>
            <w:r>
              <w:rPr>
                <w:rFonts w:ascii="Arial" w:hAnsi="Arial" w:cs="Arial"/>
              </w:rPr>
              <w:t>11.0</w:t>
            </w:r>
          </w:p>
        </w:tc>
        <w:tc>
          <w:tcPr>
            <w:tcW w:w="1566" w:type="dxa"/>
          </w:tcPr>
          <w:p w14:paraId="4DB3132D" w14:textId="77777777" w:rsidR="00EC4645" w:rsidRPr="009D4387" w:rsidRDefault="00EC4645" w:rsidP="0021047F">
            <w:pPr>
              <w:rPr>
                <w:rFonts w:ascii="Arial" w:hAnsi="Arial" w:cs="Arial"/>
              </w:rPr>
            </w:pPr>
            <w:r>
              <w:rPr>
                <w:rFonts w:ascii="Arial" w:hAnsi="Arial" w:cs="Arial"/>
              </w:rPr>
              <w:t>11.8</w:t>
            </w:r>
          </w:p>
        </w:tc>
        <w:tc>
          <w:tcPr>
            <w:tcW w:w="1566" w:type="dxa"/>
          </w:tcPr>
          <w:p w14:paraId="69F39297" w14:textId="77777777" w:rsidR="00EC4645" w:rsidRPr="009D4387" w:rsidRDefault="00EC4645" w:rsidP="0021047F">
            <w:pPr>
              <w:rPr>
                <w:rFonts w:ascii="Arial" w:hAnsi="Arial" w:cs="Arial"/>
              </w:rPr>
            </w:pPr>
            <w:r>
              <w:rPr>
                <w:rFonts w:ascii="Arial" w:hAnsi="Arial" w:cs="Arial"/>
              </w:rPr>
              <w:t>11.7</w:t>
            </w:r>
          </w:p>
        </w:tc>
        <w:tc>
          <w:tcPr>
            <w:tcW w:w="1566" w:type="dxa"/>
          </w:tcPr>
          <w:p w14:paraId="404BA49D" w14:textId="77777777" w:rsidR="00EC4645" w:rsidRPr="009D4387" w:rsidRDefault="00EC4645" w:rsidP="0021047F">
            <w:pPr>
              <w:rPr>
                <w:rFonts w:ascii="Arial" w:hAnsi="Arial" w:cs="Arial"/>
              </w:rPr>
            </w:pPr>
            <w:r>
              <w:rPr>
                <w:rFonts w:ascii="Arial" w:hAnsi="Arial" w:cs="Arial"/>
              </w:rPr>
              <w:t>11.4</w:t>
            </w:r>
          </w:p>
        </w:tc>
        <w:tc>
          <w:tcPr>
            <w:tcW w:w="1566" w:type="dxa"/>
          </w:tcPr>
          <w:p w14:paraId="30F6FB3F" w14:textId="77777777" w:rsidR="00EC4645" w:rsidRPr="009D4387" w:rsidRDefault="00EC4645" w:rsidP="0021047F">
            <w:pPr>
              <w:rPr>
                <w:rFonts w:ascii="Arial" w:hAnsi="Arial" w:cs="Arial"/>
              </w:rPr>
            </w:pPr>
            <w:r>
              <w:rPr>
                <w:rFonts w:ascii="Arial" w:hAnsi="Arial" w:cs="Arial"/>
              </w:rPr>
              <w:t>11.1</w:t>
            </w:r>
          </w:p>
        </w:tc>
      </w:tr>
    </w:tbl>
    <w:p w14:paraId="63709DDC" w14:textId="77777777" w:rsidR="00EC4645" w:rsidRDefault="00EC4645">
      <w:pPr>
        <w:rPr>
          <w:rFonts w:ascii="Arial" w:hAnsi="Arial" w:cs="Arial"/>
          <w:szCs w:val="24"/>
        </w:rPr>
      </w:pPr>
    </w:p>
    <w:p w14:paraId="20C82BD3" w14:textId="742DFA7B" w:rsidR="00EB68B8" w:rsidRPr="00000573" w:rsidRDefault="00D60DB3">
      <w:pPr>
        <w:rPr>
          <w:rFonts w:ascii="Arial" w:hAnsi="Arial" w:cs="Arial"/>
          <w:szCs w:val="24"/>
        </w:rPr>
      </w:pPr>
      <w:r>
        <w:rPr>
          <w:rFonts w:ascii="Arial" w:hAnsi="Arial" w:cs="Arial"/>
          <w:szCs w:val="24"/>
        </w:rPr>
        <w:t>We show the minimal detectable differences for the two primary endpoints of the MONARCH stepped-wedge cluster-randomised controlled trial for a range of</w:t>
      </w:r>
      <w:r w:rsidR="00E85AE2">
        <w:rPr>
          <w:rFonts w:ascii="Arial" w:hAnsi="Arial" w:cs="Arial"/>
          <w:szCs w:val="24"/>
        </w:rPr>
        <w:t xml:space="preserve"> intracluster correlation coefficients</w:t>
      </w:r>
      <w:r>
        <w:rPr>
          <w:rFonts w:ascii="Arial" w:hAnsi="Arial" w:cs="Arial"/>
          <w:szCs w:val="24"/>
        </w:rPr>
        <w:t xml:space="preserve"> </w:t>
      </w:r>
      <w:r w:rsidR="00E85AE2">
        <w:rPr>
          <w:rFonts w:ascii="Arial" w:hAnsi="Arial" w:cs="Arial"/>
          <w:szCs w:val="24"/>
        </w:rPr>
        <w:t>(</w:t>
      </w:r>
      <w:r>
        <w:rPr>
          <w:rFonts w:ascii="Arial" w:hAnsi="Arial" w:cs="Arial"/>
          <w:szCs w:val="24"/>
        </w:rPr>
        <w:t>ICC</w:t>
      </w:r>
      <w:r w:rsidR="00E85AE2">
        <w:rPr>
          <w:rFonts w:ascii="Arial" w:hAnsi="Arial" w:cs="Arial"/>
          <w:szCs w:val="24"/>
        </w:rPr>
        <w:t>) and endpoint values in the control exposure state</w:t>
      </w:r>
      <w:r>
        <w:rPr>
          <w:rFonts w:ascii="Arial" w:hAnsi="Arial" w:cs="Arial"/>
          <w:szCs w:val="24"/>
        </w:rPr>
        <w:t>.  The minimal detectable difference is</w:t>
      </w:r>
      <w:r w:rsidR="00E85AE2">
        <w:rPr>
          <w:rFonts w:ascii="Arial" w:hAnsi="Arial" w:cs="Arial"/>
          <w:szCs w:val="24"/>
        </w:rPr>
        <w:t xml:space="preserve"> measured in percentage points.</w:t>
      </w:r>
    </w:p>
    <w:sectPr w:rsidR="00EB68B8" w:rsidRPr="00000573" w:rsidSect="00976F5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FC2F" w14:textId="77777777" w:rsidR="000714DF" w:rsidRDefault="000714DF" w:rsidP="00000573">
      <w:r>
        <w:separator/>
      </w:r>
    </w:p>
  </w:endnote>
  <w:endnote w:type="continuationSeparator" w:id="0">
    <w:p w14:paraId="57BA58D0" w14:textId="77777777" w:rsidR="000714DF" w:rsidRDefault="000714DF" w:rsidP="0000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CA32" w14:textId="77777777" w:rsidR="0021047F" w:rsidRDefault="0021047F" w:rsidP="0021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E6454" w14:textId="77777777" w:rsidR="0021047F" w:rsidRDefault="0021047F" w:rsidP="00000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9931" w14:textId="4D4B55D2" w:rsidR="0021047F" w:rsidRDefault="0021047F" w:rsidP="0021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FD5">
      <w:rPr>
        <w:rStyle w:val="PageNumber"/>
        <w:noProof/>
      </w:rPr>
      <w:t>1</w:t>
    </w:r>
    <w:r>
      <w:rPr>
        <w:rStyle w:val="PageNumber"/>
      </w:rPr>
      <w:fldChar w:fldCharType="end"/>
    </w:r>
  </w:p>
  <w:p w14:paraId="2D322ACC" w14:textId="77777777" w:rsidR="0021047F" w:rsidRDefault="0021047F" w:rsidP="000005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E184" w14:textId="77777777" w:rsidR="000714DF" w:rsidRDefault="000714DF" w:rsidP="00000573">
      <w:r>
        <w:separator/>
      </w:r>
    </w:p>
  </w:footnote>
  <w:footnote w:type="continuationSeparator" w:id="0">
    <w:p w14:paraId="05B16FE5" w14:textId="77777777" w:rsidR="000714DF" w:rsidRDefault="000714DF" w:rsidP="0000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5B49"/>
    <w:multiLevelType w:val="hybridMultilevel"/>
    <w:tmpl w:val="71B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ll Bärnighausen">
    <w15:presenceInfo w15:providerId="None" w15:userId="Till Bärnigha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65"/>
    <w:rsid w:val="00000573"/>
    <w:rsid w:val="000714DF"/>
    <w:rsid w:val="0021047F"/>
    <w:rsid w:val="003871D1"/>
    <w:rsid w:val="00516FD5"/>
    <w:rsid w:val="0066148A"/>
    <w:rsid w:val="006E3DAB"/>
    <w:rsid w:val="0076720C"/>
    <w:rsid w:val="008122C5"/>
    <w:rsid w:val="008D0D65"/>
    <w:rsid w:val="008D6C09"/>
    <w:rsid w:val="00976F54"/>
    <w:rsid w:val="00AA4733"/>
    <w:rsid w:val="00BA1933"/>
    <w:rsid w:val="00BB1054"/>
    <w:rsid w:val="00BB52D2"/>
    <w:rsid w:val="00D60DB3"/>
    <w:rsid w:val="00E7604C"/>
    <w:rsid w:val="00E85AE2"/>
    <w:rsid w:val="00EB68B8"/>
    <w:rsid w:val="00EC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5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D65"/>
    <w:rPr>
      <w:rFonts w:ascii="Courier New" w:eastAsia="SimSun" w:hAnsi="Courier New" w:cs="Courier New"/>
      <w:sz w:val="20"/>
      <w:szCs w:val="20"/>
    </w:rPr>
  </w:style>
  <w:style w:type="paragraph" w:styleId="Heading1">
    <w:name w:val="heading 1"/>
    <w:basedOn w:val="Normal"/>
    <w:next w:val="Normal"/>
    <w:link w:val="Heading1Char"/>
    <w:uiPriority w:val="9"/>
    <w:qFormat/>
    <w:rsid w:val="008D0D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8D0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65"/>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8D0D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0D65"/>
    <w:pPr>
      <w:spacing w:after="160" w:line="259" w:lineRule="auto"/>
      <w:ind w:left="720"/>
      <w:contextualSpacing/>
    </w:pPr>
    <w:rPr>
      <w:rFonts w:asciiTheme="minorHAnsi" w:eastAsiaTheme="minorHAnsi" w:hAnsiTheme="minorHAnsi" w:cstheme="minorBidi"/>
      <w:sz w:val="22"/>
      <w:szCs w:val="22"/>
      <w:lang w:val="en-ZA"/>
    </w:rPr>
  </w:style>
  <w:style w:type="table" w:styleId="TableGrid">
    <w:name w:val="Table Grid"/>
    <w:basedOn w:val="TableNormal"/>
    <w:uiPriority w:val="39"/>
    <w:rsid w:val="008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D65"/>
    <w:rPr>
      <w:rFonts w:ascii="Lucida Grande" w:eastAsia="SimSun" w:hAnsi="Lucida Grande" w:cs="Lucida Grande"/>
      <w:sz w:val="18"/>
      <w:szCs w:val="18"/>
    </w:rPr>
  </w:style>
  <w:style w:type="paragraph" w:styleId="Footer">
    <w:name w:val="footer"/>
    <w:basedOn w:val="Normal"/>
    <w:link w:val="FooterChar"/>
    <w:uiPriority w:val="99"/>
    <w:unhideWhenUsed/>
    <w:rsid w:val="00000573"/>
    <w:pPr>
      <w:tabs>
        <w:tab w:val="center" w:pos="4320"/>
        <w:tab w:val="right" w:pos="8640"/>
      </w:tabs>
    </w:pPr>
  </w:style>
  <w:style w:type="character" w:customStyle="1" w:styleId="FooterChar">
    <w:name w:val="Footer Char"/>
    <w:basedOn w:val="DefaultParagraphFont"/>
    <w:link w:val="Footer"/>
    <w:uiPriority w:val="99"/>
    <w:rsid w:val="00000573"/>
    <w:rPr>
      <w:rFonts w:ascii="Courier New" w:eastAsia="SimSun" w:hAnsi="Courier New" w:cs="Courier New"/>
      <w:sz w:val="20"/>
      <w:szCs w:val="20"/>
    </w:rPr>
  </w:style>
  <w:style w:type="character" w:styleId="PageNumber">
    <w:name w:val="page number"/>
    <w:basedOn w:val="DefaultParagraphFont"/>
    <w:uiPriority w:val="99"/>
    <w:semiHidden/>
    <w:unhideWhenUsed/>
    <w:rsid w:val="0000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D65"/>
    <w:rPr>
      <w:rFonts w:ascii="Courier New" w:eastAsia="SimSun" w:hAnsi="Courier New" w:cs="Courier New"/>
      <w:sz w:val="20"/>
      <w:szCs w:val="20"/>
    </w:rPr>
  </w:style>
  <w:style w:type="paragraph" w:styleId="Heading1">
    <w:name w:val="heading 1"/>
    <w:basedOn w:val="Normal"/>
    <w:next w:val="Normal"/>
    <w:link w:val="Heading1Char"/>
    <w:uiPriority w:val="9"/>
    <w:qFormat/>
    <w:rsid w:val="008D0D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8D0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65"/>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8D0D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0D65"/>
    <w:pPr>
      <w:spacing w:after="160" w:line="259" w:lineRule="auto"/>
      <w:ind w:left="720"/>
      <w:contextualSpacing/>
    </w:pPr>
    <w:rPr>
      <w:rFonts w:asciiTheme="minorHAnsi" w:eastAsiaTheme="minorHAnsi" w:hAnsiTheme="minorHAnsi" w:cstheme="minorBidi"/>
      <w:sz w:val="22"/>
      <w:szCs w:val="22"/>
      <w:lang w:val="en-ZA"/>
    </w:rPr>
  </w:style>
  <w:style w:type="table" w:styleId="TableGrid">
    <w:name w:val="Table Grid"/>
    <w:basedOn w:val="TableNormal"/>
    <w:uiPriority w:val="39"/>
    <w:rsid w:val="008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D65"/>
    <w:rPr>
      <w:rFonts w:ascii="Lucida Grande" w:eastAsia="SimSun" w:hAnsi="Lucida Grande" w:cs="Lucida Grande"/>
      <w:sz w:val="18"/>
      <w:szCs w:val="18"/>
    </w:rPr>
  </w:style>
  <w:style w:type="paragraph" w:styleId="Footer">
    <w:name w:val="footer"/>
    <w:basedOn w:val="Normal"/>
    <w:link w:val="FooterChar"/>
    <w:uiPriority w:val="99"/>
    <w:unhideWhenUsed/>
    <w:rsid w:val="00000573"/>
    <w:pPr>
      <w:tabs>
        <w:tab w:val="center" w:pos="4320"/>
        <w:tab w:val="right" w:pos="8640"/>
      </w:tabs>
    </w:pPr>
  </w:style>
  <w:style w:type="character" w:customStyle="1" w:styleId="FooterChar">
    <w:name w:val="Footer Char"/>
    <w:basedOn w:val="DefaultParagraphFont"/>
    <w:link w:val="Footer"/>
    <w:uiPriority w:val="99"/>
    <w:rsid w:val="00000573"/>
    <w:rPr>
      <w:rFonts w:ascii="Courier New" w:eastAsia="SimSun" w:hAnsi="Courier New" w:cs="Courier New"/>
      <w:sz w:val="20"/>
      <w:szCs w:val="20"/>
    </w:rPr>
  </w:style>
  <w:style w:type="character" w:styleId="PageNumber">
    <w:name w:val="page number"/>
    <w:basedOn w:val="DefaultParagraphFont"/>
    <w:uiPriority w:val="99"/>
    <w:semiHidden/>
    <w:unhideWhenUsed/>
    <w:rsid w:val="0000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Yapa</dc:creator>
  <cp:keywords/>
  <dc:description/>
  <cp:lastModifiedBy>JFURTON</cp:lastModifiedBy>
  <cp:revision>3</cp:revision>
  <dcterms:created xsi:type="dcterms:W3CDTF">2018-07-15T13:41:00Z</dcterms:created>
  <dcterms:modified xsi:type="dcterms:W3CDTF">2018-07-27T22:39:00Z</dcterms:modified>
</cp:coreProperties>
</file>