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9B" w:rsidRDefault="009C6A5F">
      <w:pPr>
        <w:pStyle w:val="TableTitle"/>
        <w:rPr>
          <w:rFonts w:ascii="Arial" w:hAnsi="Arial"/>
        </w:rPr>
      </w:pPr>
      <w:r>
        <w:rPr>
          <w:rFonts w:ascii="Arial" w:hAnsi="Arial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3338195</wp:posOffset>
            </wp:positionH>
            <wp:positionV relativeFrom="page">
              <wp:posOffset>346709</wp:posOffset>
            </wp:positionV>
            <wp:extent cx="4013835" cy="826137"/>
            <wp:effectExtent l="0" t="0" r="0" b="0"/>
            <wp:wrapSquare wrapText="bothSides" distT="57150" distB="57150" distL="57150" distR="5715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835" cy="8261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13E9B" w:rsidRDefault="00613E9B">
      <w:pPr>
        <w:pStyle w:val="TableTitle"/>
        <w:rPr>
          <w:rFonts w:ascii="Arial" w:hAnsi="Arial"/>
        </w:rPr>
      </w:pPr>
    </w:p>
    <w:p w:rsidR="00613E9B" w:rsidRDefault="00613E9B">
      <w:pPr>
        <w:pStyle w:val="TableTitle"/>
        <w:rPr>
          <w:rFonts w:ascii="Arial" w:hAnsi="Arial"/>
        </w:rPr>
      </w:pPr>
    </w:p>
    <w:p w:rsidR="00613E9B" w:rsidRDefault="00613E9B">
      <w:pPr>
        <w:pStyle w:val="TableTitle"/>
        <w:rPr>
          <w:rFonts w:ascii="Arial" w:hAnsi="Arial"/>
        </w:rPr>
      </w:pPr>
    </w:p>
    <w:p w:rsidR="00613E9B" w:rsidRDefault="00613E9B">
      <w:pPr>
        <w:pStyle w:val="TableTitle"/>
        <w:rPr>
          <w:rFonts w:ascii="Arial" w:hAnsi="Arial"/>
        </w:rPr>
      </w:pPr>
    </w:p>
    <w:p w:rsidR="00613E9B" w:rsidRDefault="00613E9B">
      <w:pPr>
        <w:pStyle w:val="TableTitle"/>
        <w:rPr>
          <w:rFonts w:ascii="Arial" w:hAnsi="Arial"/>
        </w:rPr>
      </w:pPr>
    </w:p>
    <w:p w:rsidR="00613E9B" w:rsidRDefault="009C6A5F">
      <w:pPr>
        <w:pStyle w:val="TableTitle"/>
        <w:spacing w:after="4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SPIRIT 2013 Checklist: Recommended items to address in a clinical trial protocol and related documents*</w:t>
      </w:r>
    </w:p>
    <w:tbl>
      <w:tblPr>
        <w:tblW w:w="154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44"/>
        <w:gridCol w:w="745"/>
        <w:gridCol w:w="10536"/>
        <w:gridCol w:w="1975"/>
      </w:tblGrid>
      <w:tr w:rsidR="00613E9B">
        <w:trPr>
          <w:trHeight w:val="493"/>
        </w:trPr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pPr>
              <w:pStyle w:val="TableHeader"/>
            </w:pPr>
            <w:r>
              <w:rPr>
                <w:rFonts w:ascii="Arial" w:hAnsi="Arial"/>
                <w:sz w:val="22"/>
                <w:szCs w:val="22"/>
              </w:rPr>
              <w:t>Section/item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pPr>
              <w:pStyle w:val="TableHeader"/>
            </w:pPr>
            <w:r>
              <w:rPr>
                <w:rFonts w:ascii="Arial" w:hAnsi="Arial"/>
                <w:sz w:val="22"/>
                <w:szCs w:val="22"/>
              </w:rPr>
              <w:t>Item No</w:t>
            </w:r>
          </w:p>
        </w:tc>
        <w:tc>
          <w:tcPr>
            <w:tcW w:w="10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pPr>
              <w:pStyle w:val="TableHeader"/>
            </w:pPr>
            <w:r>
              <w:rPr>
                <w:rFonts w:ascii="Arial" w:hAnsi="Arial"/>
                <w:sz w:val="22"/>
                <w:szCs w:val="22"/>
              </w:rPr>
              <w:t>Description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pPr>
              <w:pStyle w:val="TableHeader"/>
            </w:pPr>
            <w:r>
              <w:rPr>
                <w:rFonts w:ascii="Arial" w:hAnsi="Arial"/>
                <w:sz w:val="22"/>
                <w:szCs w:val="22"/>
              </w:rPr>
              <w:t>Addressed on page number</w:t>
            </w:r>
          </w:p>
        </w:tc>
      </w:tr>
      <w:tr w:rsidR="00613E9B">
        <w:trPr>
          <w:trHeight w:val="305"/>
        </w:trPr>
        <w:tc>
          <w:tcPr>
            <w:tcW w:w="134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pPr>
              <w:spacing w:before="18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Administrative information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</w:tr>
      <w:tr w:rsidR="00613E9B">
        <w:trPr>
          <w:trHeight w:val="3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Title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 xml:space="preserve">Descriptive title identifying the study design, </w:t>
            </w:r>
            <w:r>
              <w:rPr>
                <w:rFonts w:ascii="Arial" w:hAnsi="Arial"/>
                <w:sz w:val="22"/>
                <w:szCs w:val="22"/>
              </w:rPr>
              <w:t>population, interventions, and, if applicable, trial acronym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613E9B">
        <w:trPr>
          <w:trHeight w:val="297"/>
        </w:trPr>
        <w:tc>
          <w:tcPr>
            <w:tcW w:w="2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Trial registration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2a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Trial identifier and registry name. If not yet registered, name of intended registry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613E9B">
        <w:trPr>
          <w:trHeight w:val="297"/>
        </w:trPr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9B" w:rsidRDefault="00613E9B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2b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All items from the World Health Organization Trial Registration Data Set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1-19</w:t>
            </w:r>
          </w:p>
        </w:tc>
      </w:tr>
      <w:tr w:rsidR="00613E9B">
        <w:trPr>
          <w:trHeight w:val="3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Protocol version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Date and version identifier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</w:tr>
      <w:tr w:rsidR="00613E9B">
        <w:trPr>
          <w:trHeight w:val="3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Funding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Sources and types of financial, material, and other support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</w:tr>
      <w:tr w:rsidR="00613E9B">
        <w:trPr>
          <w:trHeight w:val="297"/>
        </w:trPr>
        <w:tc>
          <w:tcPr>
            <w:tcW w:w="2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Roles and responsibilities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5a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Names, affiliations, and roles of protocol contributors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1, 19</w:t>
            </w:r>
          </w:p>
        </w:tc>
      </w:tr>
      <w:tr w:rsidR="00613E9B">
        <w:trPr>
          <w:trHeight w:val="303"/>
        </w:trPr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9B" w:rsidRDefault="00613E9B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5b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Name and contact information for</w:t>
            </w:r>
            <w:r>
              <w:rPr>
                <w:rFonts w:ascii="Arial" w:hAnsi="Arial"/>
                <w:sz w:val="22"/>
                <w:szCs w:val="22"/>
              </w:rPr>
              <w:t xml:space="preserve"> the trial sponsor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</w:tr>
      <w:tr w:rsidR="00613E9B">
        <w:trPr>
          <w:trHeight w:val="9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5c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 xml:space="preserve">Role of study sponsor and funders, if any, in study design; collection, management, analysis, and interpretation of data; writing of the report; and the decision to submit the report for publication, including whether they will </w:t>
            </w:r>
            <w:r>
              <w:rPr>
                <w:rFonts w:ascii="Arial" w:hAnsi="Arial"/>
                <w:sz w:val="22"/>
                <w:szCs w:val="22"/>
              </w:rPr>
              <w:t>have ultimate authority over any of these activities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</w:tr>
      <w:tr w:rsidR="00613E9B">
        <w:trPr>
          <w:trHeight w:val="178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5d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Composition, roles, and responsibilities of the coordinating centre, steering committee, endpoint adjudication committee, data management team, and other individuals or groups overseeing the </w:t>
            </w:r>
            <w:r>
              <w:rPr>
                <w:rFonts w:ascii="Arial" w:hAnsi="Arial"/>
                <w:sz w:val="22"/>
                <w:szCs w:val="22"/>
              </w:rPr>
              <w:t>trial, if applicable (see Item 21a for data monitoring committee)</w:t>
            </w:r>
          </w:p>
          <w:p w:rsidR="00613E9B" w:rsidRDefault="00613E9B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</w:tr>
      <w:tr w:rsidR="00613E9B">
        <w:trPr>
          <w:trHeight w:val="31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pPr>
              <w:pStyle w:val="TableSubHead"/>
              <w:spacing w:before="180"/>
            </w:pPr>
            <w:r>
              <w:rPr>
                <w:rFonts w:ascii="Arial" w:hAnsi="Arial"/>
                <w:sz w:val="22"/>
                <w:szCs w:val="22"/>
              </w:rPr>
              <w:lastRenderedPageBreak/>
              <w:t>Introduction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Background and rationale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6a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 xml:space="preserve">Description of research question and justification for undertaking the trial, including summary of relevant studies (published and </w:t>
            </w:r>
            <w:r>
              <w:rPr>
                <w:rFonts w:ascii="Arial" w:hAnsi="Arial"/>
                <w:sz w:val="22"/>
                <w:szCs w:val="22"/>
              </w:rPr>
              <w:t>unpublished) examining benefits and harms for each intervention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4-6</w:t>
            </w:r>
          </w:p>
        </w:tc>
      </w:tr>
      <w:tr w:rsidR="00613E9B">
        <w:trPr>
          <w:trHeight w:val="31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6b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Explanation for choice of comparators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613E9B">
        <w:trPr>
          <w:trHeight w:val="3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Objectives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Specific objectives or hypotheses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613E9B">
        <w:trPr>
          <w:trHeight w:val="663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Trial design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Description of trial design including type of trial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parallel group, </w:t>
            </w:r>
            <w:r>
              <w:rPr>
                <w:rFonts w:ascii="Arial" w:hAnsi="Arial"/>
                <w:sz w:val="22"/>
                <w:szCs w:val="22"/>
              </w:rPr>
              <w:t>crossover, factorial, single group), allocation ratio, and framework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superiority, equivalence, noninferiority, exploratory)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13E9B" w:rsidRDefault="009C6A5F">
            <w:r>
              <w:rPr>
                <w:rFonts w:ascii="Arial" w:hAnsi="Arial"/>
                <w:sz w:val="22"/>
                <w:szCs w:val="22"/>
              </w:rPr>
              <w:t>7-8</w:t>
            </w:r>
          </w:p>
        </w:tc>
      </w:tr>
      <w:tr w:rsidR="00613E9B">
        <w:trPr>
          <w:trHeight w:val="310"/>
        </w:trPr>
        <w:tc>
          <w:tcPr>
            <w:tcW w:w="1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pPr>
              <w:pStyle w:val="TableSubHead"/>
              <w:spacing w:before="180"/>
            </w:pPr>
            <w:r>
              <w:rPr>
                <w:rFonts w:ascii="Arial" w:hAnsi="Arial"/>
                <w:sz w:val="22"/>
                <w:szCs w:val="22"/>
              </w:rPr>
              <w:t>Methods: Participants, interventions, and outcomes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Study setting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Description of study settings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community clinic,</w:t>
            </w:r>
            <w:r>
              <w:rPr>
                <w:rFonts w:ascii="Arial" w:hAnsi="Arial"/>
                <w:sz w:val="22"/>
                <w:szCs w:val="22"/>
              </w:rPr>
              <w:t xml:space="preserve"> academic hospital) and list of countries where data will be collected. Reference to where list of study sites can be obtained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Eligibility criteria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 xml:space="preserve">Inclusion and exclusion criteria for participants. If applicable, eligibility criteria for study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centres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and individuals who will perform the interventions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surgeons, psychotherapists)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</w:tr>
      <w:tr w:rsidR="00613E9B">
        <w:trPr>
          <w:trHeight w:val="597"/>
        </w:trPr>
        <w:tc>
          <w:tcPr>
            <w:tcW w:w="2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Interventions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11a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Interventions for each group with sufficient detail to allow replication, including how and when they will be administered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9-11</w:t>
            </w:r>
          </w:p>
        </w:tc>
      </w:tr>
      <w:tr w:rsidR="00613E9B">
        <w:trPr>
          <w:trHeight w:val="587"/>
        </w:trPr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E9B" w:rsidRDefault="00613E9B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11b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 xml:space="preserve">Criteria </w:t>
            </w:r>
            <w:r>
              <w:rPr>
                <w:rFonts w:ascii="Arial" w:hAnsi="Arial"/>
                <w:sz w:val="22"/>
                <w:szCs w:val="22"/>
              </w:rPr>
              <w:t>for discontinuing or modifying allocated interventions for a given trial participant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drug dose change in response to harms, participant request, or improving/worsening disease)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</w:tr>
      <w:tr w:rsidR="00613E9B">
        <w:trPr>
          <w:trHeight w:val="587"/>
        </w:trPr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E9B" w:rsidRDefault="00613E9B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11c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 xml:space="preserve">Strategies to improve adherence to intervention protocols, and any </w:t>
            </w:r>
            <w:r>
              <w:rPr>
                <w:rFonts w:ascii="Arial" w:hAnsi="Arial"/>
                <w:sz w:val="22"/>
                <w:szCs w:val="22"/>
              </w:rPr>
              <w:t>procedures for monitoring adherence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drug tablet return, laboratory tests)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</w:tr>
      <w:tr w:rsidR="00613E9B">
        <w:trPr>
          <w:trHeight w:val="297"/>
        </w:trPr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13E9B" w:rsidRDefault="00613E9B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11d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Relevant concomitant care and interventions that are permitted or prohibited during the trial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9-11</w:t>
            </w:r>
          </w:p>
        </w:tc>
      </w:tr>
      <w:tr w:rsidR="00613E9B">
        <w:trPr>
          <w:trHeight w:val="12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Outcomes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 xml:space="preserve">Primary, secondary, and other outcomes, including the </w:t>
            </w:r>
            <w:r>
              <w:rPr>
                <w:rFonts w:ascii="Arial" w:hAnsi="Arial"/>
                <w:sz w:val="22"/>
                <w:szCs w:val="22"/>
              </w:rPr>
              <w:t>specific measurement variable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systolic blood pressure), analysis metric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change from baseline, final value, time to event), method of aggregation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median, proportion), and time point for each outcome. Explanation of the clinical relevance of c</w:t>
            </w:r>
            <w:r>
              <w:rPr>
                <w:rFonts w:ascii="Arial" w:hAnsi="Arial"/>
                <w:sz w:val="22"/>
                <w:szCs w:val="22"/>
              </w:rPr>
              <w:t>hosen efficacy and harm outcomes is strongly recommended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13E9B" w:rsidRDefault="009C6A5F">
            <w:r>
              <w:rPr>
                <w:rFonts w:ascii="Arial" w:hAnsi="Arial"/>
                <w:sz w:val="22"/>
                <w:szCs w:val="22"/>
              </w:rPr>
              <w:t>11-15</w:t>
            </w:r>
          </w:p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Participant timeline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 xml:space="preserve">Time schedule of enrolment, interventions (including any run-ins and washouts), assessments, and visits for participants. A schematic diagram is highly recommended </w:t>
            </w:r>
            <w:r>
              <w:rPr>
                <w:rFonts w:ascii="Arial" w:hAnsi="Arial"/>
                <w:sz w:val="22"/>
                <w:szCs w:val="22"/>
              </w:rPr>
              <w:t>(see Figure)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lastRenderedPageBreak/>
              <w:t>Sample size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Estimated number of participants needed to achieve study objectives and how it was determined, including clinical and statistical assumptions supporting any sample size calculations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613E9B">
        <w:trPr>
          <w:trHeight w:val="3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Recruitment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 xml:space="preserve">Strategies for achieving </w:t>
            </w:r>
            <w:r>
              <w:rPr>
                <w:rFonts w:ascii="Arial" w:hAnsi="Arial"/>
                <w:sz w:val="22"/>
                <w:szCs w:val="22"/>
              </w:rPr>
              <w:t>adequate participant enrolment to reach target sample size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834370"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</w:tr>
      <w:tr w:rsidR="00613E9B">
        <w:trPr>
          <w:trHeight w:val="310"/>
        </w:trPr>
        <w:tc>
          <w:tcPr>
            <w:tcW w:w="1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pPr>
              <w:spacing w:before="18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Methods: Assignment of interventions (for controlled trials)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</w:tr>
      <w:tr w:rsidR="00613E9B">
        <w:trPr>
          <w:trHeight w:val="31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Allocation: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</w:tr>
      <w:tr w:rsidR="00613E9B">
        <w:trPr>
          <w:trHeight w:val="12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350" w:type="dxa"/>
              <w:bottom w:w="80" w:type="dxa"/>
              <w:right w:w="80" w:type="dxa"/>
            </w:tcMar>
          </w:tcPr>
          <w:p w:rsidR="00613E9B" w:rsidRDefault="009C6A5F">
            <w:pPr>
              <w:tabs>
                <w:tab w:val="left" w:pos="180"/>
              </w:tabs>
              <w:ind w:left="270"/>
            </w:pPr>
            <w:r>
              <w:rPr>
                <w:rFonts w:ascii="Arial" w:hAnsi="Arial"/>
                <w:sz w:val="22"/>
                <w:szCs w:val="22"/>
              </w:rPr>
              <w:t>Sequence generation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16a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Method of generating the allocation sequence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computer-generated random numbers), and</w:t>
            </w:r>
            <w:r>
              <w:rPr>
                <w:rFonts w:ascii="Arial" w:hAnsi="Arial"/>
                <w:sz w:val="22"/>
                <w:szCs w:val="22"/>
              </w:rPr>
              <w:t xml:space="preserve"> list of any factors for stratification. To reduce predictability of a random sequence, details of any planned restriction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blocking) should be provided in a separate document that is unavailable to those who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enrol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participants or assign interventions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613E9B">
        <w:trPr>
          <w:trHeight w:val="9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350" w:type="dxa"/>
              <w:bottom w:w="80" w:type="dxa"/>
              <w:right w:w="80" w:type="dxa"/>
            </w:tcMar>
          </w:tcPr>
          <w:p w:rsidR="00613E9B" w:rsidRDefault="009C6A5F">
            <w:pPr>
              <w:ind w:left="270"/>
            </w:pPr>
            <w:r>
              <w:rPr>
                <w:rFonts w:ascii="Arial" w:hAnsi="Arial"/>
                <w:sz w:val="22"/>
                <w:szCs w:val="22"/>
              </w:rPr>
              <w:t>Allocation concealment mechanism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16b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Mechanism of implementing the allocation sequence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central telephone; sequentially numbered, opaque, sealed envelopes), describing any steps to conceal the sequence until interventions are assigned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50" w:type="dxa"/>
              <w:bottom w:w="80" w:type="dxa"/>
              <w:right w:w="80" w:type="dxa"/>
            </w:tcMar>
          </w:tcPr>
          <w:p w:rsidR="00613E9B" w:rsidRDefault="009C6A5F">
            <w:pPr>
              <w:ind w:left="270"/>
            </w:pPr>
            <w:r>
              <w:rPr>
                <w:rFonts w:ascii="Arial" w:hAnsi="Arial"/>
                <w:sz w:val="22"/>
                <w:szCs w:val="22"/>
              </w:rPr>
              <w:t>Implementation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16c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 xml:space="preserve">Who will generate the allocation sequence, who will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enrol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participants, and who will assign participants to interventions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Blinding (masking)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17a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Who will be blinded after assignment to interventions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trial participants, care </w:t>
            </w:r>
            <w:r>
              <w:rPr>
                <w:rFonts w:ascii="Arial" w:hAnsi="Arial"/>
                <w:sz w:val="22"/>
                <w:szCs w:val="22"/>
              </w:rPr>
              <w:t>providers, outcome assessors, data analysts), and how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17b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If blinded, circumstances under which unblinding is permissible, and procedure for revealing a participant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s allocated intervention during the trial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613E9B">
        <w:trPr>
          <w:trHeight w:val="310"/>
        </w:trPr>
        <w:tc>
          <w:tcPr>
            <w:tcW w:w="1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pPr>
              <w:spacing w:before="18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Methods: Data collection, management, and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analysis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</w:tr>
      <w:tr w:rsidR="00613E9B">
        <w:trPr>
          <w:trHeight w:val="12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Data collection methods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18a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Plans for assessment and collection of outcome, baseline, and other trial data, including any related processes to promote data quality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duplicate measurements, training of assessors) and a description of study </w:t>
            </w:r>
            <w:r>
              <w:rPr>
                <w:rFonts w:ascii="Arial" w:hAnsi="Arial"/>
                <w:sz w:val="22"/>
                <w:szCs w:val="22"/>
              </w:rPr>
              <w:t>instruments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questionnaires, laboratory tests) along with their reliability and validity, if known. Reference to where data collection forms can be found, if not in the protocol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11 - 15</w:t>
            </w:r>
          </w:p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18b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 xml:space="preserve">Plans to promote participant retention and complete </w:t>
            </w:r>
            <w:r>
              <w:rPr>
                <w:rFonts w:ascii="Arial" w:hAnsi="Arial"/>
                <w:sz w:val="22"/>
                <w:szCs w:val="22"/>
              </w:rPr>
              <w:t>follow-up, including list of any outcome data to be collected for participants who discontinue or deviate from intervention protocols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</w:tr>
      <w:tr w:rsidR="00613E9B">
        <w:trPr>
          <w:trHeight w:val="9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lastRenderedPageBreak/>
              <w:t>Data management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 xml:space="preserve">Plans for data entry, coding, security, and storage, including any related processes to promote </w:t>
            </w:r>
            <w:r>
              <w:rPr>
                <w:rFonts w:ascii="Arial" w:hAnsi="Arial"/>
                <w:sz w:val="22"/>
                <w:szCs w:val="22"/>
              </w:rPr>
              <w:t>data quality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double data entry; range checks for data values). Reference to where details of data management procedures can be found, if not in the protocol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14 -15</w:t>
            </w:r>
          </w:p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Statistical methods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20a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 xml:space="preserve">Statistical methods for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analysing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primary and secondary </w:t>
            </w:r>
            <w:r>
              <w:rPr>
                <w:rFonts w:ascii="Arial" w:hAnsi="Arial"/>
                <w:sz w:val="22"/>
                <w:szCs w:val="22"/>
              </w:rPr>
              <w:t>outcomes. Reference to where other details of the statistical analysis plan can be found, if not in the protocol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</w:tr>
      <w:tr w:rsidR="00613E9B">
        <w:trPr>
          <w:trHeight w:val="31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20b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Methods for any additional analyses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subgroup and adjusted analyses)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20c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 xml:space="preserve">Definition of analysis population relating to </w:t>
            </w:r>
            <w:r>
              <w:rPr>
                <w:rFonts w:ascii="Arial" w:hAnsi="Arial"/>
                <w:sz w:val="22"/>
                <w:szCs w:val="22"/>
              </w:rPr>
              <w:t>protocol non-adherence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as randomised analysis), and any statistical methods to handle missing data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multiple imputation)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</w:tr>
      <w:tr w:rsidR="00613E9B">
        <w:trPr>
          <w:trHeight w:val="310"/>
        </w:trPr>
        <w:tc>
          <w:tcPr>
            <w:tcW w:w="1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pPr>
              <w:spacing w:before="18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Methods: Monitoring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</w:tr>
      <w:tr w:rsidR="00613E9B">
        <w:trPr>
          <w:trHeight w:val="12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Data monitoring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21a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 xml:space="preserve">Composition of data monitoring committee (DMC); summary of its role and </w:t>
            </w:r>
            <w:r>
              <w:rPr>
                <w:rFonts w:ascii="Arial" w:hAnsi="Arial"/>
                <w:sz w:val="22"/>
                <w:szCs w:val="22"/>
              </w:rPr>
              <w:t>reporting structure; statement of whether it is independent from the sponsor and competing interests; and reference to where further details about its charter can be found, if not in the protocol. Alternatively, an explanation of why a DMC is not needed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834370"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21b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Description of any interim analyses and stopping guidelines, including who will have access to these interim results and make the final decision to terminate the trial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834370"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Harms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Plans for collecting, assessing, reporting, and managing solicited</w:t>
            </w:r>
            <w:r>
              <w:rPr>
                <w:rFonts w:ascii="Arial" w:hAnsi="Arial"/>
                <w:sz w:val="22"/>
                <w:szCs w:val="22"/>
              </w:rPr>
              <w:t xml:space="preserve"> and spontaneously reported adverse events and other unintended effects of trial interventions or trial conduct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Auditing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 xml:space="preserve">Frequency and procedures for auditing trial conduct, if any, and whether the process will be independent from investigators and </w:t>
            </w:r>
            <w:r>
              <w:rPr>
                <w:rFonts w:ascii="Arial" w:hAnsi="Arial"/>
                <w:sz w:val="22"/>
                <w:szCs w:val="22"/>
              </w:rPr>
              <w:t>the sponsor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</w:tr>
      <w:tr w:rsidR="00613E9B">
        <w:trPr>
          <w:trHeight w:val="310"/>
        </w:trPr>
        <w:tc>
          <w:tcPr>
            <w:tcW w:w="1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pPr>
              <w:pStyle w:val="TableSubHead"/>
              <w:spacing w:before="180"/>
            </w:pPr>
            <w:r>
              <w:rPr>
                <w:rFonts w:ascii="Arial" w:hAnsi="Arial"/>
                <w:sz w:val="22"/>
                <w:szCs w:val="22"/>
              </w:rPr>
              <w:t>Ethics and dissemination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Research ethics approval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Plans for seeking research ethics committee/institutional review board (REC/IRB) approval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</w:tr>
      <w:tr w:rsidR="00613E9B">
        <w:trPr>
          <w:trHeight w:val="9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Protocol amendments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Plans for communicating important protocol modifications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changes to eligibility criteria, outcomes, analyses) to relevant parties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investigators, REC/IRBs, trial participants, trial registries, journals, regulators)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lastRenderedPageBreak/>
              <w:t>Consent or assent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26a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 xml:space="preserve">Who will obtain informed consent or assent from potential trial </w:t>
            </w:r>
            <w:r>
              <w:rPr>
                <w:rFonts w:ascii="Arial" w:hAnsi="Arial"/>
                <w:sz w:val="22"/>
                <w:szCs w:val="22"/>
              </w:rPr>
              <w:t xml:space="preserve">participants or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authorised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surrogates, and how (see Item 32)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26b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Additional consent provisions for collection and use of participant data and biological specimens in ancillary studies, if applicable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Confidentiality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 xml:space="preserve">How personal information </w:t>
            </w:r>
            <w:r>
              <w:rPr>
                <w:rFonts w:ascii="Arial" w:hAnsi="Arial"/>
                <w:sz w:val="22"/>
                <w:szCs w:val="22"/>
              </w:rPr>
              <w:t xml:space="preserve">about potential and enrolled participants will be collected, shared, and maintained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in order to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protect confidentiality before, during, and after the trial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`15</w:t>
            </w:r>
          </w:p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Declaration of interests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Financial and other competing interests for principal investigators</w:t>
            </w:r>
            <w:r>
              <w:rPr>
                <w:rFonts w:ascii="Arial" w:hAnsi="Arial"/>
                <w:sz w:val="22"/>
                <w:szCs w:val="22"/>
              </w:rPr>
              <w:t xml:space="preserve"> for the overall trial and each study site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Access to data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Statement of who will have access to the final trial dataset, and disclosure of contractual agreements that limit such access for investigators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834370">
            <w:r>
              <w:rPr>
                <w:rFonts w:ascii="Arial" w:hAnsi="Arial"/>
                <w:sz w:val="22"/>
                <w:szCs w:val="22"/>
              </w:rPr>
              <w:t>19</w:t>
            </w:r>
            <w:bookmarkStart w:id="0" w:name="_GoBack"/>
            <w:bookmarkEnd w:id="0"/>
          </w:p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Ancillary and post-trial care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Provisions, if any, for ancillary and post-trial care, and for compensation to those who suffer harm from trial participation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</w:tr>
      <w:tr w:rsidR="00613E9B">
        <w:trPr>
          <w:trHeight w:val="9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Dissemination policy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31a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 xml:space="preserve">Plans for investigators and sponsor to communicate trial results to participants, healthcare </w:t>
            </w:r>
            <w:r>
              <w:rPr>
                <w:rFonts w:ascii="Arial" w:hAnsi="Arial"/>
                <w:sz w:val="22"/>
                <w:szCs w:val="22"/>
              </w:rPr>
              <w:t>professionals, the public, and other relevant groups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, via publication, reporting in results databases, or other data sharing arrangements), including any publication restrictions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</w:tr>
      <w:tr w:rsidR="00613E9B">
        <w:trPr>
          <w:trHeight w:val="31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31b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 xml:space="preserve">Authorship eligibility guidelines and any intended use of </w:t>
            </w:r>
            <w:r>
              <w:rPr>
                <w:rFonts w:ascii="Arial" w:hAnsi="Arial"/>
                <w:sz w:val="22"/>
                <w:szCs w:val="22"/>
              </w:rPr>
              <w:t>professional writers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</w:tr>
      <w:tr w:rsidR="00613E9B">
        <w:trPr>
          <w:trHeight w:val="31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31c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Plans, if any, for granting public access to the full protocol, participant-level dataset, and statistical code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</w:tr>
      <w:tr w:rsidR="00613E9B">
        <w:trPr>
          <w:trHeight w:val="31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pPr>
              <w:pStyle w:val="TableSubHead"/>
              <w:spacing w:before="180"/>
            </w:pPr>
            <w:r>
              <w:rPr>
                <w:rFonts w:ascii="Arial" w:hAnsi="Arial"/>
                <w:sz w:val="22"/>
                <w:szCs w:val="22"/>
              </w:rPr>
              <w:t>Appendices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613E9B"/>
        </w:tc>
      </w:tr>
      <w:tr w:rsidR="00613E9B">
        <w:trPr>
          <w:trHeight w:val="607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Informed consent materials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 xml:space="preserve">Model consent form and other related documentation given to </w:t>
            </w:r>
            <w:r>
              <w:rPr>
                <w:rFonts w:ascii="Arial" w:hAnsi="Arial"/>
                <w:sz w:val="22"/>
                <w:szCs w:val="22"/>
              </w:rPr>
              <w:t xml:space="preserve">participants and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authorised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surrogates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</w:tr>
      <w:tr w:rsidR="00613E9B">
        <w:trPr>
          <w:trHeight w:val="602"/>
        </w:trPr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Biological specimens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33</w:t>
            </w:r>
          </w:p>
        </w:tc>
        <w:tc>
          <w:tcPr>
            <w:tcW w:w="105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pPr>
              <w:spacing w:after="60"/>
            </w:pPr>
            <w:r>
              <w:rPr>
                <w:rFonts w:ascii="Arial" w:hAnsi="Arial"/>
                <w:sz w:val="22"/>
                <w:szCs w:val="22"/>
              </w:rPr>
              <w:t xml:space="preserve">Plans for collection, laboratory evaluation, and storage of biological specimens for genetic or molecular analysis in the current trial and for future use in ancillary studies, if </w:t>
            </w:r>
            <w:r>
              <w:rPr>
                <w:rFonts w:ascii="Arial" w:hAnsi="Arial"/>
                <w:sz w:val="22"/>
                <w:szCs w:val="22"/>
              </w:rPr>
              <w:t>applicable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E9B" w:rsidRDefault="009C6A5F">
            <w:r>
              <w:rPr>
                <w:rFonts w:ascii="Arial" w:hAnsi="Arial"/>
                <w:sz w:val="22"/>
                <w:szCs w:val="22"/>
              </w:rPr>
              <w:t>N/A</w:t>
            </w:r>
          </w:p>
        </w:tc>
      </w:tr>
    </w:tbl>
    <w:p w:rsidR="00613E9B" w:rsidRDefault="00613E9B">
      <w:pPr>
        <w:pStyle w:val="TableTitle"/>
        <w:widowControl w:val="0"/>
        <w:spacing w:after="40" w:line="240" w:lineRule="auto"/>
        <w:ind w:left="108" w:hanging="108"/>
        <w:rPr>
          <w:rFonts w:ascii="Arial" w:eastAsia="Arial" w:hAnsi="Arial" w:cs="Arial"/>
          <w:sz w:val="22"/>
          <w:szCs w:val="22"/>
        </w:rPr>
      </w:pPr>
    </w:p>
    <w:p w:rsidR="00613E9B" w:rsidRDefault="00613E9B">
      <w:pPr>
        <w:pStyle w:val="TableTitle"/>
        <w:widowControl w:val="0"/>
        <w:spacing w:after="40" w:line="240" w:lineRule="auto"/>
        <w:rPr>
          <w:rFonts w:ascii="Arial" w:eastAsia="Arial" w:hAnsi="Arial" w:cs="Arial"/>
          <w:sz w:val="22"/>
          <w:szCs w:val="22"/>
        </w:rPr>
      </w:pPr>
    </w:p>
    <w:p w:rsidR="00613E9B" w:rsidRDefault="009C6A5F">
      <w:pPr>
        <w:spacing w:before="60"/>
      </w:pPr>
      <w:r>
        <w:rPr>
          <w:rFonts w:ascii="Arial" w:hAnsi="Arial"/>
          <w:sz w:val="22"/>
          <w:szCs w:val="22"/>
        </w:rPr>
        <w:lastRenderedPageBreak/>
        <w:t xml:space="preserve">*It is strongly recommended that this checklist be read in conjunction with the SPIRIT 2013 Explanation &amp; Elaboration for important clarification on the items. Amendments to the protocol should be tracked and dated. The SPIRIT checklist </w:t>
      </w:r>
      <w:r>
        <w:rPr>
          <w:rFonts w:ascii="Arial" w:hAnsi="Arial"/>
          <w:sz w:val="22"/>
          <w:szCs w:val="22"/>
        </w:rPr>
        <w:t>is copyrighted by the SPIRIT Group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 xml:space="preserve">under the Creative Commons </w:t>
      </w:r>
      <w:r>
        <w:rPr>
          <w:rFonts w:ascii="Arial" w:hAnsi="Arial"/>
          <w:sz w:val="22"/>
          <w:szCs w:val="22"/>
        </w:rPr>
        <w:t>“</w:t>
      </w:r>
      <w:hyperlink r:id="rId7" w:history="1">
        <w:r>
          <w:rPr>
            <w:rStyle w:val="Hyperlink0"/>
          </w:rPr>
          <w:t>Attribution-</w:t>
        </w:r>
        <w:proofErr w:type="spellStart"/>
        <w:r>
          <w:rPr>
            <w:rStyle w:val="Hyperlink0"/>
          </w:rPr>
          <w:t>NonCommercial</w:t>
        </w:r>
        <w:proofErr w:type="spellEnd"/>
        <w:r>
          <w:rPr>
            <w:rStyle w:val="Hyperlink0"/>
          </w:rPr>
          <w:t>-</w:t>
        </w:r>
        <w:proofErr w:type="spellStart"/>
        <w:r>
          <w:rPr>
            <w:rStyle w:val="Hyperlink0"/>
          </w:rPr>
          <w:t>NoDerivs</w:t>
        </w:r>
        <w:proofErr w:type="spellEnd"/>
        <w:r>
          <w:rPr>
            <w:rStyle w:val="Hyperlink0"/>
          </w:rPr>
          <w:t xml:space="preserve"> 3.0 </w:t>
        </w:r>
        <w:proofErr w:type="spellStart"/>
        <w:r>
          <w:rPr>
            <w:rStyle w:val="Hyperlink0"/>
          </w:rPr>
          <w:t>Unported</w:t>
        </w:r>
        <w:proofErr w:type="spellEnd"/>
      </w:hyperlink>
      <w:r>
        <w:rPr>
          <w:rStyle w:val="None"/>
          <w:rFonts w:ascii="Arial" w:hAnsi="Arial"/>
          <w:sz w:val="22"/>
          <w:szCs w:val="22"/>
        </w:rPr>
        <w:t xml:space="preserve">” </w:t>
      </w:r>
      <w:r>
        <w:rPr>
          <w:rStyle w:val="None"/>
          <w:rFonts w:ascii="Arial" w:hAnsi="Arial"/>
          <w:sz w:val="22"/>
          <w:szCs w:val="22"/>
        </w:rPr>
        <w:t>license.</w:t>
      </w:r>
    </w:p>
    <w:sectPr w:rsidR="00613E9B">
      <w:headerReference w:type="default" r:id="rId8"/>
      <w:footerReference w:type="default" r:id="rId9"/>
      <w:pgSz w:w="16840" w:h="11900" w:orient="landscape"/>
      <w:pgMar w:top="720" w:right="720" w:bottom="720" w:left="720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A5F" w:rsidRDefault="009C6A5F">
      <w:pPr>
        <w:spacing w:line="240" w:lineRule="auto"/>
      </w:pPr>
      <w:r>
        <w:separator/>
      </w:r>
    </w:p>
  </w:endnote>
  <w:endnote w:type="continuationSeparator" w:id="0">
    <w:p w:rsidR="009C6A5F" w:rsidRDefault="009C6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E9B" w:rsidRDefault="009C6A5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A5F" w:rsidRDefault="009C6A5F">
      <w:pPr>
        <w:spacing w:line="240" w:lineRule="auto"/>
      </w:pPr>
      <w:r>
        <w:separator/>
      </w:r>
    </w:p>
  </w:footnote>
  <w:footnote w:type="continuationSeparator" w:id="0">
    <w:p w:rsidR="009C6A5F" w:rsidRDefault="009C6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E9B" w:rsidRDefault="00613E9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E9B"/>
    <w:rsid w:val="00613E9B"/>
    <w:rsid w:val="00834370"/>
    <w:rsid w:val="009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CEAB"/>
  <w15:docId w15:val="{611533BB-CB6C-450A-91B7-C3F6C83C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line="300" w:lineRule="exact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 Unicode MS"/>
      <w:color w:val="000000"/>
      <w:u w:color="000000"/>
    </w:rPr>
  </w:style>
  <w:style w:type="paragraph" w:customStyle="1" w:styleId="TableTitle">
    <w:name w:val="TableTitle"/>
    <w:pPr>
      <w:spacing w:line="300" w:lineRule="exact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Header">
    <w:name w:val="TableHeader"/>
    <w:pPr>
      <w:spacing w:before="120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TableSubHead">
    <w:name w:val="TableSubHead"/>
    <w:pPr>
      <w:spacing w:before="120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reativecommons.org/licenses/by-nc-nd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Fulton, Rachel</cp:lastModifiedBy>
  <cp:revision>2</cp:revision>
  <dcterms:created xsi:type="dcterms:W3CDTF">2018-06-19T21:01:00Z</dcterms:created>
  <dcterms:modified xsi:type="dcterms:W3CDTF">2018-06-19T21:01:00Z</dcterms:modified>
</cp:coreProperties>
</file>