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98C" w:rsidRPr="005050AC" w:rsidRDefault="0031498C" w:rsidP="005050AC">
      <w:pPr>
        <w:pStyle w:val="Heading1"/>
        <w:spacing w:line="240" w:lineRule="auto"/>
        <w:rPr>
          <w:rFonts w:ascii="Times New Roman" w:hAnsi="Times New Roman" w:cs="Times New Roman"/>
          <w:b/>
          <w:color w:val="auto"/>
          <w:sz w:val="24"/>
          <w:szCs w:val="24"/>
        </w:rPr>
      </w:pPr>
      <w:r w:rsidRPr="005050AC">
        <w:rPr>
          <w:rFonts w:ascii="Times New Roman" w:hAnsi="Times New Roman" w:cs="Times New Roman"/>
          <w:b/>
          <w:color w:val="auto"/>
          <w:sz w:val="24"/>
          <w:szCs w:val="24"/>
        </w:rPr>
        <w:t>Supplementary Methods</w:t>
      </w:r>
    </w:p>
    <w:p w:rsidR="0031498C" w:rsidRPr="005050AC" w:rsidRDefault="0031498C" w:rsidP="005050AC">
      <w:pPr>
        <w:pStyle w:val="Heading2"/>
        <w:spacing w:line="240" w:lineRule="auto"/>
        <w:rPr>
          <w:rFonts w:ascii="Times New Roman" w:hAnsi="Times New Roman" w:cs="Times New Roman"/>
          <w:b/>
          <w:color w:val="auto"/>
          <w:sz w:val="20"/>
          <w:szCs w:val="20"/>
        </w:rPr>
      </w:pPr>
      <w:r w:rsidRPr="005050AC">
        <w:rPr>
          <w:rFonts w:ascii="Times New Roman" w:hAnsi="Times New Roman" w:cs="Times New Roman"/>
          <w:b/>
          <w:color w:val="auto"/>
          <w:sz w:val="20"/>
          <w:szCs w:val="20"/>
        </w:rPr>
        <w:t>Genotype data Quality Control</w:t>
      </w:r>
      <w:r w:rsidR="004D4D99" w:rsidRPr="005050AC">
        <w:rPr>
          <w:rFonts w:ascii="Times New Roman" w:hAnsi="Times New Roman" w:cs="Times New Roman"/>
          <w:b/>
          <w:color w:val="auto"/>
          <w:sz w:val="20"/>
          <w:szCs w:val="20"/>
        </w:rPr>
        <w:t xml:space="preserve"> and MHC Region Imputation</w:t>
      </w:r>
    </w:p>
    <w:p w:rsidR="001C3F4F" w:rsidRPr="005050AC" w:rsidRDefault="005A13D7" w:rsidP="005050AC">
      <w:pPr>
        <w:spacing w:line="240" w:lineRule="auto"/>
        <w:rPr>
          <w:rFonts w:ascii="Times New Roman" w:hAnsi="Times New Roman" w:cs="Times New Roman"/>
          <w:sz w:val="20"/>
          <w:szCs w:val="20"/>
        </w:rPr>
      </w:pPr>
      <w:r w:rsidRPr="005050AC">
        <w:rPr>
          <w:rFonts w:ascii="Times New Roman" w:hAnsi="Times New Roman" w:cs="Times New Roman"/>
          <w:sz w:val="20"/>
          <w:szCs w:val="20"/>
        </w:rPr>
        <w:t xml:space="preserve">To minimize population admixture, only self-declared non-Latino Caucasians </w:t>
      </w:r>
      <w:r w:rsidR="0091282E" w:rsidRPr="005050AC">
        <w:rPr>
          <w:rFonts w:ascii="Times New Roman" w:hAnsi="Times New Roman" w:cs="Times New Roman"/>
          <w:sz w:val="20"/>
          <w:szCs w:val="20"/>
        </w:rPr>
        <w:t>from the Religious O</w:t>
      </w:r>
      <w:r w:rsidR="004F75B4" w:rsidRPr="005050AC">
        <w:rPr>
          <w:rFonts w:ascii="Times New Roman" w:hAnsi="Times New Roman" w:cs="Times New Roman"/>
          <w:sz w:val="20"/>
          <w:szCs w:val="20"/>
        </w:rPr>
        <w:t xml:space="preserve">rders Study (ROS) and Memory and Aging Project (MAP) </w:t>
      </w:r>
      <w:r w:rsidRPr="005050AC">
        <w:rPr>
          <w:rFonts w:ascii="Times New Roman" w:hAnsi="Times New Roman" w:cs="Times New Roman"/>
          <w:sz w:val="20"/>
          <w:szCs w:val="20"/>
        </w:rPr>
        <w:t>were genotyped</w:t>
      </w:r>
      <w:r w:rsidR="0031498C" w:rsidRPr="005050AC">
        <w:rPr>
          <w:rFonts w:ascii="Times New Roman" w:hAnsi="Times New Roman" w:cs="Times New Roman"/>
          <w:sz w:val="20"/>
          <w:szCs w:val="20"/>
        </w:rPr>
        <w:t>.</w:t>
      </w:r>
      <w:r w:rsidR="00884FF4" w:rsidRPr="005050AC">
        <w:rPr>
          <w:rFonts w:ascii="Times New Roman" w:hAnsi="Times New Roman" w:cs="Times New Roman"/>
          <w:sz w:val="20"/>
          <w:szCs w:val="20"/>
        </w:rPr>
        <w:t xml:space="preserve"> After quality control</w:t>
      </w:r>
      <w:r w:rsidR="00DA29FE" w:rsidRPr="005050AC">
        <w:rPr>
          <w:rFonts w:ascii="Times New Roman" w:hAnsi="Times New Roman" w:cs="Times New Roman"/>
          <w:sz w:val="20"/>
          <w:szCs w:val="20"/>
        </w:rPr>
        <w:t xml:space="preserve"> of the initial genotype dataset</w:t>
      </w:r>
      <w:r w:rsidR="00884FF4" w:rsidRPr="005050AC">
        <w:rPr>
          <w:rFonts w:ascii="Times New Roman" w:hAnsi="Times New Roman" w:cs="Times New Roman"/>
          <w:sz w:val="20"/>
          <w:szCs w:val="20"/>
        </w:rPr>
        <w:t>, 1 709 individuals and 750 173 autosomal variants remained. The SNP2HLA pipeline</w:t>
      </w:r>
      <w:r w:rsidR="004112C5" w:rsidRPr="005050AC">
        <w:rPr>
          <w:rFonts w:ascii="Times New Roman" w:hAnsi="Times New Roman" w:cs="Times New Roman"/>
          <w:sz w:val="20"/>
          <w:szCs w:val="20"/>
        </w:rPr>
        <w:t xml:space="preserve"> </w:t>
      </w:r>
      <w:r w:rsidR="00884FF4" w:rsidRPr="005050AC">
        <w:rPr>
          <w:rFonts w:ascii="Times New Roman" w:hAnsi="Times New Roman" w:cs="Times New Roman"/>
          <w:sz w:val="20"/>
          <w:szCs w:val="20"/>
        </w:rPr>
        <w:fldChar w:fldCharType="begin"/>
      </w:r>
      <w:r w:rsidR="00C54310">
        <w:rPr>
          <w:rFonts w:ascii="Times New Roman" w:hAnsi="Times New Roman" w:cs="Times New Roman"/>
          <w:sz w:val="20"/>
          <w:szCs w:val="20"/>
        </w:rPr>
        <w:instrText xml:space="preserve"> ADDIN ZOTERO_ITEM CSL_CITATION {"citationID":"ahhm6g5ppe","properties":{"formattedCitation":"[1]","plainCitation":"[1]"},"citationItems":[{"id":4312,"uris":["http://zotero.org/users/687843/items/TAETTMBI"],"uri":["http://zotero.org/users/687843/items/TAETTMBI"],"itemData":{"id":4312,"type":"article-journal","title":"Imputing Amino Acid Polymorphisms in Human Leukocyte Antigens","container-title":"PLOS ONE","page":"e64683","volume":"8","issue":"6","source":"PLoS Journals","abstract":"DNA sequence variation within human leukocyte antigen (HLA) genes mediate susceptibility to a wide range of human diseases. The complex genetic structure of the major histocompatibility complex (MHC) makes it difficult, however, to collect genotyping data in large cohorts. Long-range linkage disequilibrium between HLA loci and SNP markers across the major histocompatibility complex (MHC) region offers an alternative approach through imputation to interrogate HLA variation in existing GWAS data sets. Here we describe a computational strategy, SNP2HLA, to impute classical alleles and amino acid polymorphisms at class I (HLA-A, -B, -C) and class II (-DPA1, -DPB1, -DQA1, -DQB1, and -DRB1) loci. To characterize performance of SNP2HLA, we constructed two European ancestry reference panels, one based on data collected in HapMap-CEPH pedigrees (90 individuals) and another based on data collected by the Type 1 Diabetes Genetics Consortium (T1DGC, 5,225 individuals). We imputed HLA alleles in an independent data set from the British 1958 Birth Cohort (N = 918) with gold standard four-digit HLA types and SNPs genotyped using the Affymetrix GeneChip 500 K and Illumina Immunochip microarrays. We demonstrate that the sample size of the reference panel, rather than SNP density of the genotyping platform, is critical to achieve high imputation accuracy. Using the larger T1DGC reference panel, the average accuracy at four-digit resolution is 94.7% using the low-density Affymetrix GeneChip 500 K, and 96.7% using the high-density Illumina Immunochip. For amino acid polymorphisms within HLA genes, we achieve 98.6% and 99.3% accuracy using the Affymetrix GeneChip 500 K and Illumina Immunochip, respectively. Finally, we demonstrate how imputation and association testing at amino acid resolution can facilitate fine-mapping of primary MHC association signals, giving a specific example from type 1 diabetes.","DOI":"10.1371/journal.pone.0064683","ISSN":"1932-6203","journalAbbreviation":"PLOS ONE","author":[{"family":"Jia","given":"Xiaoming"},{"family":"Han","given":"Buhm"},{"family":"Onengut-Gumuscu","given":"Suna"},{"family":"Chen","given":"Wei-Min"},{"family":"Concannon","given":"Patrick J."},{"family":"Rich","given":"Stephen S."},{"family":"Raychaudhuri","given":"Soumya"},{"family":"Bakker","given":"Paul I. W.","dropping-particle":"de"}],"issued":{"date-parts":[["2013",6,6]]}}}],"schema":"https://github.com/citation-style-language/schema/raw/master/csl-citation.json"} </w:instrText>
      </w:r>
      <w:r w:rsidR="00884FF4" w:rsidRPr="005050AC">
        <w:rPr>
          <w:rFonts w:ascii="Times New Roman" w:hAnsi="Times New Roman" w:cs="Times New Roman"/>
          <w:sz w:val="20"/>
          <w:szCs w:val="20"/>
        </w:rPr>
        <w:fldChar w:fldCharType="separate"/>
      </w:r>
      <w:r w:rsidR="00C54310" w:rsidRPr="00C54310">
        <w:rPr>
          <w:rFonts w:ascii="Times New Roman" w:hAnsi="Times New Roman" w:cs="Times New Roman"/>
          <w:sz w:val="20"/>
        </w:rPr>
        <w:t>[1]</w:t>
      </w:r>
      <w:r w:rsidR="00884FF4" w:rsidRPr="005050AC">
        <w:rPr>
          <w:rFonts w:ascii="Times New Roman" w:hAnsi="Times New Roman" w:cs="Times New Roman"/>
          <w:sz w:val="20"/>
          <w:szCs w:val="20"/>
        </w:rPr>
        <w:fldChar w:fldCharType="end"/>
      </w:r>
      <w:r w:rsidR="00884FF4" w:rsidRPr="005050AC">
        <w:rPr>
          <w:rFonts w:ascii="Times New Roman" w:hAnsi="Times New Roman" w:cs="Times New Roman"/>
          <w:sz w:val="20"/>
          <w:szCs w:val="20"/>
        </w:rPr>
        <w:t xml:space="preserve"> uses BEAGLE software and the Type 1 Diabetes Genetics Consortium</w:t>
      </w:r>
      <w:r w:rsidR="004112C5" w:rsidRPr="005050AC">
        <w:rPr>
          <w:rFonts w:ascii="Times New Roman" w:hAnsi="Times New Roman" w:cs="Times New Roman"/>
          <w:sz w:val="20"/>
          <w:szCs w:val="20"/>
        </w:rPr>
        <w:t xml:space="preserve"> </w:t>
      </w:r>
      <w:r w:rsidR="00884FF4" w:rsidRPr="005050AC">
        <w:rPr>
          <w:rFonts w:ascii="Times New Roman" w:hAnsi="Times New Roman" w:cs="Times New Roman"/>
          <w:sz w:val="20"/>
          <w:szCs w:val="20"/>
        </w:rPr>
        <w:fldChar w:fldCharType="begin"/>
      </w:r>
      <w:r w:rsidR="00C54310">
        <w:rPr>
          <w:rFonts w:ascii="Times New Roman" w:hAnsi="Times New Roman" w:cs="Times New Roman"/>
          <w:sz w:val="20"/>
          <w:szCs w:val="20"/>
        </w:rPr>
        <w:instrText xml:space="preserve"> ADDIN ZOTERO_ITEM CSL_CITATION {"citationID":"5364jd4km","properties":{"formattedCitation":"[2]","plainCitation":"[2]"},"citationItems":[{"id":4388,"uris":["http://zotero.org/users/687843/items/DZ7WS6U2"],"uri":["http://zotero.org/users/687843/items/DZ7WS6U2"],"itemData":{"id":4388,"type":"article-journal","title":"The Type 1 Diabetes Genetics Consortium","container-title":"Annals of the New York Academy of Sciences","page":"1-8","volume":"1079","source":"PubMed","abstract":"The Type 1 Diabetes Genetics Consortium (T1DGC) is an international, multicenter program organized to promote research to identify genes and their alleles that determine an individual's risk for type 1 diabetes (T1D). The primary goal of the T1DGC is to establish resources and data that can be used by, and that is fully accessible to, the research community in the study of T1D. All the information on T1DGC can be accessed at the following web address: http://www.t1dgc.org. A resource base of well-characterized families is being assembled that will facilitate the localization and characterization of T1D susceptibility genes. From these families, the T1DGC is establishing banks of DNA, serum, plasma, and cell lines, as well as useful databases. The T1DGC also sponsors training opportunities (bioinformatics) and technology transfer (HLA genotyping).","DOI":"10.1196/annals.1375.001","ISSN":"0077-8923","note":"PMID: 17130525","journalAbbreviation":"Ann. N. Y. Acad. Sci.","language":"eng","author":[{"family":"Rich","given":"Stephen S."},{"family":"Concannon","given":"Patrick"},{"family":"Erlich","given":"Henry"},{"family":"Julier","given":"Cecile"},{"family":"Morahan","given":"Grant"},{"family":"Nerup","given":"Jorn"},{"family":"Pociot","given":"Flemming"},{"family":"Todd","given":"John A."}],"issued":{"date-parts":[["2006",10]]}}}],"schema":"https://github.com/citation-style-language/schema/raw/master/csl-citation.json"} </w:instrText>
      </w:r>
      <w:r w:rsidR="00884FF4" w:rsidRPr="005050AC">
        <w:rPr>
          <w:rFonts w:ascii="Times New Roman" w:hAnsi="Times New Roman" w:cs="Times New Roman"/>
          <w:sz w:val="20"/>
          <w:szCs w:val="20"/>
        </w:rPr>
        <w:fldChar w:fldCharType="separate"/>
      </w:r>
      <w:r w:rsidR="00C54310" w:rsidRPr="00C54310">
        <w:rPr>
          <w:rFonts w:ascii="Times New Roman" w:hAnsi="Times New Roman" w:cs="Times New Roman"/>
          <w:sz w:val="20"/>
        </w:rPr>
        <w:t>[2]</w:t>
      </w:r>
      <w:r w:rsidR="00884FF4" w:rsidRPr="005050AC">
        <w:rPr>
          <w:rFonts w:ascii="Times New Roman" w:hAnsi="Times New Roman" w:cs="Times New Roman"/>
          <w:sz w:val="20"/>
          <w:szCs w:val="20"/>
        </w:rPr>
        <w:fldChar w:fldCharType="end"/>
      </w:r>
      <w:r w:rsidR="00884FF4" w:rsidRPr="005050AC">
        <w:rPr>
          <w:rFonts w:ascii="Times New Roman" w:hAnsi="Times New Roman" w:cs="Times New Roman"/>
          <w:sz w:val="20"/>
          <w:szCs w:val="20"/>
        </w:rPr>
        <w:t xml:space="preserve"> (T1DGC) reference panel (</w:t>
      </w:r>
      <w:proofErr w:type="spellStart"/>
      <w:r w:rsidR="00884FF4" w:rsidRPr="005050AC">
        <w:rPr>
          <w:rFonts w:ascii="Times New Roman" w:hAnsi="Times New Roman" w:cs="Times New Roman"/>
          <w:sz w:val="20"/>
          <w:szCs w:val="20"/>
        </w:rPr>
        <w:t>n</w:t>
      </w:r>
      <w:r w:rsidR="00884FF4" w:rsidRPr="005050AC">
        <w:rPr>
          <w:rFonts w:ascii="Times New Roman" w:hAnsi="Times New Roman" w:cs="Times New Roman"/>
          <w:sz w:val="20"/>
          <w:szCs w:val="20"/>
          <w:vertAlign w:val="subscript"/>
        </w:rPr>
        <w:t>subjects</w:t>
      </w:r>
      <w:proofErr w:type="spellEnd"/>
      <w:r w:rsidR="00884FF4" w:rsidRPr="005050AC">
        <w:rPr>
          <w:rFonts w:ascii="Times New Roman" w:hAnsi="Times New Roman" w:cs="Times New Roman"/>
          <w:sz w:val="20"/>
          <w:szCs w:val="20"/>
        </w:rPr>
        <w:t xml:space="preserve">=5 225, </w:t>
      </w:r>
      <w:proofErr w:type="spellStart"/>
      <w:r w:rsidR="00884FF4" w:rsidRPr="005050AC">
        <w:rPr>
          <w:rFonts w:ascii="Times New Roman" w:hAnsi="Times New Roman" w:cs="Times New Roman"/>
          <w:sz w:val="20"/>
          <w:szCs w:val="20"/>
        </w:rPr>
        <w:t>n</w:t>
      </w:r>
      <w:r w:rsidR="00884FF4" w:rsidRPr="005050AC">
        <w:rPr>
          <w:rFonts w:ascii="Times New Roman" w:hAnsi="Times New Roman" w:cs="Times New Roman"/>
          <w:sz w:val="20"/>
          <w:szCs w:val="20"/>
          <w:vertAlign w:val="subscript"/>
        </w:rPr>
        <w:t>variants</w:t>
      </w:r>
      <w:proofErr w:type="spellEnd"/>
      <w:r w:rsidR="00884FF4" w:rsidRPr="005050AC">
        <w:rPr>
          <w:rFonts w:ascii="Times New Roman" w:hAnsi="Times New Roman" w:cs="Times New Roman"/>
          <w:sz w:val="20"/>
          <w:szCs w:val="20"/>
        </w:rPr>
        <w:t xml:space="preserve">=8 961) to impute genetic variation in the </w:t>
      </w:r>
      <w:r w:rsidR="004F75B4" w:rsidRPr="005050AC">
        <w:rPr>
          <w:rFonts w:ascii="Times New Roman" w:hAnsi="Times New Roman" w:cs="Times New Roman"/>
          <w:sz w:val="20"/>
          <w:szCs w:val="20"/>
        </w:rPr>
        <w:t>major histocompatibility complex (</w:t>
      </w:r>
      <w:r w:rsidR="00884FF4" w:rsidRPr="005050AC">
        <w:rPr>
          <w:rFonts w:ascii="Times New Roman" w:hAnsi="Times New Roman" w:cs="Times New Roman"/>
          <w:sz w:val="20"/>
          <w:szCs w:val="20"/>
        </w:rPr>
        <w:t>MHC</w:t>
      </w:r>
      <w:r w:rsidR="004F75B4" w:rsidRPr="005050AC">
        <w:rPr>
          <w:rFonts w:ascii="Times New Roman" w:hAnsi="Times New Roman" w:cs="Times New Roman"/>
          <w:sz w:val="20"/>
          <w:szCs w:val="20"/>
        </w:rPr>
        <w:t>)</w:t>
      </w:r>
      <w:r w:rsidR="00884FF4" w:rsidRPr="005050AC">
        <w:rPr>
          <w:rFonts w:ascii="Times New Roman" w:hAnsi="Times New Roman" w:cs="Times New Roman"/>
          <w:sz w:val="20"/>
          <w:szCs w:val="20"/>
        </w:rPr>
        <w:t xml:space="preserve"> region (range from chr6:29 494 897- 33 160 425 [hg19 coordinates]) corresponding to SNPs, amino acid substitutions, insertion/deletions, and classical </w:t>
      </w:r>
      <w:r w:rsidR="004F75B4" w:rsidRPr="005050AC">
        <w:rPr>
          <w:rFonts w:ascii="Times New Roman" w:hAnsi="Times New Roman" w:cs="Times New Roman"/>
          <w:sz w:val="20"/>
          <w:szCs w:val="20"/>
        </w:rPr>
        <w:t>human leukocyte antigen (</w:t>
      </w:r>
      <w:r w:rsidR="00884FF4" w:rsidRPr="005050AC">
        <w:rPr>
          <w:rFonts w:ascii="Times New Roman" w:hAnsi="Times New Roman" w:cs="Times New Roman"/>
          <w:sz w:val="20"/>
          <w:szCs w:val="20"/>
        </w:rPr>
        <w:t>HLA</w:t>
      </w:r>
      <w:r w:rsidR="004F75B4" w:rsidRPr="005050AC">
        <w:rPr>
          <w:rFonts w:ascii="Times New Roman" w:hAnsi="Times New Roman" w:cs="Times New Roman"/>
          <w:sz w:val="20"/>
          <w:szCs w:val="20"/>
        </w:rPr>
        <w:t>)</w:t>
      </w:r>
      <w:r w:rsidR="00884FF4" w:rsidRPr="005050AC">
        <w:rPr>
          <w:rFonts w:ascii="Times New Roman" w:hAnsi="Times New Roman" w:cs="Times New Roman"/>
          <w:sz w:val="20"/>
          <w:szCs w:val="20"/>
        </w:rPr>
        <w:t xml:space="preserve"> alleles at class I and class II loci.</w:t>
      </w:r>
      <w:r w:rsidR="00837784" w:rsidRPr="005050AC">
        <w:rPr>
          <w:rFonts w:ascii="Times New Roman" w:hAnsi="Times New Roman" w:cs="Times New Roman"/>
          <w:sz w:val="20"/>
          <w:szCs w:val="20"/>
        </w:rPr>
        <w:t xml:space="preserve"> After whole genome and MHC-specific imputation, datasets of best-call genotype outputs from both pipelines were me</w:t>
      </w:r>
      <w:r w:rsidR="003A7C0F" w:rsidRPr="005050AC">
        <w:rPr>
          <w:rFonts w:ascii="Times New Roman" w:hAnsi="Times New Roman" w:cs="Times New Roman"/>
          <w:sz w:val="20"/>
          <w:szCs w:val="20"/>
        </w:rPr>
        <w:t>rged to allow for genome-wide genetic risk score (GRS)</w:t>
      </w:r>
      <w:r w:rsidR="00837784" w:rsidRPr="005050AC">
        <w:rPr>
          <w:rFonts w:ascii="Times New Roman" w:hAnsi="Times New Roman" w:cs="Times New Roman"/>
          <w:sz w:val="20"/>
          <w:szCs w:val="20"/>
        </w:rPr>
        <w:t xml:space="preserve"> calculations.</w:t>
      </w:r>
      <w:r w:rsidR="002B1816">
        <w:rPr>
          <w:rFonts w:ascii="Times New Roman" w:hAnsi="Times New Roman" w:cs="Times New Roman"/>
          <w:sz w:val="20"/>
          <w:szCs w:val="20"/>
        </w:rPr>
        <w:t xml:space="preserve"> </w:t>
      </w:r>
      <w:r w:rsidR="002B1816" w:rsidRPr="002B1816">
        <w:rPr>
          <w:rFonts w:ascii="Times New Roman" w:hAnsi="Times New Roman" w:cs="Times New Roman"/>
          <w:sz w:val="20"/>
          <w:szCs w:val="20"/>
        </w:rPr>
        <w:t>To provide measures of population stratification, EIGENSTRAT was used to generate principal components from a genotype covariance matrix</w:t>
      </w:r>
      <w:r w:rsidR="002B1816" w:rsidRPr="002B1816">
        <w:rPr>
          <w:rFonts w:ascii="Times New Roman" w:hAnsi="Times New Roman" w:cs="Times New Roman"/>
          <w:sz w:val="20"/>
          <w:szCs w:val="20"/>
        </w:rPr>
        <w:fldChar w:fldCharType="begin"/>
      </w:r>
      <w:r w:rsidR="00C54310">
        <w:rPr>
          <w:rFonts w:ascii="Times New Roman" w:hAnsi="Times New Roman" w:cs="Times New Roman"/>
          <w:sz w:val="20"/>
          <w:szCs w:val="20"/>
        </w:rPr>
        <w:instrText xml:space="preserve"> ADDIN ZOTERO_ITEM CSL_CITATION {"citationID":"283fcvb3lq","properties":{"formattedCitation":"[3]","plainCitation":"[3]"},"citationItems":[{"id":415,"uris":["http://zotero.org/users/687843/items/ETW37F37"],"uri":["http://zotero.org/users/687843/items/ETW37F37"],"itemData":{"id":415,"type":"article-journal","title":"Principal components analysis corrects for stratification in genome-wide association studies","container-title":"Nature Genetics","page":"904-909","volume":"38","issue":"8","source":"www.nature.com","abstract":"Population stratification—allele frequency differences between cases and controls due to systematic ancestry differences—can cause spurious associations in disease studies. We describe a method that enables explicit detection and correction of population stratification on a genome-wide scale. Our method uses principal components analysis to explicitly model ancestry differences between cases and controls. The resulting correction is specific to a candidate marker's variation in frequency across ancestral populations, minimizing spurious associations while maximizing power to detect true associations. Our simple, efficient approach can easily be applied to disease studies with hundreds of thousands of markers.","DOI":"10.1038/ng1847","ISSN":"1061-4036","journalAbbreviation":"Nat Genet","language":"en","author":[{"family":"Price","given":"Alkes L."},{"family":"Patterson","given":"Nick J."},{"family":"Plenge","given":"Robert M."},{"family":"Weinblatt","given":"Michael E."},{"family":"Shadick","given":"Nancy A."},{"family":"Reich","given":"David"}],"issued":{"date-parts":[["2006",8]]}}}],"schema":"https://github.com/citation-style-language/schema/raw/master/csl-citation.json"} </w:instrText>
      </w:r>
      <w:r w:rsidR="002B1816" w:rsidRPr="002B1816">
        <w:rPr>
          <w:rFonts w:ascii="Times New Roman" w:hAnsi="Times New Roman" w:cs="Times New Roman"/>
          <w:sz w:val="20"/>
          <w:szCs w:val="20"/>
        </w:rPr>
        <w:fldChar w:fldCharType="separate"/>
      </w:r>
      <w:r w:rsidR="00C54310" w:rsidRPr="00C54310">
        <w:rPr>
          <w:rFonts w:ascii="Times New Roman" w:hAnsi="Times New Roman" w:cs="Times New Roman"/>
          <w:sz w:val="20"/>
        </w:rPr>
        <w:t>[3]</w:t>
      </w:r>
      <w:r w:rsidR="002B1816" w:rsidRPr="002B1816">
        <w:rPr>
          <w:rFonts w:ascii="Times New Roman" w:hAnsi="Times New Roman" w:cs="Times New Roman"/>
          <w:sz w:val="20"/>
          <w:szCs w:val="20"/>
        </w:rPr>
        <w:fldChar w:fldCharType="end"/>
      </w:r>
      <w:r w:rsidR="002B1816" w:rsidRPr="002B1816">
        <w:rPr>
          <w:rFonts w:ascii="Times New Roman" w:hAnsi="Times New Roman" w:cs="Times New Roman"/>
          <w:sz w:val="20"/>
          <w:szCs w:val="20"/>
        </w:rPr>
        <w:t>.</w:t>
      </w:r>
    </w:p>
    <w:p w:rsidR="001C3F4F" w:rsidRPr="005050AC" w:rsidRDefault="001C3F4F" w:rsidP="005050AC">
      <w:pPr>
        <w:spacing w:line="240" w:lineRule="auto"/>
        <w:rPr>
          <w:rFonts w:ascii="Times New Roman" w:hAnsi="Times New Roman" w:cs="Times New Roman"/>
          <w:sz w:val="20"/>
          <w:szCs w:val="20"/>
        </w:rPr>
      </w:pPr>
    </w:p>
    <w:p w:rsidR="00397013" w:rsidRPr="005050AC" w:rsidRDefault="00397013" w:rsidP="005050AC">
      <w:pPr>
        <w:pStyle w:val="Heading2"/>
        <w:spacing w:line="240" w:lineRule="auto"/>
        <w:rPr>
          <w:rFonts w:ascii="Times New Roman" w:hAnsi="Times New Roman" w:cs="Times New Roman"/>
          <w:b/>
          <w:color w:val="auto"/>
          <w:sz w:val="20"/>
          <w:szCs w:val="20"/>
        </w:rPr>
      </w:pPr>
      <w:r w:rsidRPr="005050AC">
        <w:rPr>
          <w:rFonts w:ascii="Times New Roman" w:hAnsi="Times New Roman" w:cs="Times New Roman"/>
          <w:b/>
          <w:color w:val="auto"/>
          <w:sz w:val="20"/>
          <w:szCs w:val="20"/>
        </w:rPr>
        <w:t>Postmortem Microglia Quantification</w:t>
      </w:r>
    </w:p>
    <w:p w:rsidR="00397013" w:rsidRPr="005050AC" w:rsidRDefault="00397013" w:rsidP="005050AC">
      <w:pPr>
        <w:spacing w:line="240" w:lineRule="auto"/>
        <w:rPr>
          <w:rFonts w:ascii="Times New Roman" w:hAnsi="Times New Roman" w:cs="Times New Roman"/>
          <w:sz w:val="20"/>
          <w:szCs w:val="20"/>
        </w:rPr>
      </w:pPr>
      <w:r w:rsidRPr="005050AC">
        <w:rPr>
          <w:rFonts w:ascii="Times New Roman" w:hAnsi="Times New Roman" w:cs="Times New Roman"/>
          <w:sz w:val="20"/>
          <w:szCs w:val="20"/>
        </w:rPr>
        <w:t xml:space="preserve">Immunohistochemistry for microglia was performed using an Automated Leica Bond </w:t>
      </w:r>
      <w:proofErr w:type="spellStart"/>
      <w:r w:rsidRPr="005050AC">
        <w:rPr>
          <w:rFonts w:ascii="Times New Roman" w:hAnsi="Times New Roman" w:cs="Times New Roman"/>
          <w:sz w:val="20"/>
          <w:szCs w:val="20"/>
        </w:rPr>
        <w:t>immunostainer</w:t>
      </w:r>
      <w:proofErr w:type="spellEnd"/>
      <w:r w:rsidRPr="005050AC">
        <w:rPr>
          <w:rFonts w:ascii="Times New Roman" w:hAnsi="Times New Roman" w:cs="Times New Roman"/>
          <w:sz w:val="20"/>
          <w:szCs w:val="20"/>
        </w:rPr>
        <w:t xml:space="preserve"> (Leica Microsystems Inc., </w:t>
      </w:r>
      <w:proofErr w:type="spellStart"/>
      <w:r w:rsidRPr="005050AC">
        <w:rPr>
          <w:rFonts w:ascii="Times New Roman" w:hAnsi="Times New Roman" w:cs="Times New Roman"/>
          <w:sz w:val="20"/>
          <w:szCs w:val="20"/>
        </w:rPr>
        <w:t>Bannockborn</w:t>
      </w:r>
      <w:proofErr w:type="spellEnd"/>
      <w:r w:rsidRPr="005050AC">
        <w:rPr>
          <w:rFonts w:ascii="Times New Roman" w:hAnsi="Times New Roman" w:cs="Times New Roman"/>
          <w:sz w:val="20"/>
          <w:szCs w:val="20"/>
        </w:rPr>
        <w:t xml:space="preserve"> IL) and anti-human HLA-DP, DQ, DR antibodies (clone CR3/43; </w:t>
      </w:r>
      <w:proofErr w:type="spellStart"/>
      <w:r w:rsidRPr="005050AC">
        <w:rPr>
          <w:rFonts w:ascii="Times New Roman" w:hAnsi="Times New Roman" w:cs="Times New Roman"/>
          <w:sz w:val="20"/>
          <w:szCs w:val="20"/>
        </w:rPr>
        <w:t>DakoCytomation</w:t>
      </w:r>
      <w:proofErr w:type="spellEnd"/>
      <w:r w:rsidRPr="005050AC">
        <w:rPr>
          <w:rFonts w:ascii="Times New Roman" w:hAnsi="Times New Roman" w:cs="Times New Roman"/>
          <w:sz w:val="20"/>
          <w:szCs w:val="20"/>
        </w:rPr>
        <w:t xml:space="preserve">, </w:t>
      </w:r>
      <w:proofErr w:type="spellStart"/>
      <w:r w:rsidRPr="005050AC">
        <w:rPr>
          <w:rFonts w:ascii="Times New Roman" w:hAnsi="Times New Roman" w:cs="Times New Roman"/>
          <w:sz w:val="20"/>
          <w:szCs w:val="20"/>
        </w:rPr>
        <w:t>Carpinteria</w:t>
      </w:r>
      <w:proofErr w:type="spellEnd"/>
      <w:r w:rsidRPr="005050AC">
        <w:rPr>
          <w:rFonts w:ascii="Times New Roman" w:hAnsi="Times New Roman" w:cs="Times New Roman"/>
          <w:sz w:val="20"/>
          <w:szCs w:val="20"/>
        </w:rPr>
        <w:t xml:space="preserve"> CA; 1:100) using standard Bond epitope retrieval and detection. An investigator blinded to the clinical and pathologic data, outlined the cortical or subcortical gray region of interest on each slide using a </w:t>
      </w:r>
      <w:proofErr w:type="spellStart"/>
      <w:r w:rsidRPr="005050AC">
        <w:rPr>
          <w:rFonts w:ascii="Times New Roman" w:hAnsi="Times New Roman" w:cs="Times New Roman"/>
          <w:sz w:val="20"/>
          <w:szCs w:val="20"/>
        </w:rPr>
        <w:t>Microbrightfield</w:t>
      </w:r>
      <w:proofErr w:type="spellEnd"/>
      <w:r w:rsidRPr="005050AC">
        <w:rPr>
          <w:rFonts w:ascii="Times New Roman" w:hAnsi="Times New Roman" w:cs="Times New Roman"/>
          <w:sz w:val="20"/>
          <w:szCs w:val="20"/>
        </w:rPr>
        <w:t xml:space="preserve"> Stereology System. The Stereo Investigator 8.0 software program</w:t>
      </w:r>
      <w:r w:rsidR="003A7C0F" w:rsidRPr="005050AC">
        <w:rPr>
          <w:rFonts w:ascii="Times New Roman" w:hAnsi="Times New Roman" w:cs="Times New Roman"/>
          <w:sz w:val="20"/>
          <w:szCs w:val="20"/>
        </w:rPr>
        <w:t xml:space="preserve"> was used to place a 1000 × 750</w:t>
      </w:r>
      <w:r w:rsidRPr="005050AC">
        <w:rPr>
          <w:rFonts w:ascii="Times New Roman" w:hAnsi="Times New Roman" w:cs="Times New Roman"/>
          <w:sz w:val="20"/>
          <w:szCs w:val="20"/>
        </w:rPr>
        <w:t>μm sampling grid over the region and the program was engaged to sample 4.0%</w:t>
      </w:r>
      <w:r w:rsidR="003A7C0F" w:rsidRPr="005050AC">
        <w:rPr>
          <w:rFonts w:ascii="Times New Roman" w:hAnsi="Times New Roman" w:cs="Times New Roman"/>
          <w:sz w:val="20"/>
          <w:szCs w:val="20"/>
        </w:rPr>
        <w:t xml:space="preserve"> of the region with a 200 × 150</w:t>
      </w:r>
      <w:r w:rsidRPr="005050AC">
        <w:rPr>
          <w:rFonts w:ascii="Times New Roman" w:hAnsi="Times New Roman" w:cs="Times New Roman"/>
          <w:sz w:val="20"/>
          <w:szCs w:val="20"/>
        </w:rPr>
        <w:t xml:space="preserve">μm counting frame at 400x magnification at interval grid intersection points. Using separate tags for stage 1, 2 and 3 microglia, the operator marked the microglia at each intersection point. These counts were then </w:t>
      </w:r>
      <w:proofErr w:type="spellStart"/>
      <w:r w:rsidRPr="005050AC">
        <w:rPr>
          <w:rFonts w:ascii="Times New Roman" w:hAnsi="Times New Roman" w:cs="Times New Roman"/>
          <w:sz w:val="20"/>
          <w:szCs w:val="20"/>
        </w:rPr>
        <w:t>upweighted</w:t>
      </w:r>
      <w:proofErr w:type="spellEnd"/>
      <w:r w:rsidRPr="005050AC">
        <w:rPr>
          <w:rFonts w:ascii="Times New Roman" w:hAnsi="Times New Roman" w:cs="Times New Roman"/>
          <w:sz w:val="20"/>
          <w:szCs w:val="20"/>
        </w:rPr>
        <w:t xml:space="preserve"> by the stereology software to estimate total number of microglia (stage 1, 2 and 3) in the defined area. Different stages of activation from least (stage 1) to most (stage 3) activated can be defined morphologically; when these cells become activated, their long fine processes contract and thicken and the cell body adopts a larger more rounded cellular conformation. Data from the two adjacent blocks of tissue (0.5 to 1.0 cm apart) were averaged to obtain composite average densities of microglia in each region.</w:t>
      </w:r>
      <w:r w:rsidR="00823E08" w:rsidRPr="005050AC">
        <w:rPr>
          <w:rFonts w:ascii="Times New Roman" w:hAnsi="Times New Roman" w:cs="Times New Roman"/>
          <w:sz w:val="20"/>
          <w:szCs w:val="20"/>
        </w:rPr>
        <w:t xml:space="preserve"> </w:t>
      </w:r>
    </w:p>
    <w:p w:rsidR="00823E08" w:rsidRPr="005050AC" w:rsidRDefault="00823E08" w:rsidP="005050AC">
      <w:pPr>
        <w:spacing w:line="240" w:lineRule="auto"/>
        <w:rPr>
          <w:rFonts w:ascii="Times New Roman" w:hAnsi="Times New Roman" w:cs="Times New Roman"/>
          <w:sz w:val="20"/>
          <w:szCs w:val="20"/>
        </w:rPr>
      </w:pPr>
    </w:p>
    <w:p w:rsidR="00823E08" w:rsidRPr="005050AC" w:rsidRDefault="00CE7B70" w:rsidP="005050AC">
      <w:pPr>
        <w:pStyle w:val="Heading2"/>
        <w:spacing w:line="240" w:lineRule="auto"/>
        <w:rPr>
          <w:rFonts w:ascii="Times New Roman" w:hAnsi="Times New Roman" w:cs="Times New Roman"/>
          <w:b/>
          <w:color w:val="auto"/>
          <w:sz w:val="20"/>
          <w:szCs w:val="20"/>
        </w:rPr>
      </w:pPr>
      <w:r w:rsidRPr="005050AC">
        <w:rPr>
          <w:rFonts w:ascii="Times New Roman" w:hAnsi="Times New Roman" w:cs="Times New Roman"/>
          <w:b/>
          <w:color w:val="auto"/>
          <w:sz w:val="20"/>
          <w:szCs w:val="20"/>
        </w:rPr>
        <w:t xml:space="preserve">Postmortem amyloid-β and tau </w:t>
      </w:r>
      <w:r w:rsidR="00823E08" w:rsidRPr="005050AC">
        <w:rPr>
          <w:rFonts w:ascii="Times New Roman" w:hAnsi="Times New Roman" w:cs="Times New Roman"/>
          <w:b/>
          <w:color w:val="auto"/>
          <w:sz w:val="20"/>
          <w:szCs w:val="20"/>
        </w:rPr>
        <w:t>pathology</w:t>
      </w:r>
    </w:p>
    <w:p w:rsidR="00823E08" w:rsidRPr="005050AC" w:rsidRDefault="00823E08" w:rsidP="005050AC">
      <w:pPr>
        <w:spacing w:line="240" w:lineRule="auto"/>
        <w:rPr>
          <w:rFonts w:ascii="Times New Roman" w:hAnsi="Times New Roman" w:cs="Times New Roman"/>
          <w:sz w:val="20"/>
          <w:szCs w:val="20"/>
        </w:rPr>
      </w:pPr>
      <w:r w:rsidRPr="005050AC">
        <w:rPr>
          <w:rFonts w:ascii="Times New Roman" w:hAnsi="Times New Roman" w:cs="Times New Roman"/>
          <w:sz w:val="20"/>
          <w:szCs w:val="20"/>
        </w:rPr>
        <w:t xml:space="preserve">Quantitative scores for Aβ (percent area occupied) and </w:t>
      </w:r>
      <w:r w:rsidR="007E0E5A" w:rsidRPr="005050AC">
        <w:rPr>
          <w:rFonts w:ascii="Times New Roman" w:hAnsi="Times New Roman" w:cs="Times New Roman"/>
          <w:sz w:val="20"/>
          <w:szCs w:val="20"/>
        </w:rPr>
        <w:t xml:space="preserve">paired helical filament tau </w:t>
      </w:r>
      <w:r w:rsidRPr="005050AC">
        <w:rPr>
          <w:rFonts w:ascii="Times New Roman" w:hAnsi="Times New Roman" w:cs="Times New Roman"/>
          <w:sz w:val="20"/>
          <w:szCs w:val="20"/>
        </w:rPr>
        <w:t xml:space="preserve">deposition (density) and </w:t>
      </w:r>
      <w:proofErr w:type="spellStart"/>
      <w:r w:rsidRPr="005050AC">
        <w:rPr>
          <w:rFonts w:ascii="Times New Roman" w:hAnsi="Times New Roman" w:cs="Times New Roman"/>
          <w:sz w:val="20"/>
          <w:szCs w:val="20"/>
        </w:rPr>
        <w:t>neuritic</w:t>
      </w:r>
      <w:proofErr w:type="spellEnd"/>
      <w:r w:rsidRPr="005050AC">
        <w:rPr>
          <w:rFonts w:ascii="Times New Roman" w:hAnsi="Times New Roman" w:cs="Times New Roman"/>
          <w:sz w:val="20"/>
          <w:szCs w:val="20"/>
        </w:rPr>
        <w:t xml:space="preserve"> and diffuse plaques and </w:t>
      </w:r>
      <w:r w:rsidR="004112C5" w:rsidRPr="005050AC">
        <w:rPr>
          <w:rFonts w:ascii="Times New Roman" w:hAnsi="Times New Roman" w:cs="Times New Roman"/>
          <w:sz w:val="20"/>
          <w:szCs w:val="20"/>
        </w:rPr>
        <w:t>neurofibrillary tangles</w:t>
      </w:r>
      <w:r w:rsidRPr="005050AC">
        <w:rPr>
          <w:rFonts w:ascii="Times New Roman" w:hAnsi="Times New Roman" w:cs="Times New Roman"/>
          <w:sz w:val="20"/>
          <w:szCs w:val="20"/>
        </w:rPr>
        <w:t>(density by number/mm</w:t>
      </w:r>
      <w:r w:rsidRPr="005050AC">
        <w:rPr>
          <w:rFonts w:ascii="Times New Roman" w:hAnsi="Times New Roman" w:cs="Times New Roman"/>
          <w:sz w:val="20"/>
          <w:szCs w:val="20"/>
          <w:vertAlign w:val="superscript"/>
        </w:rPr>
        <w:t>2</w:t>
      </w:r>
      <w:r w:rsidRPr="005050AC">
        <w:rPr>
          <w:rFonts w:ascii="Times New Roman" w:hAnsi="Times New Roman" w:cs="Times New Roman"/>
          <w:sz w:val="20"/>
          <w:szCs w:val="20"/>
        </w:rPr>
        <w:t xml:space="preserve"> in region with highest density) were computed separately and square root-transformed before analysis, as </w:t>
      </w:r>
      <w:r w:rsidR="004112C5" w:rsidRPr="005050AC">
        <w:rPr>
          <w:rFonts w:ascii="Times New Roman" w:hAnsi="Times New Roman" w:cs="Times New Roman"/>
          <w:sz w:val="20"/>
          <w:szCs w:val="20"/>
        </w:rPr>
        <w:t xml:space="preserve">previously described </w:t>
      </w:r>
      <w:r w:rsidRPr="005050AC">
        <w:rPr>
          <w:rFonts w:ascii="Times New Roman" w:hAnsi="Times New Roman" w:cs="Times New Roman"/>
          <w:sz w:val="20"/>
          <w:szCs w:val="20"/>
        </w:rPr>
        <w:fldChar w:fldCharType="begin"/>
      </w:r>
      <w:r w:rsidR="00C54310">
        <w:rPr>
          <w:rFonts w:ascii="Times New Roman" w:hAnsi="Times New Roman" w:cs="Times New Roman"/>
          <w:sz w:val="20"/>
          <w:szCs w:val="20"/>
        </w:rPr>
        <w:instrText xml:space="preserve"> ADDIN ZOTERO_ITEM CSL_CITATION {"citationID":"tF0XsQqX","properties":{"formattedCitation":"[4,5]","plainCitation":"[4,5]"},"citationItems":[{"id":1438,"uris":["http://zotero.org/users/687843/items/I7JHIRNN"],"uri":["http://zotero.org/users/687843/items/I7JHIRNN"],"itemData":{"id":1438,"type":"article-journal","title":"CD33 Alzheimer's disease locus: altered monocyte function and amyloid biology","container-title":"Nature Neuroscience","page":"848-850","volume":"16","issue":"7","source":"PubMed","abstract":"In our functional dissection of the CD33 Alzheimer's disease susceptibility locus, we found that the rs3865444(C) risk allele was associated with greater cell surface expression of CD33 in the monocytes (t50 = 10.06, P(joint) = 1.3 × 10(-13)) of young and older individuals. It was also associated with diminished internalization of amyloid-β 42 peptide, accumulation of neuritic amyloid pathology and fibrillar amyloid on in vivo imaging, and increased numbers of activated human microglia.","DOI":"10.1038/nn.3435","ISSN":"1546-1726","note":"PMID: 23708142\nPMCID: PMC3703870","shortTitle":"CD33 Alzheimer's disease locus","journalAbbreviation":"Nat. Neurosci.","language":"eng","author":[{"family":"Bradshaw","given":"Elizabeth M."},{"family":"Chibnik","given":"Lori B."},{"family":"Keenan","given":"Brendan T."},{"family":"Ottoboni","given":"Linda"},{"family":"Raj","given":"Towfique"},{"family":"Tang","given":"Anna"},{"family":"Rosenkrantz","given":"Laura L."},{"family":"Imboywa","given":"Selina"},{"family":"Lee","given":"Michelle"},{"family":"Von Korff","given":"Alina"},{"literal":"Alzheimer Disease Neuroimaging Initiative"},{"family":"Morris","given":"Martha C."},{"family":"Evans","given":"Denis A."},{"family":"Johnson","given":"Keith"},{"family":"Sperling","given":"Reisa A."},{"family":"Schneider","given":"Julie A."},{"family":"Bennett","given":"David A."},{"family":"De Jager","given":"Philip L."}],"issued":{"date-parts":[["2013",7]]},"PMID":"23708142","PMCID":"PMC3703870"}},{"id":355,"uris":["http://zotero.org/users/687843/items/EXX6H4C3"],"uri":["http://zotero.org/users/687843/items/EXX6H4C3"],"itemData":{"id":355,"type":"article-journal","title":"Association of Brain DNA methylation in SORL1, ABCA7, HLA-DRB5, SLC24A4, and BIN1 with pathological diagnosis of Alzheimer disease","container-title":"JAMA neurology","page":"15-24","volume":"72","issue":"1","source":"PubMed","abstract":"IMPORTANCE: Recent large-scale genome-wide association studies have discovered several genetic variants associated with Alzheimer disease (AD); however, the extent to which DNA methylation in these AD loci contributes to the disease susceptibility remains unknown.\nOBJECTIVE: To examine the association of brain DNA methylation in 28 reported AD loci with AD pathologies.\nDESIGN, SETTING, AND PARTICIPANTS: Ongoing community-based clinical pathological cohort studies of aging and dementia (the Religious Orders Study and the Rush Memory and Aging Project) among 740 autopsied participants 66.0 to 108.3 years old.\nEXPOSURES: DNA methylation levels at individual CpG sites generated from dorsolateral prefrontal cortex tissue using a bead assay.\nMAIN OUTCOMES AND MEASURES: Pathological diagnosis of AD by National Institute on Aging-Reagan criteria following a standard postmortem examination.\nRESULTS: Overall, 447 participants (60.4%) met the criteria for pathological diagnosis of AD. Brain DNA methylation in SORL1, ABCA7, HLA-DRB5, SLC24A4, and BIN1 was associated with pathological AD. The association was robustly retained after replacing the binary trait of pathological AD with 2 quantitative and molecular specific hallmarks of AD, namely, Aβ load and paired helical filament tau tangle density. Furthermore, RNA expression of transcripts of SORL1 and ABCA7 was associated with paired helical filament tau tangle density, and the expression of BIN1 was associated with Aβ load.\nCONCLUSIONS AND RELEVANCE: Brain DNA methylation in multiple AD loci is associated with AD pathologies. The results provide further evidence that disruption of DNA methylation is involved in the pathological process of AD.","DOI":"10.1001/jamaneurol.2014.3049","ISSN":"2168-6157","note":"PMID: 25365775\nPMCID: PMC4344367","journalAbbreviation":"JAMA Neurol","language":"eng","author":[{"family":"Yu","given":"Lei"},{"family":"Chibnik","given":"Lori B."},{"family":"Srivastava","given":"Gyan P."},{"family":"Pochet","given":"Nathalie"},{"family":"Yang","given":"Jingyun"},{"family":"Xu","given":"Jishu"},{"family":"Kozubek","given":"James"},{"family":"Obholzer","given":"Nikolaus"},{"family":"Leurgans","given":"Sue E."},{"family":"Schneider","given":"Julie A."},{"family":"Meissner","given":"Alexander"},{"family":"De Jager","given":"Philip L."},{"family":"Bennett","given":"David A."}],"issued":{"date-parts":[["2015",1]]}}}],"schema":"https://github.com/citation-style-language/schema/raw/master/csl-citation.json"} </w:instrText>
      </w:r>
      <w:r w:rsidRPr="005050AC">
        <w:rPr>
          <w:rFonts w:ascii="Times New Roman" w:hAnsi="Times New Roman" w:cs="Times New Roman"/>
          <w:sz w:val="20"/>
          <w:szCs w:val="20"/>
        </w:rPr>
        <w:fldChar w:fldCharType="separate"/>
      </w:r>
      <w:r w:rsidR="00C54310" w:rsidRPr="00C54310">
        <w:rPr>
          <w:rFonts w:ascii="Times New Roman" w:hAnsi="Times New Roman" w:cs="Times New Roman"/>
          <w:sz w:val="20"/>
        </w:rPr>
        <w:t>[4,5]</w:t>
      </w:r>
      <w:r w:rsidRPr="005050AC">
        <w:rPr>
          <w:rFonts w:ascii="Times New Roman" w:hAnsi="Times New Roman" w:cs="Times New Roman"/>
          <w:sz w:val="20"/>
          <w:szCs w:val="20"/>
        </w:rPr>
        <w:fldChar w:fldCharType="end"/>
      </w:r>
      <w:r w:rsidR="004112C5" w:rsidRPr="005050AC">
        <w:rPr>
          <w:rFonts w:ascii="Times New Roman" w:hAnsi="Times New Roman" w:cs="Times New Roman"/>
          <w:sz w:val="20"/>
          <w:szCs w:val="20"/>
        </w:rPr>
        <w:t>.</w:t>
      </w:r>
    </w:p>
    <w:p w:rsidR="00485198" w:rsidRPr="005050AC" w:rsidRDefault="00485198" w:rsidP="005050AC">
      <w:pPr>
        <w:spacing w:line="240" w:lineRule="auto"/>
        <w:rPr>
          <w:rFonts w:ascii="Times New Roman" w:hAnsi="Times New Roman" w:cs="Times New Roman"/>
          <w:sz w:val="20"/>
          <w:szCs w:val="20"/>
        </w:rPr>
      </w:pPr>
    </w:p>
    <w:p w:rsidR="00485198" w:rsidRPr="005050AC" w:rsidRDefault="00485198" w:rsidP="005050AC">
      <w:pPr>
        <w:pStyle w:val="Heading2"/>
        <w:spacing w:line="240" w:lineRule="auto"/>
        <w:rPr>
          <w:rFonts w:ascii="Times New Roman" w:hAnsi="Times New Roman" w:cs="Times New Roman"/>
          <w:b/>
          <w:color w:val="auto"/>
          <w:sz w:val="20"/>
          <w:szCs w:val="20"/>
        </w:rPr>
      </w:pPr>
      <w:r w:rsidRPr="005050AC">
        <w:rPr>
          <w:rFonts w:ascii="Times New Roman" w:hAnsi="Times New Roman" w:cs="Times New Roman"/>
          <w:b/>
          <w:color w:val="auto"/>
          <w:sz w:val="20"/>
          <w:szCs w:val="20"/>
        </w:rPr>
        <w:t>RNA sequencing</w:t>
      </w:r>
      <w:r w:rsidR="00CE7B70" w:rsidRPr="005050AC">
        <w:rPr>
          <w:rFonts w:ascii="Times New Roman" w:hAnsi="Times New Roman" w:cs="Times New Roman"/>
          <w:b/>
          <w:color w:val="auto"/>
          <w:sz w:val="20"/>
          <w:szCs w:val="20"/>
        </w:rPr>
        <w:t xml:space="preserve"> and post-processing</w:t>
      </w:r>
    </w:p>
    <w:p w:rsidR="00485198" w:rsidRPr="005050AC" w:rsidRDefault="00BB0382" w:rsidP="005050AC">
      <w:pPr>
        <w:spacing w:line="240" w:lineRule="auto"/>
        <w:rPr>
          <w:rFonts w:ascii="Times New Roman" w:hAnsi="Times New Roman" w:cs="Times New Roman"/>
          <w:sz w:val="20"/>
          <w:szCs w:val="20"/>
        </w:rPr>
      </w:pPr>
      <w:r w:rsidRPr="005050AC">
        <w:rPr>
          <w:rFonts w:ascii="Times New Roman" w:hAnsi="Times New Roman" w:cs="Times New Roman"/>
          <w:sz w:val="20"/>
          <w:szCs w:val="20"/>
        </w:rPr>
        <w:t xml:space="preserve">RNA was extracted from the gray matter of </w:t>
      </w:r>
      <w:r w:rsidR="00404D3A" w:rsidRPr="005050AC">
        <w:rPr>
          <w:rFonts w:ascii="Times New Roman" w:hAnsi="Times New Roman" w:cs="Times New Roman"/>
          <w:sz w:val="20"/>
          <w:szCs w:val="20"/>
        </w:rPr>
        <w:t xml:space="preserve">dorsolateral prefrontal cortex </w:t>
      </w:r>
      <w:r w:rsidRPr="005050AC">
        <w:rPr>
          <w:rFonts w:ascii="Times New Roman" w:hAnsi="Times New Roman" w:cs="Times New Roman"/>
          <w:sz w:val="20"/>
          <w:szCs w:val="20"/>
        </w:rPr>
        <w:t xml:space="preserve">using </w:t>
      </w:r>
      <w:proofErr w:type="spellStart"/>
      <w:r w:rsidRPr="005050AC">
        <w:rPr>
          <w:rFonts w:ascii="Times New Roman" w:hAnsi="Times New Roman" w:cs="Times New Roman"/>
          <w:sz w:val="20"/>
          <w:szCs w:val="20"/>
        </w:rPr>
        <w:t>Qiagen's</w:t>
      </w:r>
      <w:proofErr w:type="spellEnd"/>
      <w:r w:rsidRPr="005050AC">
        <w:rPr>
          <w:rFonts w:ascii="Times New Roman" w:hAnsi="Times New Roman" w:cs="Times New Roman"/>
          <w:sz w:val="20"/>
          <w:szCs w:val="20"/>
        </w:rPr>
        <w:t xml:space="preserve"> </w:t>
      </w:r>
      <w:proofErr w:type="spellStart"/>
      <w:r w:rsidRPr="005050AC">
        <w:rPr>
          <w:rFonts w:ascii="Times New Roman" w:hAnsi="Times New Roman" w:cs="Times New Roman"/>
          <w:sz w:val="20"/>
          <w:szCs w:val="20"/>
        </w:rPr>
        <w:t>miRNeasey</w:t>
      </w:r>
      <w:proofErr w:type="spellEnd"/>
      <w:r w:rsidRPr="005050AC">
        <w:rPr>
          <w:rFonts w:ascii="Times New Roman" w:hAnsi="Times New Roman" w:cs="Times New Roman"/>
          <w:sz w:val="20"/>
          <w:szCs w:val="20"/>
        </w:rPr>
        <w:t xml:space="preserve"> mini kit and the RNase free DNase Set. RNA sequencing (RNA-</w:t>
      </w:r>
      <w:proofErr w:type="spellStart"/>
      <w:r w:rsidRPr="005050AC">
        <w:rPr>
          <w:rFonts w:ascii="Times New Roman" w:hAnsi="Times New Roman" w:cs="Times New Roman"/>
          <w:sz w:val="20"/>
          <w:szCs w:val="20"/>
        </w:rPr>
        <w:t>Seq</w:t>
      </w:r>
      <w:proofErr w:type="spellEnd"/>
      <w:r w:rsidRPr="005050AC">
        <w:rPr>
          <w:rFonts w:ascii="Times New Roman" w:hAnsi="Times New Roman" w:cs="Times New Roman"/>
          <w:sz w:val="20"/>
          <w:szCs w:val="20"/>
        </w:rPr>
        <w:t xml:space="preserve">) was performed on the Illumina </w:t>
      </w:r>
      <w:proofErr w:type="spellStart"/>
      <w:r w:rsidRPr="005050AC">
        <w:rPr>
          <w:rFonts w:ascii="Times New Roman" w:hAnsi="Times New Roman" w:cs="Times New Roman"/>
          <w:sz w:val="20"/>
          <w:szCs w:val="20"/>
        </w:rPr>
        <w:t>HiSeq</w:t>
      </w:r>
      <w:proofErr w:type="spellEnd"/>
      <w:r w:rsidRPr="005050AC">
        <w:rPr>
          <w:rFonts w:ascii="Times New Roman" w:hAnsi="Times New Roman" w:cs="Times New Roman"/>
          <w:sz w:val="20"/>
          <w:szCs w:val="20"/>
        </w:rPr>
        <w:t xml:space="preserve"> (50 million paired-end reads of 101 </w:t>
      </w:r>
      <w:proofErr w:type="spellStart"/>
      <w:r w:rsidRPr="005050AC">
        <w:rPr>
          <w:rFonts w:ascii="Times New Roman" w:hAnsi="Times New Roman" w:cs="Times New Roman"/>
          <w:sz w:val="20"/>
          <w:szCs w:val="20"/>
        </w:rPr>
        <w:t>bp</w:t>
      </w:r>
      <w:proofErr w:type="spellEnd"/>
      <w:r w:rsidRPr="005050AC">
        <w:rPr>
          <w:rFonts w:ascii="Times New Roman" w:hAnsi="Times New Roman" w:cs="Times New Roman"/>
          <w:sz w:val="20"/>
          <w:szCs w:val="20"/>
        </w:rPr>
        <w:t xml:space="preserve"> each) for sa</w:t>
      </w:r>
      <w:r w:rsidR="000950E1" w:rsidRPr="005050AC">
        <w:rPr>
          <w:rFonts w:ascii="Times New Roman" w:hAnsi="Times New Roman" w:cs="Times New Roman"/>
          <w:sz w:val="20"/>
          <w:szCs w:val="20"/>
        </w:rPr>
        <w:t>mples with a RNA integrity score of greater than</w:t>
      </w:r>
      <w:r w:rsidRPr="005050AC">
        <w:rPr>
          <w:rFonts w:ascii="Times New Roman" w:hAnsi="Times New Roman" w:cs="Times New Roman"/>
          <w:sz w:val="20"/>
          <w:szCs w:val="20"/>
        </w:rPr>
        <w:t xml:space="preserve"> 5 </w:t>
      </w:r>
      <w:r w:rsidR="00735010" w:rsidRPr="005050AC">
        <w:rPr>
          <w:rFonts w:ascii="Times New Roman" w:hAnsi="Times New Roman" w:cs="Times New Roman"/>
          <w:sz w:val="20"/>
          <w:szCs w:val="20"/>
        </w:rPr>
        <w:t>and a quantity threshold of greater than</w:t>
      </w:r>
      <w:r w:rsidRPr="005050AC">
        <w:rPr>
          <w:rFonts w:ascii="Times New Roman" w:hAnsi="Times New Roman" w:cs="Times New Roman"/>
          <w:sz w:val="20"/>
          <w:szCs w:val="20"/>
        </w:rPr>
        <w:t xml:space="preserve"> 5ug. </w:t>
      </w:r>
      <w:r w:rsidR="00485198" w:rsidRPr="005050AC">
        <w:rPr>
          <w:rFonts w:ascii="Times New Roman" w:hAnsi="Times New Roman" w:cs="Times New Roman"/>
          <w:sz w:val="20"/>
          <w:szCs w:val="20"/>
        </w:rPr>
        <w:t>The RNA-</w:t>
      </w:r>
      <w:proofErr w:type="spellStart"/>
      <w:r w:rsidR="00485198" w:rsidRPr="005050AC">
        <w:rPr>
          <w:rFonts w:ascii="Times New Roman" w:hAnsi="Times New Roman" w:cs="Times New Roman"/>
          <w:sz w:val="20"/>
          <w:szCs w:val="20"/>
        </w:rPr>
        <w:t>Seq</w:t>
      </w:r>
      <w:proofErr w:type="spellEnd"/>
      <w:r w:rsidR="00485198" w:rsidRPr="005050AC">
        <w:rPr>
          <w:rFonts w:ascii="Times New Roman" w:hAnsi="Times New Roman" w:cs="Times New Roman"/>
          <w:sz w:val="20"/>
          <w:szCs w:val="20"/>
        </w:rPr>
        <w:t xml:space="preserve"> library was prepared on the Broad Institute’s Genomics Platform using strand specific </w:t>
      </w:r>
      <w:proofErr w:type="spellStart"/>
      <w:r w:rsidR="00485198" w:rsidRPr="005050AC">
        <w:rPr>
          <w:rFonts w:ascii="Times New Roman" w:hAnsi="Times New Roman" w:cs="Times New Roman"/>
          <w:sz w:val="20"/>
          <w:szCs w:val="20"/>
        </w:rPr>
        <w:t>dUTP</w:t>
      </w:r>
      <w:proofErr w:type="spellEnd"/>
      <w:r w:rsidR="00485198" w:rsidRPr="005050AC">
        <w:rPr>
          <w:rFonts w:ascii="Times New Roman" w:hAnsi="Times New Roman" w:cs="Times New Roman"/>
          <w:sz w:val="20"/>
          <w:szCs w:val="20"/>
        </w:rPr>
        <w:t xml:space="preserve"> method</w:t>
      </w:r>
      <w:r w:rsidR="004112C5" w:rsidRPr="005050AC">
        <w:rPr>
          <w:rFonts w:ascii="Times New Roman" w:hAnsi="Times New Roman" w:cs="Times New Roman"/>
          <w:sz w:val="20"/>
          <w:szCs w:val="20"/>
        </w:rPr>
        <w:t xml:space="preserve"> </w:t>
      </w:r>
      <w:r w:rsidR="00485198" w:rsidRPr="005050AC">
        <w:rPr>
          <w:rFonts w:ascii="Times New Roman" w:hAnsi="Times New Roman" w:cs="Times New Roman"/>
          <w:sz w:val="20"/>
          <w:szCs w:val="20"/>
        </w:rPr>
        <w:fldChar w:fldCharType="begin"/>
      </w:r>
      <w:r w:rsidR="00C54310">
        <w:rPr>
          <w:rFonts w:ascii="Times New Roman" w:hAnsi="Times New Roman" w:cs="Times New Roman"/>
          <w:sz w:val="20"/>
          <w:szCs w:val="20"/>
        </w:rPr>
        <w:instrText xml:space="preserve"> ADDIN ZOTERO_ITEM CSL_CITATION {"citationID":"28ucv8ap7e","properties":{"formattedCitation":"[6]","plainCitation":"[6]"},"citationItems":[{"id":413,"uris":["http://zotero.org/users/687843/items/82FK2649"],"uri":["http://zotero.org/users/687843/items/82FK2649"],"itemData":{"id":413,"type":"article-journal","title":"Comprehensive comparative analysis of strand-specific RNA sequencing methods","container-title":"Nature Methods","page":"709-715","volume":"7","issue":"9","source":"PubMed","abstract":"Strand-specific, massively parallel cDNA sequencing (RNA-seq) is a powerful tool for transcript discovery, genome annotation and expression profiling. There are multiple published methods for strand-specific RNA-seq, but no consensus exists as to how to choose between them. Here we developed a comprehensive computational pipeline to compare library quality metrics from any RNA-seq method. Using the well-annotated Saccharomyces cerevisiae transcriptome as a benchmark, we compared seven library-construction protocols, including both published and our own methods. We found marked differences in strand specificity, library complexity, evenness and continuity of coverage, agreement with known annotations and accuracy for expression profiling. Weighing each method's performance and ease, we identified the dUTP second-strand marking and the Illumina RNA ligation methods as the leading protocols, with the former benefitting from the current availability of paired-end sequencing. Our analysis provides a comprehensive benchmark, and our computational pipeline is applicable for assessment of future protocols in other organisms.","DOI":"10.1038/nmeth.1491","ISSN":"1548-7105","note":"PMID: 20711195\nPMCID: PMC3005310","journalAbbreviation":"Nat. Methods","language":"eng","author":[{"family":"Levin","given":"Joshua Z."},{"family":"Yassour","given":"Moran"},{"family":"Adiconis","given":"Xian"},{"family":"Nusbaum","given":"Chad"},{"family":"Thompson","given":"Dawn Anne"},{"family":"Friedman","given":"Nir"},{"family":"Gnirke","given":"Andreas"},{"family":"Regev","given":"Aviv"}],"issued":{"date-parts":[["2010",9]]}}}],"schema":"https://github.com/citation-style-language/schema/raw/master/csl-citation.json"} </w:instrText>
      </w:r>
      <w:r w:rsidR="00485198" w:rsidRPr="005050AC">
        <w:rPr>
          <w:rFonts w:ascii="Times New Roman" w:hAnsi="Times New Roman" w:cs="Times New Roman"/>
          <w:sz w:val="20"/>
          <w:szCs w:val="20"/>
        </w:rPr>
        <w:fldChar w:fldCharType="separate"/>
      </w:r>
      <w:r w:rsidR="00C54310" w:rsidRPr="00C54310">
        <w:rPr>
          <w:rFonts w:ascii="Times New Roman" w:hAnsi="Times New Roman" w:cs="Times New Roman"/>
          <w:sz w:val="20"/>
        </w:rPr>
        <w:t>[6]</w:t>
      </w:r>
      <w:r w:rsidR="00485198" w:rsidRPr="005050AC">
        <w:rPr>
          <w:rFonts w:ascii="Times New Roman" w:hAnsi="Times New Roman" w:cs="Times New Roman"/>
          <w:sz w:val="20"/>
          <w:szCs w:val="20"/>
        </w:rPr>
        <w:fldChar w:fldCharType="end"/>
      </w:r>
      <w:r w:rsidR="004112C5" w:rsidRPr="005050AC">
        <w:rPr>
          <w:rFonts w:ascii="Times New Roman" w:hAnsi="Times New Roman" w:cs="Times New Roman"/>
          <w:sz w:val="20"/>
          <w:szCs w:val="20"/>
        </w:rPr>
        <w:t xml:space="preserve"> with poly-A selection </w:t>
      </w:r>
      <w:r w:rsidR="00485198" w:rsidRPr="005050AC">
        <w:rPr>
          <w:rFonts w:ascii="Times New Roman" w:hAnsi="Times New Roman" w:cs="Times New Roman"/>
          <w:sz w:val="20"/>
          <w:szCs w:val="20"/>
        </w:rPr>
        <w:fldChar w:fldCharType="begin"/>
      </w:r>
      <w:r w:rsidR="00C54310">
        <w:rPr>
          <w:rFonts w:ascii="Times New Roman" w:hAnsi="Times New Roman" w:cs="Times New Roman"/>
          <w:sz w:val="20"/>
          <w:szCs w:val="20"/>
        </w:rPr>
        <w:instrText xml:space="preserve"> ADDIN ZOTERO_ITEM CSL_CITATION {"citationID":"k9fqpurb6","properties":{"formattedCitation":"[7]","plainCitation":"[7]"},"citationItems":[{"id":414,"uris":["http://zotero.org/users/687843/items/ZDTJXQRN"],"uri":["http://zotero.org/users/687843/items/ZDTJXQRN"],"itemData":{"id":414,"type":"article-journal","title":"Comprehensive comparative analysis of RNA sequencing methods for degraded or low input samples","container-title":"Nature methods","volume":"10","issue":"7","source":"PubMed Central","abstract":"RNA-Seq is an effective method to study the transcriptome, but can be difficult to apply to scarce or degraded RNA from fixed clinical samples, rare cell populations, or cadavers. Recent studies have proposed several methods for RNA-Seq of low quality and/or low quantity samples, but their relative merits have not been systematically analyzed. Here, we compare five such methods using metrics relevant to transcriptome annotation, transcript discovery, and gene expression. Using a single human RNA sample, we constructed and sequenced ten libraries with these methods and two control libraries. We find that the RNase H method performed best for low quality RNA, and confirmed this with actual degraded samples. RNase H can even effectively replace oligo (dT) based methods for standard RNA-Seq. SMART and NuGEN had distinct strengths for low quantity RNA. Our analysis allows biologists to select the most suitable methods and provides a benchmark for future method development.","URL":"http://www.ncbi.nlm.nih.gov/pmc/articles/PMC3821180/","DOI":"10.1038/nmeth.2483","ISSN":"1548-7091","note":"PMID: 23685885\nPMCID: PMC3821180","journalAbbreviation":"Nat Methods","author":[{"family":"Adiconis","given":"Xian"},{"family":"Borges-Rivera","given":"Diego"},{"family":"Satija","given":"Rahul"},{"family":"DeLuca","given":"David S."},{"family":"Busby","given":"Michele A."},{"family":"Berlin","given":"Aaron M."},{"family":"Sivachenko","given":"Andrey"},{"family":"Thompson","given":"Dawn Anne"},{"family":"Wysoker","given":"Alec"},{"family":"Fennell","given":"Timothy"},{"family":"Gnirke","given":"Andreas"},{"family":"Pochet","given":"Nathalie"},{"family":"Regev","given":"Aviv"},{"family":"Levin","given":"Joshua Z."}],"issued":{"date-parts":[["2013",7]]},"accessed":{"date-parts":[["2015",6,8]]}}}],"schema":"https://github.com/citation-style-language/schema/raw/master/csl-citation.json"} </w:instrText>
      </w:r>
      <w:r w:rsidR="00485198" w:rsidRPr="005050AC">
        <w:rPr>
          <w:rFonts w:ascii="Times New Roman" w:hAnsi="Times New Roman" w:cs="Times New Roman"/>
          <w:sz w:val="20"/>
          <w:szCs w:val="20"/>
        </w:rPr>
        <w:fldChar w:fldCharType="separate"/>
      </w:r>
      <w:r w:rsidR="00C54310" w:rsidRPr="00C54310">
        <w:rPr>
          <w:rFonts w:ascii="Times New Roman" w:hAnsi="Times New Roman" w:cs="Times New Roman"/>
          <w:sz w:val="20"/>
        </w:rPr>
        <w:t>[7]</w:t>
      </w:r>
      <w:r w:rsidR="00485198" w:rsidRPr="005050AC">
        <w:rPr>
          <w:rFonts w:ascii="Times New Roman" w:hAnsi="Times New Roman" w:cs="Times New Roman"/>
          <w:sz w:val="20"/>
          <w:szCs w:val="20"/>
        </w:rPr>
        <w:fldChar w:fldCharType="end"/>
      </w:r>
      <w:r w:rsidR="004112C5" w:rsidRPr="005050AC">
        <w:rPr>
          <w:rFonts w:ascii="Times New Roman" w:hAnsi="Times New Roman" w:cs="Times New Roman"/>
          <w:sz w:val="20"/>
          <w:szCs w:val="20"/>
        </w:rPr>
        <w:t>.</w:t>
      </w:r>
      <w:r w:rsidR="00485198" w:rsidRPr="005050AC">
        <w:rPr>
          <w:rFonts w:ascii="Times New Roman" w:hAnsi="Times New Roman" w:cs="Times New Roman"/>
          <w:sz w:val="20"/>
          <w:szCs w:val="20"/>
        </w:rPr>
        <w:t xml:space="preserve"> </w:t>
      </w:r>
      <w:r w:rsidR="004112C5" w:rsidRPr="005050AC">
        <w:rPr>
          <w:rFonts w:ascii="Times New Roman" w:hAnsi="Times New Roman" w:cs="Times New Roman"/>
          <w:sz w:val="20"/>
          <w:szCs w:val="20"/>
        </w:rPr>
        <w:t xml:space="preserve">The </w:t>
      </w:r>
      <w:proofErr w:type="spellStart"/>
      <w:r w:rsidR="004112C5" w:rsidRPr="005050AC">
        <w:rPr>
          <w:rFonts w:ascii="Times New Roman" w:hAnsi="Times New Roman" w:cs="Times New Roman"/>
          <w:sz w:val="20"/>
          <w:szCs w:val="20"/>
        </w:rPr>
        <w:t>SpeakE</w:t>
      </w:r>
      <w:r w:rsidR="00D129FA" w:rsidRPr="005050AC">
        <w:rPr>
          <w:rFonts w:ascii="Times New Roman" w:hAnsi="Times New Roman" w:cs="Times New Roman"/>
          <w:sz w:val="20"/>
          <w:szCs w:val="20"/>
        </w:rPr>
        <w:t>asy</w:t>
      </w:r>
      <w:proofErr w:type="spellEnd"/>
      <w:r w:rsidR="00D129FA" w:rsidRPr="005050AC">
        <w:rPr>
          <w:rFonts w:ascii="Times New Roman" w:hAnsi="Times New Roman" w:cs="Times New Roman"/>
          <w:sz w:val="20"/>
          <w:szCs w:val="20"/>
        </w:rPr>
        <w:t xml:space="preserve"> algorithm </w:t>
      </w:r>
      <w:bookmarkStart w:id="0" w:name="_GoBack"/>
      <w:bookmarkEnd w:id="0"/>
      <w:r w:rsidR="00D129FA" w:rsidRPr="005050AC">
        <w:rPr>
          <w:rFonts w:ascii="Times New Roman" w:hAnsi="Times New Roman" w:cs="Times New Roman"/>
          <w:sz w:val="20"/>
          <w:szCs w:val="20"/>
        </w:rPr>
        <w:t>- used for clustering genes into co-expressed, functionally cohesive modules - combines bottom-up and top-down approaches to clustering, and outperforms other commonly used methods, such as WGCNA</w:t>
      </w:r>
      <w:r w:rsidR="00D129FA" w:rsidRPr="005050AC">
        <w:rPr>
          <w:rFonts w:ascii="Times New Roman" w:hAnsi="Times New Roman" w:cs="Times New Roman"/>
          <w:sz w:val="20"/>
          <w:szCs w:val="20"/>
        </w:rPr>
        <w:fldChar w:fldCharType="begin"/>
      </w:r>
      <w:r w:rsidR="00C54310">
        <w:rPr>
          <w:rFonts w:ascii="Times New Roman" w:hAnsi="Times New Roman" w:cs="Times New Roman"/>
          <w:sz w:val="20"/>
          <w:szCs w:val="20"/>
        </w:rPr>
        <w:instrText xml:space="preserve"> ADDIN ZOTERO_ITEM CSL_CITATION {"citationID":"1tf73ih3ii","properties":{"formattedCitation":"[8]","plainCitation":"[8]"},"citationItems":[{"id":4399,"uris":["http://zotero.org/users/687843/items/TCGH894N"],"uri":["http://zotero.org/users/687843/items/TCGH894N"],"itemData":{"id":4399,"type":"article-journal","title":"WGCNA: an R package for weighted correlation network analysis","container-title":"BMC Bioinformatics","page":"559","volume":"9","source":"BioMed Central","abstract":"Correlation networks are increasingly being used in bioinformatics applications. For example, weighted gene co-expression network analysis is a systems biology method for describing the correlation patterns among genes across microarray samples. Weighted correlation network analysis (WGCNA) can be used for finding clusters (modules) of highly correlated genes, for summarizing such clusters using the module eigengene or an intramodular hub gene, for relating modules to one another and to external sample traits (using eigengene network methodology), and for calculating module membership measures. Correlation networks facilitate network based gene screening methods that can be used to identify candidate biomarkers or therapeutic targets. These methods have been successfully applied in various biological contexts, e.g. cancer, mouse genetics, yeast genetics, and analysis of brain imaging data. While parts of the correlation network methodology have been described in separate publications, there is a need to provide a user-friendly, comprehensive, and consistent software implementation and an accompanying tutorial.","DOI":"10.1186/1471-2105-9-559","ISSN":"1471-2105","shortTitle":"WGCNA","journalAbbreviation":"BMC Bioinformatics","author":[{"family":"Langfelder","given":"Peter"},{"family":"Horvath","given":"Steve"}],"issued":{"date-parts":[["2008"]]}}}],"schema":"https://github.com/citation-style-language/schema/raw/master/csl-citation.json"} </w:instrText>
      </w:r>
      <w:r w:rsidR="00D129FA" w:rsidRPr="005050AC">
        <w:rPr>
          <w:rFonts w:ascii="Times New Roman" w:hAnsi="Times New Roman" w:cs="Times New Roman"/>
          <w:sz w:val="20"/>
          <w:szCs w:val="20"/>
        </w:rPr>
        <w:fldChar w:fldCharType="separate"/>
      </w:r>
      <w:r w:rsidR="00C54310" w:rsidRPr="00C54310">
        <w:rPr>
          <w:rFonts w:ascii="Times New Roman" w:hAnsi="Times New Roman" w:cs="Times New Roman"/>
          <w:sz w:val="20"/>
        </w:rPr>
        <w:t>[8]</w:t>
      </w:r>
      <w:r w:rsidR="00D129FA" w:rsidRPr="005050AC">
        <w:rPr>
          <w:rFonts w:ascii="Times New Roman" w:hAnsi="Times New Roman" w:cs="Times New Roman"/>
          <w:sz w:val="20"/>
          <w:szCs w:val="20"/>
        </w:rPr>
        <w:fldChar w:fldCharType="end"/>
      </w:r>
      <w:r w:rsidR="00D129FA" w:rsidRPr="005050AC">
        <w:rPr>
          <w:rFonts w:ascii="Times New Roman" w:hAnsi="Times New Roman" w:cs="Times New Roman"/>
          <w:sz w:val="20"/>
          <w:szCs w:val="20"/>
        </w:rPr>
        <w:t>, on benchmark and real world datasets.</w:t>
      </w:r>
      <w:r w:rsidR="00D129FA" w:rsidRPr="005050AC">
        <w:rPr>
          <w:rFonts w:ascii="Times New Roman" w:hAnsi="Times New Roman" w:cs="Times New Roman"/>
          <w:sz w:val="20"/>
          <w:szCs w:val="20"/>
        </w:rPr>
        <w:fldChar w:fldCharType="begin"/>
      </w:r>
      <w:r w:rsidR="00C54310">
        <w:rPr>
          <w:rFonts w:ascii="Times New Roman" w:hAnsi="Times New Roman" w:cs="Times New Roman"/>
          <w:sz w:val="20"/>
          <w:szCs w:val="20"/>
        </w:rPr>
        <w:instrText xml:space="preserve"> ADDIN ZOTERO_ITEM CSL_CITATION {"citationID":"rtpnmivtf","properties":{"formattedCitation":"[9]","plainCitation":"[9]"},"citationItems":[{"id":964,"uris":["http://zotero.org/users/687843/items/GIXW47B3"],"uri":["http://zotero.org/users/687843/items/GIXW47B3"],"itemData":{"id":964,"type":"article-journal","title":"Identifying robust communities and multi-community nodes by combining top-down and bottom-up approaches to clustering","container-title":"arXiv:1501.04709 [physics, q-bio]","source":"arXiv.org","abstract":"Biological functions are carried out by groups of interacting molecules, cells or tissues, known as communities. Membership in these communities may overlap when biological components are involved in multiple functions. However, traditional clustering methods detect non-overlapping communities. These detected communities may also be unstable and difficult to replicate, because traditional methods are sensitive to noise and parameter settings. These aspects of traditional clustering methods limit our ability to detect biological communities, and therefore our ability to understand biological functions. To address these limitations and detect robust overlapping biological communities, we propose an unorthodox clustering method called SpeakEasy which identifies communities using top-down and bottom-up approaches simultaneously. Specifically, nodes join communities based on their local connections, as well as global information about the network structure. This method can quantify the stability of each community, automatically identify the number of communities, and quickly cluster networks with hundreds of thousands of nodes. SpeakEasy shows top performance on synthetic clustering benchmarks and accurately identifies meaningful biological communities in a range of datasets, including: gene microarrays, protein interactions, sorted cell populations, electrophysiology and fMRI brain imaging.","URL":"http://arxiv.org/abs/1501.04709","note":"arXiv: 1501.04709","author":[{"family":"Gaiteri","given":"Chris"},{"family":"Chen","given":"Mingming"},{"family":"Szymanski","given":"Boleslaw"},{"family":"Kuzmin","given":"Konstantin"},{"family":"Xie","given":"Jierui"},{"family":"Lee","given":"Changkyu"},{"family":"Blanche","given":"Timothy"},{"family":"Neto","given":"Elias Chaibub"},{"family":"Huang","given":"Su-Chun"},{"family":"Grabowski","given":"Thomas"},{"family":"Madhyastha","given":"Tara"},{"family":"Komashko","given":"Vitalina"}],"issued":{"date-parts":[["2015",1,19]]},"accessed":{"date-parts":[["2015",9,13]]}}}],"schema":"https://github.com/citation-style-language/schema/raw/master/csl-citation.json"} </w:instrText>
      </w:r>
      <w:r w:rsidR="00D129FA" w:rsidRPr="005050AC">
        <w:rPr>
          <w:rFonts w:ascii="Times New Roman" w:hAnsi="Times New Roman" w:cs="Times New Roman"/>
          <w:sz w:val="20"/>
          <w:szCs w:val="20"/>
        </w:rPr>
        <w:fldChar w:fldCharType="separate"/>
      </w:r>
      <w:r w:rsidR="00C54310" w:rsidRPr="00C54310">
        <w:rPr>
          <w:rFonts w:ascii="Times New Roman" w:hAnsi="Times New Roman" w:cs="Times New Roman"/>
          <w:sz w:val="20"/>
        </w:rPr>
        <w:t>[9]</w:t>
      </w:r>
      <w:r w:rsidR="00D129FA" w:rsidRPr="005050AC">
        <w:rPr>
          <w:rFonts w:ascii="Times New Roman" w:hAnsi="Times New Roman" w:cs="Times New Roman"/>
          <w:sz w:val="20"/>
          <w:szCs w:val="20"/>
        </w:rPr>
        <w:fldChar w:fldCharType="end"/>
      </w:r>
      <w:r w:rsidR="00D129FA" w:rsidRPr="005050AC">
        <w:rPr>
          <w:rFonts w:ascii="Times New Roman" w:hAnsi="Times New Roman" w:cs="Times New Roman"/>
          <w:sz w:val="20"/>
          <w:szCs w:val="20"/>
        </w:rPr>
        <w:t xml:space="preserve">  </w:t>
      </w:r>
    </w:p>
    <w:p w:rsidR="00AE0975" w:rsidRPr="005050AC" w:rsidRDefault="00AE0975" w:rsidP="005050AC">
      <w:pPr>
        <w:spacing w:line="240" w:lineRule="auto"/>
        <w:rPr>
          <w:rFonts w:ascii="Times New Roman" w:hAnsi="Times New Roman" w:cs="Times New Roman"/>
          <w:sz w:val="20"/>
          <w:szCs w:val="20"/>
        </w:rPr>
      </w:pPr>
    </w:p>
    <w:p w:rsidR="00AE0975" w:rsidRPr="005050AC" w:rsidRDefault="00AE0975" w:rsidP="005050AC">
      <w:pPr>
        <w:pStyle w:val="Heading2"/>
        <w:spacing w:line="240" w:lineRule="auto"/>
        <w:rPr>
          <w:rFonts w:ascii="Times New Roman" w:hAnsi="Times New Roman" w:cs="Times New Roman"/>
          <w:b/>
          <w:color w:val="auto"/>
          <w:sz w:val="20"/>
          <w:szCs w:val="20"/>
        </w:rPr>
      </w:pPr>
      <w:r w:rsidRPr="005050AC">
        <w:rPr>
          <w:rFonts w:ascii="Times New Roman" w:hAnsi="Times New Roman" w:cs="Times New Roman"/>
          <w:b/>
          <w:color w:val="auto"/>
          <w:sz w:val="20"/>
          <w:szCs w:val="20"/>
        </w:rPr>
        <w:t>Statistical Analysis</w:t>
      </w:r>
    </w:p>
    <w:p w:rsidR="00AE0975" w:rsidRPr="005050AC" w:rsidRDefault="00C90C53" w:rsidP="005050AC">
      <w:pPr>
        <w:spacing w:line="240" w:lineRule="auto"/>
        <w:rPr>
          <w:rFonts w:ascii="Times New Roman" w:hAnsi="Times New Roman" w:cs="Times New Roman"/>
          <w:sz w:val="20"/>
          <w:szCs w:val="20"/>
        </w:rPr>
      </w:pPr>
      <w:r w:rsidRPr="005050AC">
        <w:rPr>
          <w:rFonts w:ascii="Times New Roman" w:hAnsi="Times New Roman" w:cs="Times New Roman"/>
          <w:sz w:val="20"/>
          <w:szCs w:val="20"/>
        </w:rPr>
        <w:t xml:space="preserve">In the full genomic sample (n=1 </w:t>
      </w:r>
      <w:r w:rsidR="00AE0975" w:rsidRPr="005050AC">
        <w:rPr>
          <w:rFonts w:ascii="Times New Roman" w:hAnsi="Times New Roman" w:cs="Times New Roman"/>
          <w:sz w:val="20"/>
          <w:szCs w:val="20"/>
        </w:rPr>
        <w:t>709), Spearman rank correlations between polygenic scores were evaluated to ascertain relationships between genetic burden for each analyzed trait.</w:t>
      </w:r>
    </w:p>
    <w:p w:rsidR="004B7D7F" w:rsidRPr="005050AC" w:rsidRDefault="00430E7F" w:rsidP="005050AC">
      <w:pPr>
        <w:spacing w:line="240" w:lineRule="auto"/>
        <w:rPr>
          <w:rFonts w:ascii="Times New Roman" w:hAnsi="Times New Roman" w:cs="Times New Roman"/>
          <w:sz w:val="20"/>
          <w:szCs w:val="20"/>
        </w:rPr>
      </w:pPr>
      <w:r>
        <w:rPr>
          <w:rFonts w:ascii="Times New Roman" w:hAnsi="Times New Roman" w:cs="Times New Roman"/>
          <w:sz w:val="20"/>
          <w:szCs w:val="20"/>
        </w:rPr>
        <w:t>The</w:t>
      </w:r>
      <w:r w:rsidR="00D3337C" w:rsidRPr="005050AC">
        <w:rPr>
          <w:rFonts w:ascii="Times New Roman" w:hAnsi="Times New Roman" w:cs="Times New Roman"/>
          <w:sz w:val="20"/>
          <w:szCs w:val="20"/>
        </w:rPr>
        <w:t xml:space="preserve"> method </w:t>
      </w:r>
      <w:r>
        <w:rPr>
          <w:rFonts w:ascii="Times New Roman" w:hAnsi="Times New Roman" w:cs="Times New Roman"/>
          <w:sz w:val="20"/>
          <w:szCs w:val="20"/>
        </w:rPr>
        <w:t xml:space="preserve">of robust regression </w:t>
      </w:r>
      <w:r w:rsidR="00D3337C" w:rsidRPr="005050AC">
        <w:rPr>
          <w:rFonts w:ascii="Times New Roman" w:hAnsi="Times New Roman" w:cs="Times New Roman"/>
          <w:sz w:val="20"/>
          <w:szCs w:val="20"/>
        </w:rPr>
        <w:t>was chosen to improve coefficient estimation in the presence of any distributional outliers with respect to study outcomes.</w:t>
      </w:r>
    </w:p>
    <w:p w:rsidR="00B24F21" w:rsidRPr="005050AC" w:rsidRDefault="00B24F21" w:rsidP="005050AC">
      <w:pPr>
        <w:spacing w:line="240" w:lineRule="auto"/>
        <w:rPr>
          <w:rFonts w:ascii="Times New Roman" w:hAnsi="Times New Roman" w:cs="Times New Roman"/>
          <w:sz w:val="20"/>
          <w:szCs w:val="20"/>
        </w:rPr>
      </w:pPr>
      <w:r w:rsidRPr="005050AC">
        <w:rPr>
          <w:rFonts w:ascii="Times New Roman" w:hAnsi="Times New Roman" w:cs="Times New Roman"/>
          <w:sz w:val="20"/>
          <w:szCs w:val="20"/>
        </w:rPr>
        <w:lastRenderedPageBreak/>
        <w:t>To determine variant effects on gene module expression, individual variants from each GRS with minor allele frequency &gt; 0.1 were tested using general linear models, co-varying for important technical and demographic factors.</w:t>
      </w:r>
    </w:p>
    <w:p w:rsidR="00F7419E" w:rsidRPr="005050AC" w:rsidRDefault="00BE3BEC" w:rsidP="005050AC">
      <w:pPr>
        <w:spacing w:line="240" w:lineRule="auto"/>
        <w:rPr>
          <w:rFonts w:ascii="Times New Roman" w:hAnsi="Times New Roman" w:cs="Times New Roman"/>
          <w:sz w:val="20"/>
          <w:szCs w:val="20"/>
        </w:rPr>
      </w:pPr>
      <w:r w:rsidRPr="005050AC">
        <w:rPr>
          <w:rFonts w:ascii="Times New Roman" w:hAnsi="Times New Roman" w:cs="Times New Roman"/>
          <w:sz w:val="20"/>
          <w:szCs w:val="20"/>
        </w:rPr>
        <w:t>To assess the significance of correlation rankings in the combined analyses of variant effects on microglial density and gene module expression, the following formula</w:t>
      </w:r>
      <w:r w:rsidR="001C0ABF" w:rsidRPr="005050AC">
        <w:rPr>
          <w:rFonts w:ascii="Times New Roman" w:hAnsi="Times New Roman" w:cs="Times New Roman"/>
          <w:sz w:val="20"/>
          <w:szCs w:val="20"/>
        </w:rPr>
        <w:t xml:space="preserve"> (1)</w:t>
      </w:r>
      <w:r w:rsidRPr="005050AC">
        <w:rPr>
          <w:rFonts w:ascii="Times New Roman" w:hAnsi="Times New Roman" w:cs="Times New Roman"/>
          <w:sz w:val="20"/>
          <w:szCs w:val="20"/>
        </w:rPr>
        <w:t xml:space="preserve"> was used to calculate one-sided </w:t>
      </w:r>
      <w:r w:rsidR="004112C5" w:rsidRPr="005050AC">
        <w:rPr>
          <w:rFonts w:ascii="Times New Roman" w:hAnsi="Times New Roman" w:cs="Times New Roman"/>
          <w:i/>
          <w:sz w:val="20"/>
          <w:szCs w:val="20"/>
        </w:rPr>
        <w:t>P</w:t>
      </w:r>
      <w:r w:rsidRPr="005050AC">
        <w:rPr>
          <w:rFonts w:ascii="Times New Roman" w:hAnsi="Times New Roman" w:cs="Times New Roman"/>
          <w:sz w:val="20"/>
          <w:szCs w:val="20"/>
        </w:rPr>
        <w:t>-values:</w:t>
      </w:r>
    </w:p>
    <w:p w:rsidR="00BE3BEC" w:rsidRPr="005050AC" w:rsidRDefault="001C0ABF" w:rsidP="005050AC">
      <w:pPr>
        <w:spacing w:line="240" w:lineRule="auto"/>
        <w:jc w:val="center"/>
        <w:rPr>
          <w:rFonts w:ascii="Times New Roman" w:hAnsi="Times New Roman" w:cs="Times New Roman"/>
          <w:sz w:val="20"/>
          <w:szCs w:val="20"/>
        </w:rPr>
      </w:pPr>
      <w:r w:rsidRPr="005050AC">
        <w:rPr>
          <w:rFonts w:ascii="Times New Roman" w:hAnsi="Times New Roman" w:cs="Times New Roman"/>
          <w:position w:val="-28"/>
          <w:sz w:val="20"/>
          <w:szCs w:val="20"/>
        </w:rPr>
        <w:object w:dxaOrig="47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33.75pt" o:ole="">
            <v:imagedata r:id="rId6" o:title=""/>
          </v:shape>
          <o:OLEObject Type="Embed" ProgID="Equation.3" ShapeID="_x0000_i1025" DrawAspect="Content" ObjectID="_1592836090" r:id="rId7"/>
        </w:object>
      </w:r>
      <w:r w:rsidRPr="005050AC">
        <w:rPr>
          <w:rFonts w:ascii="Times New Roman" w:hAnsi="Times New Roman" w:cs="Times New Roman"/>
          <w:sz w:val="20"/>
          <w:szCs w:val="20"/>
        </w:rPr>
        <w:tab/>
      </w:r>
      <w:r w:rsidRPr="005050AC">
        <w:rPr>
          <w:rFonts w:ascii="Times New Roman" w:hAnsi="Times New Roman" w:cs="Times New Roman"/>
          <w:sz w:val="20"/>
          <w:szCs w:val="20"/>
        </w:rPr>
        <w:tab/>
        <w:t>(1)</w:t>
      </w:r>
    </w:p>
    <w:p w:rsidR="00BE3BEC" w:rsidRPr="005050AC" w:rsidRDefault="00BE3BEC" w:rsidP="005050AC">
      <w:pPr>
        <w:spacing w:line="240" w:lineRule="auto"/>
        <w:rPr>
          <w:rFonts w:ascii="Times New Roman" w:eastAsiaTheme="minorEastAsia" w:hAnsi="Times New Roman" w:cs="Times New Roman"/>
          <w:sz w:val="20"/>
          <w:szCs w:val="20"/>
        </w:rPr>
      </w:pPr>
      <w:r w:rsidRPr="005050AC">
        <w:rPr>
          <w:rFonts w:ascii="Times New Roman" w:eastAsiaTheme="minorEastAsia" w:hAnsi="Times New Roman" w:cs="Times New Roman"/>
          <w:sz w:val="20"/>
          <w:szCs w:val="20"/>
        </w:rPr>
        <w:t>Where</w:t>
      </w:r>
      <w:r w:rsidR="00F7419E" w:rsidRPr="005050AC">
        <w:rPr>
          <w:rFonts w:ascii="Times New Roman" w:eastAsiaTheme="minorEastAsia" w:hAnsi="Times New Roman" w:cs="Times New Roman"/>
          <w:sz w:val="20"/>
          <w:szCs w:val="20"/>
        </w:rPr>
        <w:t xml:space="preserve"> n= number of total modules (47)</w:t>
      </w:r>
      <w:r w:rsidRPr="005050AC">
        <w:rPr>
          <w:rFonts w:ascii="Times New Roman" w:eastAsiaTheme="minorEastAsia" w:hAnsi="Times New Roman" w:cs="Times New Roman"/>
          <w:sz w:val="20"/>
          <w:szCs w:val="20"/>
        </w:rPr>
        <w:t>, and</w:t>
      </w:r>
      <w:r w:rsidR="00F7419E" w:rsidRPr="005050AC">
        <w:rPr>
          <w:rFonts w:ascii="Times New Roman" w:eastAsiaTheme="minorEastAsia" w:hAnsi="Times New Roman" w:cs="Times New Roman"/>
          <w:sz w:val="20"/>
          <w:szCs w:val="20"/>
        </w:rPr>
        <w:t xml:space="preserve"> r = lowest observed immune module rank</w:t>
      </w:r>
      <w:r w:rsidRPr="005050AC">
        <w:rPr>
          <w:rFonts w:ascii="Times New Roman" w:eastAsiaTheme="minorEastAsia" w:hAnsi="Times New Roman" w:cs="Times New Roman"/>
          <w:sz w:val="20"/>
          <w:szCs w:val="20"/>
        </w:rPr>
        <w:t>.</w:t>
      </w:r>
    </w:p>
    <w:p w:rsidR="00BE3BEC" w:rsidRPr="005050AC" w:rsidRDefault="00BE3BEC" w:rsidP="005050AC">
      <w:pPr>
        <w:spacing w:line="240" w:lineRule="auto"/>
        <w:rPr>
          <w:rFonts w:ascii="Times New Roman" w:hAnsi="Times New Roman" w:cs="Times New Roman"/>
          <w:sz w:val="20"/>
          <w:szCs w:val="20"/>
        </w:rPr>
      </w:pPr>
      <w:r w:rsidRPr="005050AC">
        <w:rPr>
          <w:rFonts w:ascii="Times New Roman" w:eastAsiaTheme="minorEastAsia" w:hAnsi="Times New Roman" w:cs="Times New Roman"/>
          <w:sz w:val="20"/>
          <w:szCs w:val="20"/>
        </w:rPr>
        <w:t xml:space="preserve">The null hypothesis of this test is that the lowest observed rank for </w:t>
      </w:r>
      <w:r w:rsidR="00C90C53" w:rsidRPr="005050AC">
        <w:rPr>
          <w:rFonts w:ascii="Times New Roman" w:eastAsiaTheme="minorEastAsia" w:hAnsi="Times New Roman" w:cs="Times New Roman"/>
          <w:sz w:val="20"/>
          <w:szCs w:val="20"/>
        </w:rPr>
        <w:t>five</w:t>
      </w:r>
      <w:r w:rsidRPr="005050AC">
        <w:rPr>
          <w:rFonts w:ascii="Times New Roman" w:eastAsiaTheme="minorEastAsia" w:hAnsi="Times New Roman" w:cs="Times New Roman"/>
          <w:sz w:val="20"/>
          <w:szCs w:val="20"/>
        </w:rPr>
        <w:t xml:space="preserve"> immune modules out of 47 total modules would be seen </w:t>
      </w:r>
      <w:r w:rsidR="00B40AA1" w:rsidRPr="005050AC">
        <w:rPr>
          <w:rFonts w:ascii="Times New Roman" w:eastAsiaTheme="minorEastAsia" w:hAnsi="Times New Roman" w:cs="Times New Roman"/>
          <w:sz w:val="20"/>
          <w:szCs w:val="20"/>
        </w:rPr>
        <w:t>due to random ranking assignment</w:t>
      </w:r>
      <w:r w:rsidRPr="005050AC">
        <w:rPr>
          <w:rFonts w:ascii="Times New Roman" w:eastAsiaTheme="minorEastAsia" w:hAnsi="Times New Roman" w:cs="Times New Roman"/>
          <w:sz w:val="20"/>
          <w:szCs w:val="20"/>
        </w:rPr>
        <w:t>.</w:t>
      </w:r>
      <w:r w:rsidR="00BD2060" w:rsidRPr="005050AC">
        <w:rPr>
          <w:rFonts w:ascii="Times New Roman" w:eastAsiaTheme="minorEastAsia" w:hAnsi="Times New Roman" w:cs="Times New Roman"/>
          <w:sz w:val="20"/>
          <w:szCs w:val="20"/>
        </w:rPr>
        <w:t xml:space="preserve"> </w:t>
      </w:r>
      <w:r w:rsidR="00C54310">
        <w:rPr>
          <w:rFonts w:ascii="Times New Roman" w:eastAsiaTheme="minorEastAsia" w:hAnsi="Times New Roman" w:cs="Times New Roman"/>
          <w:b/>
          <w:sz w:val="20"/>
          <w:szCs w:val="20"/>
        </w:rPr>
        <w:t>Supplementary Figure</w:t>
      </w:r>
      <w:r w:rsidR="00444103">
        <w:rPr>
          <w:rFonts w:ascii="Times New Roman" w:eastAsiaTheme="minorEastAsia" w:hAnsi="Times New Roman" w:cs="Times New Roman"/>
          <w:b/>
          <w:sz w:val="20"/>
          <w:szCs w:val="20"/>
        </w:rPr>
        <w:t>2</w:t>
      </w:r>
      <w:r w:rsidR="00BD2060" w:rsidRPr="005050AC">
        <w:rPr>
          <w:rFonts w:ascii="Times New Roman" w:eastAsiaTheme="minorEastAsia" w:hAnsi="Times New Roman" w:cs="Times New Roman"/>
          <w:b/>
          <w:sz w:val="20"/>
          <w:szCs w:val="20"/>
        </w:rPr>
        <w:t xml:space="preserve"> </w:t>
      </w:r>
      <w:r w:rsidR="004112C5" w:rsidRPr="005050AC">
        <w:rPr>
          <w:rFonts w:ascii="Times New Roman" w:eastAsiaTheme="minorEastAsia" w:hAnsi="Times New Roman" w:cs="Times New Roman"/>
          <w:sz w:val="20"/>
          <w:szCs w:val="20"/>
        </w:rPr>
        <w:t xml:space="preserve">shows the distribution of </w:t>
      </w:r>
      <w:r w:rsidR="004112C5" w:rsidRPr="005050AC">
        <w:rPr>
          <w:rFonts w:ascii="Times New Roman" w:hAnsi="Times New Roman" w:cs="Times New Roman"/>
          <w:i/>
          <w:sz w:val="20"/>
          <w:szCs w:val="20"/>
        </w:rPr>
        <w:t>P</w:t>
      </w:r>
      <w:r w:rsidR="00BD2060" w:rsidRPr="005050AC">
        <w:rPr>
          <w:rFonts w:ascii="Times New Roman" w:eastAsiaTheme="minorEastAsia" w:hAnsi="Times New Roman" w:cs="Times New Roman"/>
          <w:sz w:val="20"/>
          <w:szCs w:val="20"/>
        </w:rPr>
        <w:t xml:space="preserve">-values as a function of lowest module rank as well as where the observed </w:t>
      </w:r>
      <w:r w:rsidR="004112C5" w:rsidRPr="005050AC">
        <w:rPr>
          <w:rFonts w:ascii="Times New Roman" w:eastAsiaTheme="minorEastAsia" w:hAnsi="Times New Roman" w:cs="Times New Roman"/>
          <w:sz w:val="20"/>
          <w:szCs w:val="20"/>
        </w:rPr>
        <w:t>rheumatoid arthritis and multiple sclerosis</w:t>
      </w:r>
      <w:r w:rsidR="00BD2060" w:rsidRPr="005050AC">
        <w:rPr>
          <w:rFonts w:ascii="Times New Roman" w:eastAsiaTheme="minorEastAsia" w:hAnsi="Times New Roman" w:cs="Times New Roman"/>
          <w:sz w:val="20"/>
          <w:szCs w:val="20"/>
        </w:rPr>
        <w:t xml:space="preserve"> GRS ranks fall on the spectrum.</w:t>
      </w:r>
    </w:p>
    <w:p w:rsidR="00BE3BEC" w:rsidRPr="005050AC" w:rsidRDefault="00BE3BEC" w:rsidP="005050AC">
      <w:pPr>
        <w:spacing w:line="240" w:lineRule="auto"/>
        <w:rPr>
          <w:rFonts w:ascii="Times New Roman" w:hAnsi="Times New Roman" w:cs="Times New Roman"/>
          <w:sz w:val="20"/>
          <w:szCs w:val="20"/>
        </w:rPr>
      </w:pPr>
    </w:p>
    <w:p w:rsidR="005C2B67" w:rsidRPr="005050AC" w:rsidRDefault="005C2B67" w:rsidP="005050AC">
      <w:pPr>
        <w:spacing w:line="240" w:lineRule="auto"/>
        <w:rPr>
          <w:rFonts w:ascii="Times New Roman" w:eastAsiaTheme="majorEastAsia" w:hAnsi="Times New Roman" w:cs="Times New Roman"/>
          <w:sz w:val="20"/>
          <w:szCs w:val="20"/>
        </w:rPr>
      </w:pPr>
      <w:r w:rsidRPr="005050AC">
        <w:rPr>
          <w:rFonts w:ascii="Times New Roman" w:hAnsi="Times New Roman" w:cs="Times New Roman"/>
          <w:sz w:val="20"/>
          <w:szCs w:val="20"/>
        </w:rPr>
        <w:br w:type="page"/>
      </w:r>
    </w:p>
    <w:p w:rsidR="004B7D7F" w:rsidRPr="005050AC" w:rsidRDefault="004B7D7F" w:rsidP="005050AC">
      <w:pPr>
        <w:pStyle w:val="Heading1"/>
        <w:spacing w:line="240" w:lineRule="auto"/>
        <w:rPr>
          <w:rFonts w:ascii="Times New Roman" w:hAnsi="Times New Roman" w:cs="Times New Roman"/>
          <w:b/>
          <w:color w:val="auto"/>
          <w:sz w:val="20"/>
          <w:szCs w:val="20"/>
        </w:rPr>
      </w:pPr>
      <w:r w:rsidRPr="005050AC">
        <w:rPr>
          <w:rFonts w:ascii="Times New Roman" w:hAnsi="Times New Roman" w:cs="Times New Roman"/>
          <w:b/>
          <w:color w:val="auto"/>
          <w:sz w:val="20"/>
          <w:szCs w:val="20"/>
        </w:rPr>
        <w:lastRenderedPageBreak/>
        <w:t>Supplementary Results</w:t>
      </w:r>
    </w:p>
    <w:p w:rsidR="004B7D7F" w:rsidRPr="005050AC" w:rsidRDefault="004B7D7F" w:rsidP="005050AC">
      <w:pPr>
        <w:pStyle w:val="Heading2"/>
        <w:spacing w:line="240" w:lineRule="auto"/>
        <w:rPr>
          <w:rFonts w:ascii="Times New Roman" w:hAnsi="Times New Roman" w:cs="Times New Roman"/>
          <w:color w:val="auto"/>
          <w:sz w:val="20"/>
          <w:szCs w:val="20"/>
        </w:rPr>
      </w:pPr>
      <w:r w:rsidRPr="005050AC">
        <w:rPr>
          <w:rFonts w:ascii="Times New Roman" w:hAnsi="Times New Roman" w:cs="Times New Roman"/>
          <w:color w:val="auto"/>
          <w:sz w:val="20"/>
          <w:szCs w:val="20"/>
        </w:rPr>
        <w:t>Expression-QTL analyses of SNPs associated with microglial density</w:t>
      </w:r>
    </w:p>
    <w:p w:rsidR="004B7D7F" w:rsidRDefault="004B7D7F" w:rsidP="005050AC">
      <w:pPr>
        <w:spacing w:line="240" w:lineRule="auto"/>
        <w:rPr>
          <w:rFonts w:ascii="Times New Roman" w:hAnsi="Times New Roman" w:cs="Times New Roman"/>
          <w:sz w:val="20"/>
          <w:szCs w:val="20"/>
        </w:rPr>
      </w:pPr>
      <w:r w:rsidRPr="005050AC">
        <w:rPr>
          <w:rFonts w:ascii="Times New Roman" w:hAnsi="Times New Roman" w:cs="Times New Roman"/>
          <w:sz w:val="20"/>
          <w:szCs w:val="20"/>
        </w:rPr>
        <w:t xml:space="preserve">In ROS/MAP, the top variant influencing microglial density for the </w:t>
      </w:r>
      <w:r w:rsidR="004112C5" w:rsidRPr="005050AC">
        <w:rPr>
          <w:rFonts w:ascii="Times New Roman" w:hAnsi="Times New Roman" w:cs="Times New Roman"/>
          <w:sz w:val="20"/>
          <w:szCs w:val="20"/>
        </w:rPr>
        <w:t>rheumatoid arthritis</w:t>
      </w:r>
      <w:r w:rsidRPr="005050AC">
        <w:rPr>
          <w:rFonts w:ascii="Times New Roman" w:hAnsi="Times New Roman" w:cs="Times New Roman"/>
          <w:sz w:val="20"/>
          <w:szCs w:val="20"/>
        </w:rPr>
        <w:t xml:space="preserve"> score (rs9268839, </w:t>
      </w:r>
      <w:r w:rsidR="004112C5" w:rsidRPr="005050AC">
        <w:rPr>
          <w:rFonts w:ascii="Times New Roman" w:hAnsi="Times New Roman" w:cs="Times New Roman"/>
          <w:i/>
          <w:sz w:val="20"/>
          <w:szCs w:val="20"/>
        </w:rPr>
        <w:t>P</w:t>
      </w:r>
      <w:r w:rsidRPr="005050AC">
        <w:rPr>
          <w:rFonts w:ascii="Times New Roman" w:hAnsi="Times New Roman" w:cs="Times New Roman"/>
          <w:sz w:val="20"/>
          <w:szCs w:val="20"/>
          <w:vertAlign w:val="subscript"/>
        </w:rPr>
        <w:t>uncor</w:t>
      </w:r>
      <w:r w:rsidRPr="005050AC">
        <w:rPr>
          <w:rFonts w:ascii="Times New Roman" w:hAnsi="Times New Roman" w:cs="Times New Roman"/>
          <w:sz w:val="20"/>
          <w:szCs w:val="20"/>
        </w:rPr>
        <w:t>=2.48x10</w:t>
      </w:r>
      <w:r w:rsidRPr="005050AC">
        <w:rPr>
          <w:rFonts w:ascii="Times New Roman" w:hAnsi="Times New Roman" w:cs="Times New Roman"/>
          <w:sz w:val="20"/>
          <w:szCs w:val="20"/>
          <w:vertAlign w:val="superscript"/>
        </w:rPr>
        <w:t>-5</w:t>
      </w:r>
      <w:r w:rsidRPr="005050AC">
        <w:rPr>
          <w:rFonts w:ascii="Times New Roman" w:hAnsi="Times New Roman" w:cs="Times New Roman"/>
          <w:sz w:val="20"/>
          <w:szCs w:val="20"/>
        </w:rPr>
        <w:t xml:space="preserve">) was significantly associated with </w:t>
      </w:r>
      <w:r w:rsidRPr="005050AC">
        <w:rPr>
          <w:rFonts w:ascii="Times New Roman" w:hAnsi="Times New Roman" w:cs="Times New Roman"/>
          <w:i/>
          <w:sz w:val="20"/>
          <w:szCs w:val="20"/>
        </w:rPr>
        <w:t>HLA-DQB1</w:t>
      </w:r>
      <w:r w:rsidRPr="005050AC">
        <w:rPr>
          <w:rFonts w:ascii="Times New Roman" w:hAnsi="Times New Roman" w:cs="Times New Roman"/>
          <w:sz w:val="20"/>
          <w:szCs w:val="20"/>
        </w:rPr>
        <w:t xml:space="preserve"> expression in postmortem </w:t>
      </w:r>
      <w:r w:rsidR="004112C5" w:rsidRPr="005050AC">
        <w:rPr>
          <w:rFonts w:ascii="Times New Roman" w:hAnsi="Times New Roman" w:cs="Times New Roman"/>
          <w:sz w:val="20"/>
          <w:szCs w:val="20"/>
        </w:rPr>
        <w:t>dorsolateral prefrontal cortex</w:t>
      </w:r>
      <w:r w:rsidRPr="005050AC">
        <w:rPr>
          <w:rFonts w:ascii="Times New Roman" w:hAnsi="Times New Roman" w:cs="Times New Roman"/>
          <w:sz w:val="20"/>
          <w:szCs w:val="20"/>
        </w:rPr>
        <w:t xml:space="preserve"> (</w:t>
      </w:r>
      <w:r w:rsidR="004112C5" w:rsidRPr="005050AC">
        <w:rPr>
          <w:rFonts w:ascii="Times New Roman" w:hAnsi="Times New Roman" w:cs="Times New Roman"/>
          <w:i/>
          <w:sz w:val="20"/>
          <w:szCs w:val="20"/>
        </w:rPr>
        <w:t>P</w:t>
      </w:r>
      <w:r w:rsidRPr="005050AC">
        <w:rPr>
          <w:rFonts w:ascii="Times New Roman" w:hAnsi="Times New Roman" w:cs="Times New Roman"/>
          <w:sz w:val="20"/>
          <w:szCs w:val="20"/>
          <w:vertAlign w:val="subscript"/>
        </w:rPr>
        <w:t>uncor</w:t>
      </w:r>
      <w:r w:rsidRPr="005050AC">
        <w:rPr>
          <w:rFonts w:ascii="Times New Roman" w:hAnsi="Times New Roman" w:cs="Times New Roman"/>
          <w:sz w:val="20"/>
          <w:szCs w:val="20"/>
        </w:rPr>
        <w:t>&lt;1x10</w:t>
      </w:r>
      <w:r w:rsidRPr="005050AC">
        <w:rPr>
          <w:rFonts w:ascii="Times New Roman" w:hAnsi="Times New Roman" w:cs="Times New Roman"/>
          <w:sz w:val="20"/>
          <w:szCs w:val="20"/>
          <w:vertAlign w:val="superscript"/>
        </w:rPr>
        <w:t>-15</w:t>
      </w:r>
      <w:r w:rsidRPr="005050AC">
        <w:rPr>
          <w:rFonts w:ascii="Times New Roman" w:hAnsi="Times New Roman" w:cs="Times New Roman"/>
          <w:sz w:val="20"/>
          <w:szCs w:val="20"/>
        </w:rPr>
        <w:t xml:space="preserve">, </w:t>
      </w:r>
      <w:r w:rsidR="004112C5" w:rsidRPr="005050AC">
        <w:rPr>
          <w:rFonts w:ascii="Times New Roman" w:hAnsi="Times New Roman" w:cs="Times New Roman"/>
          <w:i/>
          <w:sz w:val="20"/>
          <w:szCs w:val="20"/>
        </w:rPr>
        <w:t>P</w:t>
      </w:r>
      <w:r w:rsidRPr="005050AC">
        <w:rPr>
          <w:rFonts w:ascii="Times New Roman" w:hAnsi="Times New Roman" w:cs="Times New Roman"/>
          <w:sz w:val="20"/>
          <w:szCs w:val="20"/>
          <w:vertAlign w:val="subscript"/>
        </w:rPr>
        <w:t>corrected</w:t>
      </w:r>
      <w:r w:rsidRPr="005050AC">
        <w:rPr>
          <w:rFonts w:ascii="Times New Roman" w:hAnsi="Times New Roman" w:cs="Times New Roman"/>
          <w:sz w:val="20"/>
          <w:szCs w:val="20"/>
        </w:rPr>
        <w:t xml:space="preserve">&lt;0.0001). According to the </w:t>
      </w:r>
      <w:proofErr w:type="spellStart"/>
      <w:r w:rsidRPr="005050AC">
        <w:rPr>
          <w:rFonts w:ascii="Times New Roman" w:hAnsi="Times New Roman" w:cs="Times New Roman"/>
          <w:sz w:val="20"/>
          <w:szCs w:val="20"/>
        </w:rPr>
        <w:t>GTEx</w:t>
      </w:r>
      <w:proofErr w:type="spellEnd"/>
      <w:r w:rsidRPr="005050AC">
        <w:rPr>
          <w:rFonts w:ascii="Times New Roman" w:hAnsi="Times New Roman" w:cs="Times New Roman"/>
          <w:sz w:val="20"/>
          <w:szCs w:val="20"/>
        </w:rPr>
        <w:t xml:space="preserve"> database,</w:t>
      </w:r>
      <w:r w:rsidRPr="005050AC">
        <w:rPr>
          <w:rFonts w:ascii="Times New Roman" w:hAnsi="Times New Roman" w:cs="Times New Roman"/>
          <w:sz w:val="20"/>
          <w:szCs w:val="20"/>
        </w:rPr>
        <w:fldChar w:fldCharType="begin"/>
      </w:r>
      <w:r w:rsidR="00096505">
        <w:rPr>
          <w:rFonts w:ascii="Times New Roman" w:hAnsi="Times New Roman" w:cs="Times New Roman"/>
          <w:sz w:val="20"/>
          <w:szCs w:val="20"/>
        </w:rPr>
        <w:instrText xml:space="preserve"> ADDIN ZOTERO_ITEM CSL_CITATION {"citationID":"2idog9i6ee","properties":{"formattedCitation":"[10]","plainCitation":"[10]"},"citationItems":[{"id":4395,"uris":["http://zotero.org/users/687843/items/CCEAUZXA"],"uri":["http://zotero.org/users/687843/items/CCEAUZXA"],"itemData":{"id":4395,"type":"article-journal","title":"Human genomics. The Genotype-Tissue Expression (GTEx) pilot analysis: multitissue gene regulation in humans","container-title":"Science (New York, N.Y.)","page":"648-660","volume":"348","issue":"6235","source":"PubMed","abstract":"Understanding the functional consequences of genetic variation, and how it affects complex human disease and quantitative traits, remains a critical challenge for biomedicine. We present an analysis of RNA sequencing data from 1641 samples across 43 tissues from 175 individuals, generated as part of the pilot phase of the Genotype-Tissue Expression (GTEx) project. We describe the landscape of gene expression across tissues, catalog thousands of tissue-specific and shared regulatory expression quantitative trait loci (eQTL) variants, describe complex network relationships, and identify signals from genome-wide association studies explained by eQTLs. These findings provide a systematic understanding of the cellular and biological consequences of human genetic variation and of the heterogeneity of such effects among a diverse set of human tissues.","DOI":"10.1126/science.1262110","ISSN":"1095-9203","note":"PMID: 25954001\nPMCID: PMC4547484","shortTitle":"Human genomics. The Genotype-Tissue Expression (GTEx) pilot analysis","journalAbbreviation":"Science","language":"eng","author":[{"literal":"GTEx Consortium"}],"issued":{"date-parts":[["2015",5,8]]}}}],"schema":"https://github.com/citation-style-language/schema/raw/master/csl-citation.json"} </w:instrText>
      </w:r>
      <w:r w:rsidRPr="005050AC">
        <w:rPr>
          <w:rFonts w:ascii="Times New Roman" w:hAnsi="Times New Roman" w:cs="Times New Roman"/>
          <w:sz w:val="20"/>
          <w:szCs w:val="20"/>
        </w:rPr>
        <w:fldChar w:fldCharType="separate"/>
      </w:r>
      <w:r w:rsidR="00096505" w:rsidRPr="00096505">
        <w:rPr>
          <w:rFonts w:ascii="Times New Roman" w:hAnsi="Times New Roman" w:cs="Times New Roman"/>
          <w:sz w:val="20"/>
        </w:rPr>
        <w:t>[10]</w:t>
      </w:r>
      <w:r w:rsidRPr="005050AC">
        <w:rPr>
          <w:rFonts w:ascii="Times New Roman" w:hAnsi="Times New Roman" w:cs="Times New Roman"/>
          <w:sz w:val="20"/>
          <w:szCs w:val="20"/>
        </w:rPr>
        <w:fldChar w:fldCharType="end"/>
      </w:r>
      <w:r w:rsidRPr="005050AC">
        <w:rPr>
          <w:rFonts w:ascii="Times New Roman" w:hAnsi="Times New Roman" w:cs="Times New Roman"/>
          <w:sz w:val="20"/>
          <w:szCs w:val="20"/>
        </w:rPr>
        <w:t xml:space="preserve"> rs9268839 is also strongly associated with the expression of </w:t>
      </w:r>
      <w:r w:rsidRPr="005050AC">
        <w:rPr>
          <w:rFonts w:ascii="Times New Roman" w:hAnsi="Times New Roman" w:cs="Times New Roman"/>
          <w:i/>
          <w:sz w:val="20"/>
          <w:szCs w:val="20"/>
        </w:rPr>
        <w:t>HLA-DRB6</w:t>
      </w:r>
      <w:r w:rsidRPr="005050AC">
        <w:rPr>
          <w:rFonts w:ascii="Times New Roman" w:hAnsi="Times New Roman" w:cs="Times New Roman"/>
          <w:sz w:val="20"/>
          <w:szCs w:val="20"/>
        </w:rPr>
        <w:t xml:space="preserve"> (</w:t>
      </w:r>
      <w:r w:rsidR="004112C5" w:rsidRPr="005050AC">
        <w:rPr>
          <w:rFonts w:ascii="Times New Roman" w:hAnsi="Times New Roman" w:cs="Times New Roman"/>
          <w:i/>
          <w:sz w:val="20"/>
          <w:szCs w:val="20"/>
        </w:rPr>
        <w:t>P</w:t>
      </w:r>
      <w:r w:rsidRPr="005050AC">
        <w:rPr>
          <w:rFonts w:ascii="Times New Roman" w:hAnsi="Times New Roman" w:cs="Times New Roman"/>
          <w:sz w:val="20"/>
          <w:szCs w:val="20"/>
        </w:rPr>
        <w:t>=6.11x10</w:t>
      </w:r>
      <w:r w:rsidRPr="005050AC">
        <w:rPr>
          <w:rFonts w:ascii="Times New Roman" w:hAnsi="Times New Roman" w:cs="Times New Roman"/>
          <w:sz w:val="20"/>
          <w:szCs w:val="20"/>
          <w:vertAlign w:val="superscript"/>
        </w:rPr>
        <w:t>-15</w:t>
      </w:r>
      <w:r w:rsidRPr="005050AC">
        <w:rPr>
          <w:rFonts w:ascii="Times New Roman" w:hAnsi="Times New Roman" w:cs="Times New Roman"/>
          <w:sz w:val="20"/>
          <w:szCs w:val="20"/>
        </w:rPr>
        <w:t xml:space="preserve">) and </w:t>
      </w:r>
      <w:r w:rsidRPr="005050AC">
        <w:rPr>
          <w:rFonts w:ascii="Times New Roman" w:hAnsi="Times New Roman" w:cs="Times New Roman"/>
          <w:i/>
          <w:sz w:val="20"/>
          <w:szCs w:val="20"/>
        </w:rPr>
        <w:t>HLA-DQB1</w:t>
      </w:r>
      <w:r w:rsidRPr="005050AC">
        <w:rPr>
          <w:rFonts w:ascii="Times New Roman" w:hAnsi="Times New Roman" w:cs="Times New Roman"/>
          <w:sz w:val="20"/>
          <w:szCs w:val="20"/>
        </w:rPr>
        <w:t xml:space="preserve"> (</w:t>
      </w:r>
      <w:r w:rsidR="004112C5" w:rsidRPr="005050AC">
        <w:rPr>
          <w:rFonts w:ascii="Times New Roman" w:hAnsi="Times New Roman" w:cs="Times New Roman"/>
          <w:i/>
          <w:sz w:val="20"/>
          <w:szCs w:val="20"/>
        </w:rPr>
        <w:t>P</w:t>
      </w:r>
      <w:r w:rsidRPr="005050AC">
        <w:rPr>
          <w:rFonts w:ascii="Times New Roman" w:hAnsi="Times New Roman" w:cs="Times New Roman"/>
          <w:sz w:val="20"/>
          <w:szCs w:val="20"/>
        </w:rPr>
        <w:t>=7.77x10</w:t>
      </w:r>
      <w:r w:rsidRPr="005050AC">
        <w:rPr>
          <w:rFonts w:ascii="Times New Roman" w:hAnsi="Times New Roman" w:cs="Times New Roman"/>
          <w:sz w:val="20"/>
          <w:szCs w:val="20"/>
          <w:vertAlign w:val="superscript"/>
        </w:rPr>
        <w:t>-7</w:t>
      </w:r>
      <w:r w:rsidRPr="005050AC">
        <w:rPr>
          <w:rFonts w:ascii="Times New Roman" w:hAnsi="Times New Roman" w:cs="Times New Roman"/>
          <w:sz w:val="20"/>
          <w:szCs w:val="20"/>
        </w:rPr>
        <w:t xml:space="preserve">) in postmortem frontal cortex, Brodmann Area 9 (part of the </w:t>
      </w:r>
      <w:r w:rsidR="004112C5" w:rsidRPr="005050AC">
        <w:rPr>
          <w:rFonts w:ascii="Times New Roman" w:hAnsi="Times New Roman" w:cs="Times New Roman"/>
          <w:sz w:val="20"/>
          <w:szCs w:val="20"/>
        </w:rPr>
        <w:t>dorsolateral prefrontal cortex</w:t>
      </w:r>
      <w:r w:rsidRPr="005050AC">
        <w:rPr>
          <w:rFonts w:ascii="Times New Roman" w:hAnsi="Times New Roman" w:cs="Times New Roman"/>
          <w:sz w:val="20"/>
          <w:szCs w:val="20"/>
        </w:rPr>
        <w:t>), among many other tissue types.</w:t>
      </w:r>
    </w:p>
    <w:p w:rsidR="00D9431E" w:rsidRPr="00D9431E" w:rsidRDefault="00D9431E" w:rsidP="00D9431E">
      <w:pPr>
        <w:spacing w:line="240" w:lineRule="auto"/>
        <w:rPr>
          <w:rFonts w:ascii="Times New Roman" w:hAnsi="Times New Roman" w:cs="Times New Roman"/>
          <w:sz w:val="20"/>
          <w:szCs w:val="20"/>
        </w:rPr>
      </w:pPr>
      <w:r w:rsidRPr="00D9431E">
        <w:rPr>
          <w:rFonts w:ascii="Times New Roman" w:hAnsi="Times New Roman" w:cs="Times New Roman"/>
          <w:sz w:val="20"/>
          <w:szCs w:val="20"/>
        </w:rPr>
        <w:t xml:space="preserve">To evaluate the intersection of gene variant effects on both microglial density and gene expression, Spearman correlations of variant effects on both outcomes were evaluated within each GRS. Again, no results were significant after correction; however, 17 variant effect correlations were significant at </w:t>
      </w:r>
      <w:r w:rsidRPr="00D9431E">
        <w:rPr>
          <w:rFonts w:ascii="Times New Roman" w:hAnsi="Times New Roman" w:cs="Times New Roman"/>
          <w:i/>
          <w:sz w:val="20"/>
          <w:szCs w:val="20"/>
        </w:rPr>
        <w:t>P</w:t>
      </w:r>
      <w:r w:rsidRPr="00D9431E">
        <w:rPr>
          <w:rFonts w:ascii="Times New Roman" w:hAnsi="Times New Roman" w:cs="Times New Roman"/>
          <w:sz w:val="20"/>
          <w:szCs w:val="20"/>
          <w:vertAlign w:val="subscript"/>
        </w:rPr>
        <w:t>uncor</w:t>
      </w:r>
      <w:r w:rsidRPr="00D9431E">
        <w:rPr>
          <w:rFonts w:ascii="Times New Roman" w:hAnsi="Times New Roman" w:cs="Times New Roman"/>
          <w:sz w:val="20"/>
          <w:szCs w:val="20"/>
        </w:rPr>
        <w:t>&lt;0.05 (</w:t>
      </w:r>
      <w:r w:rsidR="00895C7F" w:rsidRPr="00895C7F">
        <w:rPr>
          <w:rFonts w:ascii="Times New Roman" w:hAnsi="Times New Roman" w:cs="Times New Roman"/>
          <w:b/>
          <w:sz w:val="20"/>
          <w:szCs w:val="20"/>
        </w:rPr>
        <w:t xml:space="preserve">Supplementary </w:t>
      </w:r>
      <w:r w:rsidRPr="00D9431E">
        <w:rPr>
          <w:rFonts w:ascii="Times New Roman" w:hAnsi="Times New Roman" w:cs="Times New Roman"/>
          <w:b/>
          <w:sz w:val="20"/>
          <w:szCs w:val="20"/>
        </w:rPr>
        <w:t>Figure</w:t>
      </w:r>
      <w:r w:rsidR="00895C7F">
        <w:rPr>
          <w:rFonts w:ascii="Times New Roman" w:hAnsi="Times New Roman" w:cs="Times New Roman"/>
          <w:b/>
          <w:sz w:val="20"/>
          <w:szCs w:val="20"/>
        </w:rPr>
        <w:t xml:space="preserve"> 7</w:t>
      </w:r>
      <w:r w:rsidRPr="00D9431E">
        <w:rPr>
          <w:rFonts w:ascii="Times New Roman" w:hAnsi="Times New Roman" w:cs="Times New Roman"/>
          <w:b/>
          <w:sz w:val="20"/>
          <w:szCs w:val="20"/>
        </w:rPr>
        <w:t>A</w:t>
      </w:r>
      <w:r w:rsidRPr="00D9431E">
        <w:rPr>
          <w:rFonts w:ascii="Times New Roman" w:hAnsi="Times New Roman" w:cs="Times New Roman"/>
          <w:sz w:val="20"/>
          <w:szCs w:val="20"/>
        </w:rPr>
        <w:t xml:space="preserve">). Of these, 15 were for the variants contributing to the MS GRS. As seen in </w:t>
      </w:r>
      <w:r w:rsidR="00895C7F">
        <w:rPr>
          <w:rFonts w:ascii="Times New Roman" w:hAnsi="Times New Roman" w:cs="Times New Roman"/>
          <w:b/>
          <w:sz w:val="20"/>
          <w:szCs w:val="20"/>
        </w:rPr>
        <w:t>Supplementary Figure 7</w:t>
      </w:r>
      <w:r w:rsidRPr="00D9431E">
        <w:rPr>
          <w:rFonts w:ascii="Times New Roman" w:hAnsi="Times New Roman" w:cs="Times New Roman"/>
          <w:sz w:val="20"/>
          <w:szCs w:val="20"/>
        </w:rPr>
        <w:t>, the five immune modules are among those yielding the strongest positive correlations, while the strongest negative correlations are enriched for neuronal modules</w:t>
      </w:r>
      <w:r w:rsidRPr="00D9431E">
        <w:rPr>
          <w:rFonts w:ascii="Times New Roman" w:hAnsi="Times New Roman" w:cs="Times New Roman"/>
          <w:sz w:val="20"/>
          <w:szCs w:val="20"/>
        </w:rPr>
        <w:fldChar w:fldCharType="begin"/>
      </w:r>
      <w:r w:rsidR="00096505">
        <w:rPr>
          <w:rFonts w:ascii="Times New Roman" w:hAnsi="Times New Roman" w:cs="Times New Roman"/>
          <w:sz w:val="20"/>
          <w:szCs w:val="20"/>
        </w:rPr>
        <w:instrText xml:space="preserve"> ADDIN ZOTERO_ITEM CSL_CITATION {"citationID":"Cby7Jb5i","properties":{"formattedCitation":"[11]","plainCitation":"[11]"},"citationItems":[{"id":4499,"uris":["http://zotero.org/users/687843/items/C7F3RDSJ"],"uri":["http://zotero.org/users/687843/items/C7F3RDSJ"],"itemData":{"id":4499,"type":"article-journal","title":"A molecular network map of the aging brain implicates INNPL1 and PLXNB1 in Alzheimer’s disease","container-title":"Under Review","author":[{"family":"Mostafavi","given":"Sara"},{"family":"Gaiteri","given":"Chris"},{"family":"Sullivan","given":"Susan"},{"family":"White","given":"Charles C."},{"family":"Xu","given":"Jishu"},{"family":"Taga","given":"Mariko"},{"family":"Patrick","given":"Ellis"},{"family":"Komashko","given":"Vitalina"},{"family":"McCabe","given":"Cristin"},{"family":"Smith","given":"R"},{"family":"Bradshaw","given":"Elizabeth M"},{"family":"Root","given":"D"},{"family":"Regev","given":"Aviv"},{"family":"Yu","given":"Lei"},{"family":"Chibnik","given":"L. B."},{"family":"Schneider","given":"J. A."},{"family":"Young-Pearse","given":"Tracy"},{"family":"Bennett","given":"D.A."},{"family":"De Jager","given":"P. L."}],"issued":{"date-parts":[["2017"]]}}}],"schema":"https://github.com/citation-style-language/schema/raw/master/csl-citation.json"} </w:instrText>
      </w:r>
      <w:r w:rsidRPr="00D9431E">
        <w:rPr>
          <w:rFonts w:ascii="Times New Roman" w:hAnsi="Times New Roman" w:cs="Times New Roman"/>
          <w:sz w:val="20"/>
          <w:szCs w:val="20"/>
        </w:rPr>
        <w:fldChar w:fldCharType="separate"/>
      </w:r>
      <w:r w:rsidR="00096505" w:rsidRPr="00096505">
        <w:rPr>
          <w:rFonts w:ascii="Times New Roman" w:hAnsi="Times New Roman" w:cs="Times New Roman"/>
          <w:sz w:val="20"/>
        </w:rPr>
        <w:t>[11]</w:t>
      </w:r>
      <w:r w:rsidRPr="00D9431E">
        <w:rPr>
          <w:rFonts w:ascii="Times New Roman" w:hAnsi="Times New Roman" w:cs="Times New Roman"/>
          <w:sz w:val="20"/>
          <w:szCs w:val="20"/>
        </w:rPr>
        <w:fldChar w:fldCharType="end"/>
      </w:r>
      <w:r w:rsidRPr="00D9431E">
        <w:rPr>
          <w:rFonts w:ascii="Times New Roman" w:hAnsi="Times New Roman" w:cs="Times New Roman"/>
          <w:sz w:val="20"/>
          <w:szCs w:val="20"/>
        </w:rPr>
        <w:t>. Assessing this statistically, the five immune modules ranked 46</w:t>
      </w:r>
      <w:r w:rsidRPr="00D9431E">
        <w:rPr>
          <w:rFonts w:ascii="Times New Roman" w:hAnsi="Times New Roman" w:cs="Times New Roman"/>
          <w:sz w:val="20"/>
          <w:szCs w:val="20"/>
          <w:vertAlign w:val="superscript"/>
        </w:rPr>
        <w:t>th</w:t>
      </w:r>
      <w:r w:rsidRPr="00D9431E">
        <w:rPr>
          <w:rFonts w:ascii="Times New Roman" w:hAnsi="Times New Roman" w:cs="Times New Roman"/>
          <w:sz w:val="20"/>
          <w:szCs w:val="20"/>
        </w:rPr>
        <w:t>, 45</w:t>
      </w:r>
      <w:r w:rsidRPr="00D9431E">
        <w:rPr>
          <w:rFonts w:ascii="Times New Roman" w:hAnsi="Times New Roman" w:cs="Times New Roman"/>
          <w:sz w:val="20"/>
          <w:szCs w:val="20"/>
          <w:vertAlign w:val="superscript"/>
        </w:rPr>
        <w:t>th</w:t>
      </w:r>
      <w:r w:rsidRPr="00D9431E">
        <w:rPr>
          <w:rFonts w:ascii="Times New Roman" w:hAnsi="Times New Roman" w:cs="Times New Roman"/>
          <w:sz w:val="20"/>
          <w:szCs w:val="20"/>
        </w:rPr>
        <w:t>, 44</w:t>
      </w:r>
      <w:r w:rsidRPr="00D9431E">
        <w:rPr>
          <w:rFonts w:ascii="Times New Roman" w:hAnsi="Times New Roman" w:cs="Times New Roman"/>
          <w:sz w:val="20"/>
          <w:szCs w:val="20"/>
          <w:vertAlign w:val="superscript"/>
        </w:rPr>
        <w:t>th</w:t>
      </w:r>
      <w:r w:rsidRPr="00D9431E">
        <w:rPr>
          <w:rFonts w:ascii="Times New Roman" w:hAnsi="Times New Roman" w:cs="Times New Roman"/>
          <w:sz w:val="20"/>
          <w:szCs w:val="20"/>
        </w:rPr>
        <w:t>, 42</w:t>
      </w:r>
      <w:r w:rsidRPr="00D9431E">
        <w:rPr>
          <w:rFonts w:ascii="Times New Roman" w:hAnsi="Times New Roman" w:cs="Times New Roman"/>
          <w:sz w:val="20"/>
          <w:szCs w:val="20"/>
          <w:vertAlign w:val="superscript"/>
        </w:rPr>
        <w:t>nd</w:t>
      </w:r>
      <w:r w:rsidRPr="00D9431E">
        <w:rPr>
          <w:rFonts w:ascii="Times New Roman" w:hAnsi="Times New Roman" w:cs="Times New Roman"/>
          <w:sz w:val="20"/>
          <w:szCs w:val="20"/>
        </w:rPr>
        <w:t>, and 35</w:t>
      </w:r>
      <w:r w:rsidRPr="00D9431E">
        <w:rPr>
          <w:rFonts w:ascii="Times New Roman" w:hAnsi="Times New Roman" w:cs="Times New Roman"/>
          <w:sz w:val="20"/>
          <w:szCs w:val="20"/>
          <w:vertAlign w:val="superscript"/>
        </w:rPr>
        <w:t>th</w:t>
      </w:r>
      <w:r w:rsidRPr="00D9431E">
        <w:rPr>
          <w:rFonts w:ascii="Times New Roman" w:hAnsi="Times New Roman" w:cs="Times New Roman"/>
          <w:sz w:val="20"/>
          <w:szCs w:val="20"/>
        </w:rPr>
        <w:t xml:space="preserve"> out of all 47 when modules are ordered from greatest negative effects correlation to most positive. The probability of observing this skewed ranking (i.e. the lowest rank of five modules being at least 35</w:t>
      </w:r>
      <w:r w:rsidRPr="00D9431E">
        <w:rPr>
          <w:rFonts w:ascii="Times New Roman" w:hAnsi="Times New Roman" w:cs="Times New Roman"/>
          <w:sz w:val="20"/>
          <w:szCs w:val="20"/>
          <w:vertAlign w:val="superscript"/>
        </w:rPr>
        <w:t>th</w:t>
      </w:r>
      <w:r w:rsidRPr="00D9431E">
        <w:rPr>
          <w:rFonts w:ascii="Times New Roman" w:hAnsi="Times New Roman" w:cs="Times New Roman"/>
          <w:sz w:val="20"/>
          <w:szCs w:val="20"/>
        </w:rPr>
        <w:t>, if the distribution of associations was random) is 8.4x10</w:t>
      </w:r>
      <w:r w:rsidRPr="00D9431E">
        <w:rPr>
          <w:rFonts w:ascii="Times New Roman" w:hAnsi="Times New Roman" w:cs="Times New Roman"/>
          <w:sz w:val="20"/>
          <w:szCs w:val="20"/>
          <w:vertAlign w:val="superscript"/>
        </w:rPr>
        <w:t>-4</w:t>
      </w:r>
      <w:r w:rsidRPr="00D9431E">
        <w:rPr>
          <w:rFonts w:ascii="Times New Roman" w:hAnsi="Times New Roman" w:cs="Times New Roman"/>
          <w:sz w:val="20"/>
          <w:szCs w:val="20"/>
          <w:vertAlign w:val="superscript"/>
        </w:rPr>
        <w:softHyphen/>
      </w:r>
      <w:r w:rsidRPr="00D9431E">
        <w:rPr>
          <w:rFonts w:ascii="Times New Roman" w:hAnsi="Times New Roman" w:cs="Times New Roman"/>
          <w:sz w:val="20"/>
          <w:szCs w:val="20"/>
          <w:vertAlign w:val="subscript"/>
        </w:rPr>
        <w:t xml:space="preserve"> </w:t>
      </w:r>
      <w:r w:rsidRPr="00D9431E">
        <w:rPr>
          <w:rFonts w:ascii="Times New Roman" w:hAnsi="Times New Roman" w:cs="Times New Roman"/>
          <w:sz w:val="20"/>
          <w:szCs w:val="20"/>
        </w:rPr>
        <w:t>(</w:t>
      </w:r>
      <w:r w:rsidRPr="00D9431E">
        <w:rPr>
          <w:rFonts w:ascii="Times New Roman" w:hAnsi="Times New Roman" w:cs="Times New Roman"/>
          <w:b/>
          <w:sz w:val="20"/>
          <w:szCs w:val="20"/>
        </w:rPr>
        <w:t>Supplementary Figure 2</w:t>
      </w:r>
      <w:r w:rsidRPr="00D9431E">
        <w:rPr>
          <w:rFonts w:ascii="Times New Roman" w:hAnsi="Times New Roman" w:cs="Times New Roman"/>
          <w:sz w:val="20"/>
          <w:szCs w:val="20"/>
        </w:rPr>
        <w:t>). For the RA GRS, immune gene modules also grouped in high ranks (lowest rank=37</w:t>
      </w:r>
      <w:r w:rsidRPr="00D9431E">
        <w:rPr>
          <w:rFonts w:ascii="Times New Roman" w:hAnsi="Times New Roman" w:cs="Times New Roman"/>
          <w:sz w:val="20"/>
          <w:szCs w:val="20"/>
          <w:vertAlign w:val="superscript"/>
        </w:rPr>
        <w:t>th</w:t>
      </w:r>
      <w:r w:rsidRPr="00D9431E">
        <w:rPr>
          <w:rFonts w:ascii="Times New Roman" w:hAnsi="Times New Roman" w:cs="Times New Roman"/>
          <w:sz w:val="20"/>
          <w:szCs w:val="20"/>
        </w:rPr>
        <w:t xml:space="preserve">, </w:t>
      </w:r>
      <w:r w:rsidRPr="00D9431E">
        <w:rPr>
          <w:rFonts w:ascii="Times New Roman" w:hAnsi="Times New Roman" w:cs="Times New Roman"/>
          <w:i/>
          <w:sz w:val="20"/>
          <w:szCs w:val="20"/>
        </w:rPr>
        <w:t>P</w:t>
      </w:r>
      <w:r w:rsidRPr="00D9431E">
        <w:rPr>
          <w:rFonts w:ascii="Times New Roman" w:hAnsi="Times New Roman" w:cs="Times New Roman"/>
          <w:sz w:val="20"/>
          <w:szCs w:val="20"/>
          <w:vertAlign w:val="subscript"/>
        </w:rPr>
        <w:t>uncor</w:t>
      </w:r>
      <w:r w:rsidRPr="00D9431E">
        <w:rPr>
          <w:rFonts w:ascii="Times New Roman" w:hAnsi="Times New Roman" w:cs="Times New Roman"/>
          <w:sz w:val="20"/>
          <w:szCs w:val="20"/>
        </w:rPr>
        <w:t>=3.0x10</w:t>
      </w:r>
      <w:r w:rsidRPr="00D9431E">
        <w:rPr>
          <w:rFonts w:ascii="Times New Roman" w:hAnsi="Times New Roman" w:cs="Times New Roman"/>
          <w:sz w:val="20"/>
          <w:szCs w:val="20"/>
          <w:vertAlign w:val="superscript"/>
        </w:rPr>
        <w:t>-4</w:t>
      </w:r>
      <w:r w:rsidRPr="00D9431E">
        <w:rPr>
          <w:rFonts w:ascii="Times New Roman" w:hAnsi="Times New Roman" w:cs="Times New Roman"/>
          <w:sz w:val="20"/>
          <w:szCs w:val="20"/>
        </w:rPr>
        <w:t>), but no other groups of variants significantly influenced both microglial density and immune-specific gene module expression (</w:t>
      </w:r>
      <w:r w:rsidRPr="00D9431E">
        <w:rPr>
          <w:rFonts w:ascii="Times New Roman" w:hAnsi="Times New Roman" w:cs="Times New Roman"/>
          <w:b/>
          <w:sz w:val="20"/>
          <w:szCs w:val="20"/>
        </w:rPr>
        <w:t>Supplementary Figure 6</w:t>
      </w:r>
      <w:r w:rsidRPr="00D9431E">
        <w:rPr>
          <w:rFonts w:ascii="Times New Roman" w:hAnsi="Times New Roman" w:cs="Times New Roman"/>
          <w:sz w:val="20"/>
          <w:szCs w:val="20"/>
        </w:rPr>
        <w:t xml:space="preserve">). </w:t>
      </w:r>
    </w:p>
    <w:p w:rsidR="00D9431E" w:rsidRPr="005050AC" w:rsidRDefault="00D9431E" w:rsidP="005050AC">
      <w:pPr>
        <w:spacing w:line="240" w:lineRule="auto"/>
        <w:rPr>
          <w:rFonts w:ascii="Times New Roman" w:hAnsi="Times New Roman" w:cs="Times New Roman"/>
          <w:sz w:val="20"/>
          <w:szCs w:val="20"/>
        </w:rPr>
      </w:pPr>
    </w:p>
    <w:p w:rsidR="00BC21D7" w:rsidRPr="005050AC" w:rsidRDefault="00BC21D7" w:rsidP="005050AC">
      <w:pPr>
        <w:spacing w:line="240" w:lineRule="auto"/>
        <w:rPr>
          <w:rFonts w:ascii="Times New Roman" w:hAnsi="Times New Roman" w:cs="Times New Roman"/>
          <w:sz w:val="20"/>
          <w:szCs w:val="20"/>
        </w:rPr>
      </w:pPr>
    </w:p>
    <w:p w:rsidR="00884FF4" w:rsidRPr="005050AC" w:rsidRDefault="00884FF4" w:rsidP="005050AC">
      <w:pPr>
        <w:spacing w:line="240" w:lineRule="auto"/>
        <w:rPr>
          <w:rFonts w:ascii="Times New Roman" w:eastAsiaTheme="majorEastAsia" w:hAnsi="Times New Roman" w:cs="Times New Roman"/>
          <w:sz w:val="20"/>
          <w:szCs w:val="20"/>
        </w:rPr>
      </w:pPr>
      <w:r w:rsidRPr="005050AC">
        <w:rPr>
          <w:rFonts w:ascii="Times New Roman" w:hAnsi="Times New Roman" w:cs="Times New Roman"/>
          <w:sz w:val="20"/>
          <w:szCs w:val="20"/>
        </w:rPr>
        <w:br w:type="page"/>
      </w:r>
    </w:p>
    <w:p w:rsidR="00BC21D7" w:rsidRPr="005050AC" w:rsidRDefault="00884FF4" w:rsidP="005050AC">
      <w:pPr>
        <w:pStyle w:val="Heading1"/>
        <w:spacing w:line="240" w:lineRule="auto"/>
        <w:rPr>
          <w:rFonts w:ascii="Times New Roman" w:hAnsi="Times New Roman" w:cs="Times New Roman"/>
          <w:b/>
          <w:color w:val="auto"/>
          <w:sz w:val="20"/>
          <w:szCs w:val="20"/>
        </w:rPr>
      </w:pPr>
      <w:r w:rsidRPr="005050AC">
        <w:rPr>
          <w:rFonts w:ascii="Times New Roman" w:hAnsi="Times New Roman" w:cs="Times New Roman"/>
          <w:b/>
          <w:color w:val="auto"/>
          <w:sz w:val="20"/>
          <w:szCs w:val="20"/>
        </w:rPr>
        <w:lastRenderedPageBreak/>
        <w:t>Supplementary References</w:t>
      </w:r>
    </w:p>
    <w:p w:rsidR="00096505" w:rsidRPr="00096505" w:rsidRDefault="00884FF4" w:rsidP="00096505">
      <w:pPr>
        <w:pStyle w:val="Bibliography"/>
        <w:rPr>
          <w:rFonts w:ascii="Times New Roman" w:hAnsi="Times New Roman" w:cs="Times New Roman"/>
          <w:sz w:val="20"/>
        </w:rPr>
      </w:pPr>
      <w:r w:rsidRPr="005050AC">
        <w:rPr>
          <w:sz w:val="20"/>
          <w:szCs w:val="20"/>
        </w:rPr>
        <w:fldChar w:fldCharType="begin"/>
      </w:r>
      <w:r w:rsidR="00096505">
        <w:rPr>
          <w:sz w:val="20"/>
          <w:szCs w:val="20"/>
        </w:rPr>
        <w:instrText xml:space="preserve"> ADDIN ZOTERO_BIBL {"custom":[]} CSL_BIBLIOGRAPHY </w:instrText>
      </w:r>
      <w:r w:rsidRPr="005050AC">
        <w:rPr>
          <w:sz w:val="20"/>
          <w:szCs w:val="20"/>
        </w:rPr>
        <w:fldChar w:fldCharType="separate"/>
      </w:r>
      <w:r w:rsidR="00096505" w:rsidRPr="00096505">
        <w:rPr>
          <w:rFonts w:ascii="Times New Roman" w:hAnsi="Times New Roman" w:cs="Times New Roman"/>
          <w:sz w:val="20"/>
        </w:rPr>
        <w:t xml:space="preserve">1. </w:t>
      </w:r>
      <w:proofErr w:type="spellStart"/>
      <w:r w:rsidR="00096505" w:rsidRPr="00096505">
        <w:rPr>
          <w:rFonts w:ascii="Times New Roman" w:hAnsi="Times New Roman" w:cs="Times New Roman"/>
          <w:sz w:val="20"/>
        </w:rPr>
        <w:t>Jia</w:t>
      </w:r>
      <w:proofErr w:type="spellEnd"/>
      <w:r w:rsidR="00096505" w:rsidRPr="00096505">
        <w:rPr>
          <w:rFonts w:ascii="Times New Roman" w:hAnsi="Times New Roman" w:cs="Times New Roman"/>
          <w:sz w:val="20"/>
        </w:rPr>
        <w:t xml:space="preserve"> X, Han B, </w:t>
      </w:r>
      <w:proofErr w:type="spellStart"/>
      <w:r w:rsidR="00096505" w:rsidRPr="00096505">
        <w:rPr>
          <w:rFonts w:ascii="Times New Roman" w:hAnsi="Times New Roman" w:cs="Times New Roman"/>
          <w:sz w:val="20"/>
        </w:rPr>
        <w:t>Onengut-Gumuscu</w:t>
      </w:r>
      <w:proofErr w:type="spellEnd"/>
      <w:r w:rsidR="00096505" w:rsidRPr="00096505">
        <w:rPr>
          <w:rFonts w:ascii="Times New Roman" w:hAnsi="Times New Roman" w:cs="Times New Roman"/>
          <w:sz w:val="20"/>
        </w:rPr>
        <w:t xml:space="preserve"> S, Chen W-M, </w:t>
      </w:r>
      <w:proofErr w:type="spellStart"/>
      <w:r w:rsidR="00096505" w:rsidRPr="00096505">
        <w:rPr>
          <w:rFonts w:ascii="Times New Roman" w:hAnsi="Times New Roman" w:cs="Times New Roman"/>
          <w:sz w:val="20"/>
        </w:rPr>
        <w:t>Concannon</w:t>
      </w:r>
      <w:proofErr w:type="spellEnd"/>
      <w:r w:rsidR="00096505" w:rsidRPr="00096505">
        <w:rPr>
          <w:rFonts w:ascii="Times New Roman" w:hAnsi="Times New Roman" w:cs="Times New Roman"/>
          <w:sz w:val="20"/>
        </w:rPr>
        <w:t xml:space="preserve"> PJ, Rich SS, et al. Imputing Amino Acid Polymorphisms in Human Leukocyte Antigens. PLOS ONE. 2013;</w:t>
      </w:r>
      <w:proofErr w:type="gramStart"/>
      <w:r w:rsidR="00096505" w:rsidRPr="00096505">
        <w:rPr>
          <w:rFonts w:ascii="Times New Roman" w:hAnsi="Times New Roman" w:cs="Times New Roman"/>
          <w:sz w:val="20"/>
        </w:rPr>
        <w:t>8:e</w:t>
      </w:r>
      <w:proofErr w:type="gramEnd"/>
      <w:r w:rsidR="00096505" w:rsidRPr="00096505">
        <w:rPr>
          <w:rFonts w:ascii="Times New Roman" w:hAnsi="Times New Roman" w:cs="Times New Roman"/>
          <w:sz w:val="20"/>
        </w:rPr>
        <w:t xml:space="preserve">64683. </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2. Rich SS, </w:t>
      </w:r>
      <w:proofErr w:type="spellStart"/>
      <w:r w:rsidRPr="00096505">
        <w:rPr>
          <w:rFonts w:ascii="Times New Roman" w:hAnsi="Times New Roman" w:cs="Times New Roman"/>
          <w:sz w:val="20"/>
        </w:rPr>
        <w:t>Concannon</w:t>
      </w:r>
      <w:proofErr w:type="spellEnd"/>
      <w:r w:rsidRPr="00096505">
        <w:rPr>
          <w:rFonts w:ascii="Times New Roman" w:hAnsi="Times New Roman" w:cs="Times New Roman"/>
          <w:sz w:val="20"/>
        </w:rPr>
        <w:t xml:space="preserve"> P, </w:t>
      </w:r>
      <w:proofErr w:type="spellStart"/>
      <w:r w:rsidRPr="00096505">
        <w:rPr>
          <w:rFonts w:ascii="Times New Roman" w:hAnsi="Times New Roman" w:cs="Times New Roman"/>
          <w:sz w:val="20"/>
        </w:rPr>
        <w:t>Erlich</w:t>
      </w:r>
      <w:proofErr w:type="spellEnd"/>
      <w:r w:rsidRPr="00096505">
        <w:rPr>
          <w:rFonts w:ascii="Times New Roman" w:hAnsi="Times New Roman" w:cs="Times New Roman"/>
          <w:sz w:val="20"/>
        </w:rPr>
        <w:t xml:space="preserve"> H, </w:t>
      </w:r>
      <w:proofErr w:type="spellStart"/>
      <w:r w:rsidRPr="00096505">
        <w:rPr>
          <w:rFonts w:ascii="Times New Roman" w:hAnsi="Times New Roman" w:cs="Times New Roman"/>
          <w:sz w:val="20"/>
        </w:rPr>
        <w:t>Julier</w:t>
      </w:r>
      <w:proofErr w:type="spellEnd"/>
      <w:r w:rsidRPr="00096505">
        <w:rPr>
          <w:rFonts w:ascii="Times New Roman" w:hAnsi="Times New Roman" w:cs="Times New Roman"/>
          <w:sz w:val="20"/>
        </w:rPr>
        <w:t xml:space="preserve"> C, </w:t>
      </w:r>
      <w:proofErr w:type="spellStart"/>
      <w:r w:rsidRPr="00096505">
        <w:rPr>
          <w:rFonts w:ascii="Times New Roman" w:hAnsi="Times New Roman" w:cs="Times New Roman"/>
          <w:sz w:val="20"/>
        </w:rPr>
        <w:t>Morahan</w:t>
      </w:r>
      <w:proofErr w:type="spellEnd"/>
      <w:r w:rsidRPr="00096505">
        <w:rPr>
          <w:rFonts w:ascii="Times New Roman" w:hAnsi="Times New Roman" w:cs="Times New Roman"/>
          <w:sz w:val="20"/>
        </w:rPr>
        <w:t xml:space="preserve"> G, </w:t>
      </w:r>
      <w:proofErr w:type="spellStart"/>
      <w:r w:rsidRPr="00096505">
        <w:rPr>
          <w:rFonts w:ascii="Times New Roman" w:hAnsi="Times New Roman" w:cs="Times New Roman"/>
          <w:sz w:val="20"/>
        </w:rPr>
        <w:t>Nerup</w:t>
      </w:r>
      <w:proofErr w:type="spellEnd"/>
      <w:r w:rsidRPr="00096505">
        <w:rPr>
          <w:rFonts w:ascii="Times New Roman" w:hAnsi="Times New Roman" w:cs="Times New Roman"/>
          <w:sz w:val="20"/>
        </w:rPr>
        <w:t xml:space="preserve"> J, et al. The Type 1 Diabetes Genetics Consortium. Ann N Y </w:t>
      </w:r>
      <w:proofErr w:type="spellStart"/>
      <w:r w:rsidRPr="00096505">
        <w:rPr>
          <w:rFonts w:ascii="Times New Roman" w:hAnsi="Times New Roman" w:cs="Times New Roman"/>
          <w:sz w:val="20"/>
        </w:rPr>
        <w:t>Acad</w:t>
      </w:r>
      <w:proofErr w:type="spellEnd"/>
      <w:r w:rsidRPr="00096505">
        <w:rPr>
          <w:rFonts w:ascii="Times New Roman" w:hAnsi="Times New Roman" w:cs="Times New Roman"/>
          <w:sz w:val="20"/>
        </w:rPr>
        <w:t xml:space="preserve"> Sci. </w:t>
      </w:r>
      <w:proofErr w:type="gramStart"/>
      <w:r w:rsidRPr="00096505">
        <w:rPr>
          <w:rFonts w:ascii="Times New Roman" w:hAnsi="Times New Roman" w:cs="Times New Roman"/>
          <w:sz w:val="20"/>
        </w:rPr>
        <w:t>2006;1079:1</w:t>
      </w:r>
      <w:proofErr w:type="gramEnd"/>
      <w:r w:rsidRPr="00096505">
        <w:rPr>
          <w:rFonts w:ascii="Times New Roman" w:hAnsi="Times New Roman" w:cs="Times New Roman"/>
          <w:sz w:val="20"/>
        </w:rPr>
        <w:t xml:space="preserve">–8. </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3. Price AL, Patterson NJ, </w:t>
      </w:r>
      <w:proofErr w:type="spellStart"/>
      <w:r w:rsidRPr="00096505">
        <w:rPr>
          <w:rFonts w:ascii="Times New Roman" w:hAnsi="Times New Roman" w:cs="Times New Roman"/>
          <w:sz w:val="20"/>
        </w:rPr>
        <w:t>Plenge</w:t>
      </w:r>
      <w:proofErr w:type="spellEnd"/>
      <w:r w:rsidRPr="00096505">
        <w:rPr>
          <w:rFonts w:ascii="Times New Roman" w:hAnsi="Times New Roman" w:cs="Times New Roman"/>
          <w:sz w:val="20"/>
        </w:rPr>
        <w:t xml:space="preserve"> RM, </w:t>
      </w:r>
      <w:proofErr w:type="spellStart"/>
      <w:r w:rsidRPr="00096505">
        <w:rPr>
          <w:rFonts w:ascii="Times New Roman" w:hAnsi="Times New Roman" w:cs="Times New Roman"/>
          <w:sz w:val="20"/>
        </w:rPr>
        <w:t>Weinblatt</w:t>
      </w:r>
      <w:proofErr w:type="spellEnd"/>
      <w:r w:rsidRPr="00096505">
        <w:rPr>
          <w:rFonts w:ascii="Times New Roman" w:hAnsi="Times New Roman" w:cs="Times New Roman"/>
          <w:sz w:val="20"/>
        </w:rPr>
        <w:t xml:space="preserve"> ME, </w:t>
      </w:r>
      <w:proofErr w:type="spellStart"/>
      <w:r w:rsidRPr="00096505">
        <w:rPr>
          <w:rFonts w:ascii="Times New Roman" w:hAnsi="Times New Roman" w:cs="Times New Roman"/>
          <w:sz w:val="20"/>
        </w:rPr>
        <w:t>Shadick</w:t>
      </w:r>
      <w:proofErr w:type="spellEnd"/>
      <w:r w:rsidRPr="00096505">
        <w:rPr>
          <w:rFonts w:ascii="Times New Roman" w:hAnsi="Times New Roman" w:cs="Times New Roman"/>
          <w:sz w:val="20"/>
        </w:rPr>
        <w:t xml:space="preserve"> NA, Reich D. Principal components analysis corrects for stratification in genome-wide association studies. Nat Genet. </w:t>
      </w:r>
      <w:proofErr w:type="gramStart"/>
      <w:r w:rsidRPr="00096505">
        <w:rPr>
          <w:rFonts w:ascii="Times New Roman" w:hAnsi="Times New Roman" w:cs="Times New Roman"/>
          <w:sz w:val="20"/>
        </w:rPr>
        <w:t>2006;38:904</w:t>
      </w:r>
      <w:proofErr w:type="gramEnd"/>
      <w:r w:rsidRPr="00096505">
        <w:rPr>
          <w:rFonts w:ascii="Times New Roman" w:hAnsi="Times New Roman" w:cs="Times New Roman"/>
          <w:sz w:val="20"/>
        </w:rPr>
        <w:t xml:space="preserve">–9. </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4. Bradshaw EM, </w:t>
      </w:r>
      <w:proofErr w:type="spellStart"/>
      <w:r w:rsidRPr="00096505">
        <w:rPr>
          <w:rFonts w:ascii="Times New Roman" w:hAnsi="Times New Roman" w:cs="Times New Roman"/>
          <w:sz w:val="20"/>
        </w:rPr>
        <w:t>Chibnik</w:t>
      </w:r>
      <w:proofErr w:type="spellEnd"/>
      <w:r w:rsidRPr="00096505">
        <w:rPr>
          <w:rFonts w:ascii="Times New Roman" w:hAnsi="Times New Roman" w:cs="Times New Roman"/>
          <w:sz w:val="20"/>
        </w:rPr>
        <w:t xml:space="preserve"> LB, Keenan BT, </w:t>
      </w:r>
      <w:proofErr w:type="spellStart"/>
      <w:r w:rsidRPr="00096505">
        <w:rPr>
          <w:rFonts w:ascii="Times New Roman" w:hAnsi="Times New Roman" w:cs="Times New Roman"/>
          <w:sz w:val="20"/>
        </w:rPr>
        <w:t>Ottoboni</w:t>
      </w:r>
      <w:proofErr w:type="spellEnd"/>
      <w:r w:rsidRPr="00096505">
        <w:rPr>
          <w:rFonts w:ascii="Times New Roman" w:hAnsi="Times New Roman" w:cs="Times New Roman"/>
          <w:sz w:val="20"/>
        </w:rPr>
        <w:t xml:space="preserve"> L, Raj T, Tang A, et al. CD33 Alzheimer’s disease locus: altered monocyte function and amyloid biology. Nat </w:t>
      </w:r>
      <w:proofErr w:type="spellStart"/>
      <w:r w:rsidRPr="00096505">
        <w:rPr>
          <w:rFonts w:ascii="Times New Roman" w:hAnsi="Times New Roman" w:cs="Times New Roman"/>
          <w:sz w:val="20"/>
        </w:rPr>
        <w:t>Neurosci</w:t>
      </w:r>
      <w:proofErr w:type="spellEnd"/>
      <w:r w:rsidRPr="00096505">
        <w:rPr>
          <w:rFonts w:ascii="Times New Roman" w:hAnsi="Times New Roman" w:cs="Times New Roman"/>
          <w:sz w:val="20"/>
        </w:rPr>
        <w:t xml:space="preserve">. </w:t>
      </w:r>
      <w:proofErr w:type="gramStart"/>
      <w:r w:rsidRPr="00096505">
        <w:rPr>
          <w:rFonts w:ascii="Times New Roman" w:hAnsi="Times New Roman" w:cs="Times New Roman"/>
          <w:sz w:val="20"/>
        </w:rPr>
        <w:t>2013;16:848</w:t>
      </w:r>
      <w:proofErr w:type="gramEnd"/>
      <w:r w:rsidRPr="00096505">
        <w:rPr>
          <w:rFonts w:ascii="Times New Roman" w:hAnsi="Times New Roman" w:cs="Times New Roman"/>
          <w:sz w:val="20"/>
        </w:rPr>
        <w:t xml:space="preserve">–50. </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5. Yu L, </w:t>
      </w:r>
      <w:proofErr w:type="spellStart"/>
      <w:r w:rsidRPr="00096505">
        <w:rPr>
          <w:rFonts w:ascii="Times New Roman" w:hAnsi="Times New Roman" w:cs="Times New Roman"/>
          <w:sz w:val="20"/>
        </w:rPr>
        <w:t>Chibnik</w:t>
      </w:r>
      <w:proofErr w:type="spellEnd"/>
      <w:r w:rsidRPr="00096505">
        <w:rPr>
          <w:rFonts w:ascii="Times New Roman" w:hAnsi="Times New Roman" w:cs="Times New Roman"/>
          <w:sz w:val="20"/>
        </w:rPr>
        <w:t xml:space="preserve"> LB, Srivastava GP, </w:t>
      </w:r>
      <w:proofErr w:type="spellStart"/>
      <w:r w:rsidRPr="00096505">
        <w:rPr>
          <w:rFonts w:ascii="Times New Roman" w:hAnsi="Times New Roman" w:cs="Times New Roman"/>
          <w:sz w:val="20"/>
        </w:rPr>
        <w:t>Pochet</w:t>
      </w:r>
      <w:proofErr w:type="spellEnd"/>
      <w:r w:rsidRPr="00096505">
        <w:rPr>
          <w:rFonts w:ascii="Times New Roman" w:hAnsi="Times New Roman" w:cs="Times New Roman"/>
          <w:sz w:val="20"/>
        </w:rPr>
        <w:t xml:space="preserve"> N, Yang J, Xu J, et al. Association of Brain DNA methylation in SORL1, ABCA7, HLA-DRB5, SLC24A4, and BIN1 with pathological diagnosis of Alzheimer disease. JAMA Neurol. </w:t>
      </w:r>
      <w:proofErr w:type="gramStart"/>
      <w:r w:rsidRPr="00096505">
        <w:rPr>
          <w:rFonts w:ascii="Times New Roman" w:hAnsi="Times New Roman" w:cs="Times New Roman"/>
          <w:sz w:val="20"/>
        </w:rPr>
        <w:t>2015;72:15</w:t>
      </w:r>
      <w:proofErr w:type="gramEnd"/>
      <w:r w:rsidRPr="00096505">
        <w:rPr>
          <w:rFonts w:ascii="Times New Roman" w:hAnsi="Times New Roman" w:cs="Times New Roman"/>
          <w:sz w:val="20"/>
        </w:rPr>
        <w:t xml:space="preserve">–24. </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6. Levin JZ, </w:t>
      </w:r>
      <w:proofErr w:type="spellStart"/>
      <w:r w:rsidRPr="00096505">
        <w:rPr>
          <w:rFonts w:ascii="Times New Roman" w:hAnsi="Times New Roman" w:cs="Times New Roman"/>
          <w:sz w:val="20"/>
        </w:rPr>
        <w:t>Yassour</w:t>
      </w:r>
      <w:proofErr w:type="spellEnd"/>
      <w:r w:rsidRPr="00096505">
        <w:rPr>
          <w:rFonts w:ascii="Times New Roman" w:hAnsi="Times New Roman" w:cs="Times New Roman"/>
          <w:sz w:val="20"/>
        </w:rPr>
        <w:t xml:space="preserve"> M, </w:t>
      </w:r>
      <w:proofErr w:type="spellStart"/>
      <w:r w:rsidRPr="00096505">
        <w:rPr>
          <w:rFonts w:ascii="Times New Roman" w:hAnsi="Times New Roman" w:cs="Times New Roman"/>
          <w:sz w:val="20"/>
        </w:rPr>
        <w:t>Adiconis</w:t>
      </w:r>
      <w:proofErr w:type="spellEnd"/>
      <w:r w:rsidRPr="00096505">
        <w:rPr>
          <w:rFonts w:ascii="Times New Roman" w:hAnsi="Times New Roman" w:cs="Times New Roman"/>
          <w:sz w:val="20"/>
        </w:rPr>
        <w:t xml:space="preserve"> X, </w:t>
      </w:r>
      <w:proofErr w:type="spellStart"/>
      <w:r w:rsidRPr="00096505">
        <w:rPr>
          <w:rFonts w:ascii="Times New Roman" w:hAnsi="Times New Roman" w:cs="Times New Roman"/>
          <w:sz w:val="20"/>
        </w:rPr>
        <w:t>Nusbaum</w:t>
      </w:r>
      <w:proofErr w:type="spellEnd"/>
      <w:r w:rsidRPr="00096505">
        <w:rPr>
          <w:rFonts w:ascii="Times New Roman" w:hAnsi="Times New Roman" w:cs="Times New Roman"/>
          <w:sz w:val="20"/>
        </w:rPr>
        <w:t xml:space="preserve"> C, Thompson DA, Friedman N, et al. Comprehensive comparative analysis of strand-specific RNA sequencing methods. Nat Methods. </w:t>
      </w:r>
      <w:proofErr w:type="gramStart"/>
      <w:r w:rsidRPr="00096505">
        <w:rPr>
          <w:rFonts w:ascii="Times New Roman" w:hAnsi="Times New Roman" w:cs="Times New Roman"/>
          <w:sz w:val="20"/>
        </w:rPr>
        <w:t>2010;7:709</w:t>
      </w:r>
      <w:proofErr w:type="gramEnd"/>
      <w:r w:rsidRPr="00096505">
        <w:rPr>
          <w:rFonts w:ascii="Times New Roman" w:hAnsi="Times New Roman" w:cs="Times New Roman"/>
          <w:sz w:val="20"/>
        </w:rPr>
        <w:t xml:space="preserve">–15. </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7. </w:t>
      </w:r>
      <w:proofErr w:type="spellStart"/>
      <w:r w:rsidRPr="00096505">
        <w:rPr>
          <w:rFonts w:ascii="Times New Roman" w:hAnsi="Times New Roman" w:cs="Times New Roman"/>
          <w:sz w:val="20"/>
        </w:rPr>
        <w:t>Adiconis</w:t>
      </w:r>
      <w:proofErr w:type="spellEnd"/>
      <w:r w:rsidRPr="00096505">
        <w:rPr>
          <w:rFonts w:ascii="Times New Roman" w:hAnsi="Times New Roman" w:cs="Times New Roman"/>
          <w:sz w:val="20"/>
        </w:rPr>
        <w:t xml:space="preserve"> X, Borges-Rivera D, </w:t>
      </w:r>
      <w:proofErr w:type="spellStart"/>
      <w:r w:rsidRPr="00096505">
        <w:rPr>
          <w:rFonts w:ascii="Times New Roman" w:hAnsi="Times New Roman" w:cs="Times New Roman"/>
          <w:sz w:val="20"/>
        </w:rPr>
        <w:t>Satija</w:t>
      </w:r>
      <w:proofErr w:type="spellEnd"/>
      <w:r w:rsidRPr="00096505">
        <w:rPr>
          <w:rFonts w:ascii="Times New Roman" w:hAnsi="Times New Roman" w:cs="Times New Roman"/>
          <w:sz w:val="20"/>
        </w:rPr>
        <w:t xml:space="preserve"> R, DeLuca DS, Busby MA, Berlin AM, et al. Comprehensive comparative analysis of RNA sequencing methods for degraded or low input samples. Nat Methods [Internet]. 2013 [cited 2015 Jun 8];10. Available from: http://www.ncbi.nlm.nih.gov/pmc/articles/PMC3821180/</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8. </w:t>
      </w:r>
      <w:proofErr w:type="spellStart"/>
      <w:r w:rsidRPr="00096505">
        <w:rPr>
          <w:rFonts w:ascii="Times New Roman" w:hAnsi="Times New Roman" w:cs="Times New Roman"/>
          <w:sz w:val="20"/>
        </w:rPr>
        <w:t>Langfelder</w:t>
      </w:r>
      <w:proofErr w:type="spellEnd"/>
      <w:r w:rsidRPr="00096505">
        <w:rPr>
          <w:rFonts w:ascii="Times New Roman" w:hAnsi="Times New Roman" w:cs="Times New Roman"/>
          <w:sz w:val="20"/>
        </w:rPr>
        <w:t xml:space="preserve"> P, Horvath S. WGCNA: </w:t>
      </w:r>
      <w:proofErr w:type="gramStart"/>
      <w:r w:rsidRPr="00096505">
        <w:rPr>
          <w:rFonts w:ascii="Times New Roman" w:hAnsi="Times New Roman" w:cs="Times New Roman"/>
          <w:sz w:val="20"/>
        </w:rPr>
        <w:t>an</w:t>
      </w:r>
      <w:proofErr w:type="gramEnd"/>
      <w:r w:rsidRPr="00096505">
        <w:rPr>
          <w:rFonts w:ascii="Times New Roman" w:hAnsi="Times New Roman" w:cs="Times New Roman"/>
          <w:sz w:val="20"/>
        </w:rPr>
        <w:t xml:space="preserve"> R package for weighted correlation network analysis. BMC Bioinformatics. </w:t>
      </w:r>
      <w:proofErr w:type="gramStart"/>
      <w:r w:rsidRPr="00096505">
        <w:rPr>
          <w:rFonts w:ascii="Times New Roman" w:hAnsi="Times New Roman" w:cs="Times New Roman"/>
          <w:sz w:val="20"/>
        </w:rPr>
        <w:t>2008;9:559</w:t>
      </w:r>
      <w:proofErr w:type="gramEnd"/>
      <w:r w:rsidRPr="00096505">
        <w:rPr>
          <w:rFonts w:ascii="Times New Roman" w:hAnsi="Times New Roman" w:cs="Times New Roman"/>
          <w:sz w:val="20"/>
        </w:rPr>
        <w:t xml:space="preserve">. </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9. </w:t>
      </w:r>
      <w:proofErr w:type="spellStart"/>
      <w:r w:rsidRPr="00096505">
        <w:rPr>
          <w:rFonts w:ascii="Times New Roman" w:hAnsi="Times New Roman" w:cs="Times New Roman"/>
          <w:sz w:val="20"/>
        </w:rPr>
        <w:t>Gaiteri</w:t>
      </w:r>
      <w:proofErr w:type="spellEnd"/>
      <w:r w:rsidRPr="00096505">
        <w:rPr>
          <w:rFonts w:ascii="Times New Roman" w:hAnsi="Times New Roman" w:cs="Times New Roman"/>
          <w:sz w:val="20"/>
        </w:rPr>
        <w:t xml:space="preserve"> C, Chen M, Szymanski B, </w:t>
      </w:r>
      <w:proofErr w:type="spellStart"/>
      <w:r w:rsidRPr="00096505">
        <w:rPr>
          <w:rFonts w:ascii="Times New Roman" w:hAnsi="Times New Roman" w:cs="Times New Roman"/>
          <w:sz w:val="20"/>
        </w:rPr>
        <w:t>Kuzmin</w:t>
      </w:r>
      <w:proofErr w:type="spellEnd"/>
      <w:r w:rsidRPr="00096505">
        <w:rPr>
          <w:rFonts w:ascii="Times New Roman" w:hAnsi="Times New Roman" w:cs="Times New Roman"/>
          <w:sz w:val="20"/>
        </w:rPr>
        <w:t xml:space="preserve"> K, </w:t>
      </w:r>
      <w:proofErr w:type="spellStart"/>
      <w:r w:rsidRPr="00096505">
        <w:rPr>
          <w:rFonts w:ascii="Times New Roman" w:hAnsi="Times New Roman" w:cs="Times New Roman"/>
          <w:sz w:val="20"/>
        </w:rPr>
        <w:t>Xie</w:t>
      </w:r>
      <w:proofErr w:type="spellEnd"/>
      <w:r w:rsidRPr="00096505">
        <w:rPr>
          <w:rFonts w:ascii="Times New Roman" w:hAnsi="Times New Roman" w:cs="Times New Roman"/>
          <w:sz w:val="20"/>
        </w:rPr>
        <w:t xml:space="preserve"> J, Lee C, et al. Identifying robust communities and multi-community nodes by combining top-down and bottom-up approaches to clustering. ArXiv150104709 </w:t>
      </w:r>
      <w:proofErr w:type="spellStart"/>
      <w:r w:rsidRPr="00096505">
        <w:rPr>
          <w:rFonts w:ascii="Times New Roman" w:hAnsi="Times New Roman" w:cs="Times New Roman"/>
          <w:sz w:val="20"/>
        </w:rPr>
        <w:t>Phys</w:t>
      </w:r>
      <w:proofErr w:type="spellEnd"/>
      <w:r w:rsidRPr="00096505">
        <w:rPr>
          <w:rFonts w:ascii="Times New Roman" w:hAnsi="Times New Roman" w:cs="Times New Roman"/>
          <w:sz w:val="20"/>
        </w:rPr>
        <w:t xml:space="preserve"> Q-Bio [Internet]. 2015 [cited 2015 Sep 13]; Available from: http://arxiv.org/abs/1501.04709</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10. </w:t>
      </w:r>
      <w:proofErr w:type="spellStart"/>
      <w:r w:rsidRPr="00096505">
        <w:rPr>
          <w:rFonts w:ascii="Times New Roman" w:hAnsi="Times New Roman" w:cs="Times New Roman"/>
          <w:sz w:val="20"/>
        </w:rPr>
        <w:t>GTEx</w:t>
      </w:r>
      <w:proofErr w:type="spellEnd"/>
      <w:r w:rsidRPr="00096505">
        <w:rPr>
          <w:rFonts w:ascii="Times New Roman" w:hAnsi="Times New Roman" w:cs="Times New Roman"/>
          <w:sz w:val="20"/>
        </w:rPr>
        <w:t xml:space="preserve"> Consortium. Human genomics. The Genotype-Tissue Expression (</w:t>
      </w:r>
      <w:proofErr w:type="spellStart"/>
      <w:r w:rsidRPr="00096505">
        <w:rPr>
          <w:rFonts w:ascii="Times New Roman" w:hAnsi="Times New Roman" w:cs="Times New Roman"/>
          <w:sz w:val="20"/>
        </w:rPr>
        <w:t>GTEx</w:t>
      </w:r>
      <w:proofErr w:type="spellEnd"/>
      <w:r w:rsidRPr="00096505">
        <w:rPr>
          <w:rFonts w:ascii="Times New Roman" w:hAnsi="Times New Roman" w:cs="Times New Roman"/>
          <w:sz w:val="20"/>
        </w:rPr>
        <w:t xml:space="preserve">) pilot analysis: </w:t>
      </w:r>
      <w:proofErr w:type="spellStart"/>
      <w:r w:rsidRPr="00096505">
        <w:rPr>
          <w:rFonts w:ascii="Times New Roman" w:hAnsi="Times New Roman" w:cs="Times New Roman"/>
          <w:sz w:val="20"/>
        </w:rPr>
        <w:t>multitissue</w:t>
      </w:r>
      <w:proofErr w:type="spellEnd"/>
      <w:r w:rsidRPr="00096505">
        <w:rPr>
          <w:rFonts w:ascii="Times New Roman" w:hAnsi="Times New Roman" w:cs="Times New Roman"/>
          <w:sz w:val="20"/>
        </w:rPr>
        <w:t xml:space="preserve"> gene regulation in humans. Science. </w:t>
      </w:r>
      <w:proofErr w:type="gramStart"/>
      <w:r w:rsidRPr="00096505">
        <w:rPr>
          <w:rFonts w:ascii="Times New Roman" w:hAnsi="Times New Roman" w:cs="Times New Roman"/>
          <w:sz w:val="20"/>
        </w:rPr>
        <w:t>2015;348:648</w:t>
      </w:r>
      <w:proofErr w:type="gramEnd"/>
      <w:r w:rsidRPr="00096505">
        <w:rPr>
          <w:rFonts w:ascii="Times New Roman" w:hAnsi="Times New Roman" w:cs="Times New Roman"/>
          <w:sz w:val="20"/>
        </w:rPr>
        <w:t xml:space="preserve">–60. </w:t>
      </w:r>
    </w:p>
    <w:p w:rsidR="00096505" w:rsidRPr="00096505" w:rsidRDefault="00096505" w:rsidP="00096505">
      <w:pPr>
        <w:pStyle w:val="Bibliography"/>
        <w:rPr>
          <w:rFonts w:ascii="Times New Roman" w:hAnsi="Times New Roman" w:cs="Times New Roman"/>
          <w:sz w:val="20"/>
        </w:rPr>
      </w:pPr>
      <w:r w:rsidRPr="00096505">
        <w:rPr>
          <w:rFonts w:ascii="Times New Roman" w:hAnsi="Times New Roman" w:cs="Times New Roman"/>
          <w:sz w:val="20"/>
        </w:rPr>
        <w:t xml:space="preserve">11. </w:t>
      </w:r>
      <w:proofErr w:type="spellStart"/>
      <w:r w:rsidRPr="00096505">
        <w:rPr>
          <w:rFonts w:ascii="Times New Roman" w:hAnsi="Times New Roman" w:cs="Times New Roman"/>
          <w:sz w:val="20"/>
        </w:rPr>
        <w:t>Mostafavi</w:t>
      </w:r>
      <w:proofErr w:type="spellEnd"/>
      <w:r w:rsidRPr="00096505">
        <w:rPr>
          <w:rFonts w:ascii="Times New Roman" w:hAnsi="Times New Roman" w:cs="Times New Roman"/>
          <w:sz w:val="20"/>
        </w:rPr>
        <w:t xml:space="preserve"> S, </w:t>
      </w:r>
      <w:proofErr w:type="spellStart"/>
      <w:r w:rsidRPr="00096505">
        <w:rPr>
          <w:rFonts w:ascii="Times New Roman" w:hAnsi="Times New Roman" w:cs="Times New Roman"/>
          <w:sz w:val="20"/>
        </w:rPr>
        <w:t>Gaiteri</w:t>
      </w:r>
      <w:proofErr w:type="spellEnd"/>
      <w:r w:rsidRPr="00096505">
        <w:rPr>
          <w:rFonts w:ascii="Times New Roman" w:hAnsi="Times New Roman" w:cs="Times New Roman"/>
          <w:sz w:val="20"/>
        </w:rPr>
        <w:t xml:space="preserve"> C, Sullivan S, White CC, Xu J, </w:t>
      </w:r>
      <w:proofErr w:type="spellStart"/>
      <w:r w:rsidRPr="00096505">
        <w:rPr>
          <w:rFonts w:ascii="Times New Roman" w:hAnsi="Times New Roman" w:cs="Times New Roman"/>
          <w:sz w:val="20"/>
        </w:rPr>
        <w:t>Taga</w:t>
      </w:r>
      <w:proofErr w:type="spellEnd"/>
      <w:r w:rsidRPr="00096505">
        <w:rPr>
          <w:rFonts w:ascii="Times New Roman" w:hAnsi="Times New Roman" w:cs="Times New Roman"/>
          <w:sz w:val="20"/>
        </w:rPr>
        <w:t xml:space="preserve"> M, et al. A molecular network map of the aging brain implicates INNPL1 and PLXNB1 in Alzheimer’s disease. Rev. 2017; </w:t>
      </w:r>
    </w:p>
    <w:p w:rsidR="00884FF4" w:rsidRPr="004112C5" w:rsidRDefault="00884FF4" w:rsidP="006A52BB">
      <w:pPr>
        <w:spacing w:line="240" w:lineRule="auto"/>
        <w:rPr>
          <w:sz w:val="24"/>
          <w:szCs w:val="24"/>
        </w:rPr>
      </w:pPr>
      <w:r w:rsidRPr="005050AC">
        <w:rPr>
          <w:rFonts w:ascii="Times New Roman" w:hAnsi="Times New Roman" w:cs="Times New Roman"/>
          <w:sz w:val="20"/>
          <w:szCs w:val="20"/>
        </w:rPr>
        <w:fldChar w:fldCharType="end"/>
      </w:r>
    </w:p>
    <w:p w:rsidR="00884FF4" w:rsidRDefault="00884FF4">
      <w:pPr>
        <w:rPr>
          <w:rFonts w:asciiTheme="majorHAnsi" w:eastAsiaTheme="majorEastAsia" w:hAnsiTheme="majorHAnsi" w:cstheme="majorBidi"/>
          <w:color w:val="2E74B5" w:themeColor="accent1" w:themeShade="BF"/>
          <w:sz w:val="32"/>
          <w:szCs w:val="32"/>
        </w:rPr>
      </w:pPr>
      <w:r>
        <w:br w:type="page"/>
      </w:r>
    </w:p>
    <w:p w:rsidR="00BD293D" w:rsidRPr="005050AC" w:rsidRDefault="00BD293D" w:rsidP="00BC21D7">
      <w:pPr>
        <w:pStyle w:val="Heading1"/>
        <w:rPr>
          <w:rFonts w:ascii="Times New Roman" w:hAnsi="Times New Roman" w:cs="Times New Roman"/>
          <w:color w:val="auto"/>
          <w:sz w:val="24"/>
          <w:szCs w:val="24"/>
        </w:rPr>
      </w:pPr>
      <w:r w:rsidRPr="005050AC">
        <w:rPr>
          <w:rFonts w:ascii="Times New Roman" w:hAnsi="Times New Roman" w:cs="Times New Roman"/>
          <w:color w:val="auto"/>
          <w:sz w:val="24"/>
          <w:szCs w:val="24"/>
        </w:rPr>
        <w:lastRenderedPageBreak/>
        <w:t>Supplementary Figures</w:t>
      </w:r>
    </w:p>
    <w:p w:rsidR="007472F1" w:rsidRDefault="00BC21D7" w:rsidP="007472F1">
      <w:pPr>
        <w:pStyle w:val="Heading1"/>
      </w:pPr>
      <w:r>
        <w:rPr>
          <w:noProof/>
        </w:rPr>
        <w:drawing>
          <wp:inline distT="0" distB="0" distL="0" distR="0" wp14:anchorId="6764DC2C" wp14:editId="235F62FF">
            <wp:extent cx="5192457" cy="570103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re_correlations_supfi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2457" cy="5701030"/>
                    </a:xfrm>
                    <a:prstGeom prst="rect">
                      <a:avLst/>
                    </a:prstGeom>
                  </pic:spPr>
                </pic:pic>
              </a:graphicData>
            </a:graphic>
          </wp:inline>
        </w:drawing>
      </w:r>
    </w:p>
    <w:p w:rsidR="007472F1" w:rsidRPr="006E6613" w:rsidRDefault="00C54310" w:rsidP="005050AC">
      <w:pPr>
        <w:pStyle w:val="Caption"/>
        <w:rPr>
          <w:rFonts w:ascii="Times New Roman" w:hAnsi="Times New Roman" w:cs="Times New Roman"/>
          <w:i w:val="0"/>
          <w:color w:val="auto"/>
          <w:sz w:val="16"/>
          <w:szCs w:val="16"/>
        </w:rPr>
      </w:pPr>
      <w:r>
        <w:rPr>
          <w:rFonts w:ascii="Times New Roman" w:hAnsi="Times New Roman" w:cs="Times New Roman"/>
          <w:b/>
          <w:i w:val="0"/>
          <w:color w:val="auto"/>
          <w:sz w:val="16"/>
          <w:szCs w:val="16"/>
        </w:rPr>
        <w:t>Supplementary Figure</w:t>
      </w:r>
      <w:r w:rsidR="007472F1" w:rsidRPr="006E6613">
        <w:rPr>
          <w:rFonts w:ascii="Times New Roman" w:hAnsi="Times New Roman" w:cs="Times New Roman"/>
          <w:b/>
          <w:i w:val="0"/>
          <w:color w:val="auto"/>
          <w:sz w:val="16"/>
          <w:szCs w:val="16"/>
        </w:rPr>
        <w:t xml:space="preserve"> 1.</w:t>
      </w:r>
      <w:r w:rsidR="00136FD5" w:rsidRPr="006E6613">
        <w:rPr>
          <w:rFonts w:ascii="Times New Roman" w:hAnsi="Times New Roman" w:cs="Times New Roman"/>
          <w:b/>
          <w:i w:val="0"/>
          <w:color w:val="auto"/>
          <w:sz w:val="16"/>
          <w:szCs w:val="16"/>
        </w:rPr>
        <w:t xml:space="preserve"> Spea</w:t>
      </w:r>
      <w:r w:rsidR="004B0428" w:rsidRPr="006E6613">
        <w:rPr>
          <w:rFonts w:ascii="Times New Roman" w:hAnsi="Times New Roman" w:cs="Times New Roman"/>
          <w:b/>
          <w:i w:val="0"/>
          <w:color w:val="auto"/>
          <w:sz w:val="16"/>
          <w:szCs w:val="16"/>
        </w:rPr>
        <w:t xml:space="preserve">rman correlations between each </w:t>
      </w:r>
      <w:r w:rsidR="00136FD5" w:rsidRPr="006E6613">
        <w:rPr>
          <w:rFonts w:ascii="Times New Roman" w:hAnsi="Times New Roman" w:cs="Times New Roman"/>
          <w:b/>
          <w:i w:val="0"/>
          <w:color w:val="auto"/>
          <w:sz w:val="16"/>
          <w:szCs w:val="16"/>
        </w:rPr>
        <w:t>polygenic score</w:t>
      </w:r>
      <w:r w:rsidR="004B0428" w:rsidRPr="006E6613">
        <w:rPr>
          <w:rFonts w:ascii="Times New Roman" w:hAnsi="Times New Roman" w:cs="Times New Roman"/>
          <w:b/>
          <w:i w:val="0"/>
          <w:color w:val="auto"/>
          <w:sz w:val="16"/>
          <w:szCs w:val="16"/>
        </w:rPr>
        <w:t xml:space="preserve"> (PS)</w:t>
      </w:r>
      <w:r w:rsidR="004B0428" w:rsidRPr="006E6613">
        <w:rPr>
          <w:rFonts w:ascii="Times New Roman" w:hAnsi="Times New Roman" w:cs="Times New Roman"/>
          <w:i w:val="0"/>
          <w:color w:val="auto"/>
          <w:sz w:val="16"/>
          <w:szCs w:val="16"/>
        </w:rPr>
        <w:t xml:space="preserve">. </w:t>
      </w:r>
      <w:r w:rsidR="00C01979" w:rsidRPr="006E6613">
        <w:rPr>
          <w:rFonts w:ascii="Times New Roman" w:hAnsi="Times New Roman" w:cs="Times New Roman"/>
          <w:i w:val="0"/>
          <w:color w:val="auto"/>
          <w:sz w:val="16"/>
          <w:szCs w:val="16"/>
        </w:rPr>
        <w:t>AD+</w:t>
      </w:r>
      <w:r w:rsidR="004B0428" w:rsidRPr="006E6613">
        <w:rPr>
          <w:rFonts w:ascii="Times New Roman" w:hAnsi="Times New Roman" w:cs="Times New Roman"/>
          <w:i w:val="0"/>
          <w:color w:val="auto"/>
          <w:sz w:val="16"/>
          <w:szCs w:val="16"/>
        </w:rPr>
        <w:t xml:space="preserve"> and </w:t>
      </w:r>
      <w:r w:rsidR="00C01979" w:rsidRPr="006E6613">
        <w:rPr>
          <w:rFonts w:ascii="Times New Roman" w:hAnsi="Times New Roman" w:cs="Times New Roman"/>
          <w:i w:val="0"/>
          <w:color w:val="auto"/>
          <w:sz w:val="16"/>
          <w:szCs w:val="16"/>
        </w:rPr>
        <w:t>AD-</w:t>
      </w:r>
      <w:r w:rsidR="004B0428" w:rsidRPr="006E6613">
        <w:rPr>
          <w:rFonts w:ascii="Times New Roman" w:hAnsi="Times New Roman" w:cs="Times New Roman"/>
          <w:i w:val="0"/>
          <w:color w:val="auto"/>
          <w:sz w:val="16"/>
          <w:szCs w:val="16"/>
        </w:rPr>
        <w:t xml:space="preserve"> are Alzheimer’s disease</w:t>
      </w:r>
      <w:r w:rsidR="006A55BD" w:rsidRPr="006E6613">
        <w:rPr>
          <w:rFonts w:ascii="Times New Roman" w:hAnsi="Times New Roman" w:cs="Times New Roman"/>
          <w:i w:val="0"/>
          <w:color w:val="auto"/>
          <w:sz w:val="16"/>
          <w:szCs w:val="16"/>
        </w:rPr>
        <w:t xml:space="preserve"> GRS </w:t>
      </w:r>
      <w:r w:rsidR="004B0428" w:rsidRPr="006E6613">
        <w:rPr>
          <w:rFonts w:ascii="Times New Roman" w:hAnsi="Times New Roman" w:cs="Times New Roman"/>
          <w:i w:val="0"/>
          <w:color w:val="auto"/>
          <w:sz w:val="16"/>
          <w:szCs w:val="16"/>
        </w:rPr>
        <w:t xml:space="preserve">including and excluding </w:t>
      </w:r>
      <w:r w:rsidR="004B0428" w:rsidRPr="006E6613">
        <w:rPr>
          <w:rFonts w:ascii="Times New Roman" w:hAnsi="Times New Roman" w:cs="Times New Roman"/>
          <w:color w:val="auto"/>
          <w:sz w:val="16"/>
          <w:szCs w:val="16"/>
        </w:rPr>
        <w:t>APOE</w:t>
      </w:r>
      <w:r w:rsidR="004B0428" w:rsidRPr="006E6613">
        <w:rPr>
          <w:rFonts w:ascii="Times New Roman" w:hAnsi="Times New Roman" w:cs="Times New Roman"/>
          <w:i w:val="0"/>
          <w:color w:val="auto"/>
          <w:sz w:val="16"/>
          <w:szCs w:val="16"/>
        </w:rPr>
        <w:t xml:space="preserve">, respectively. MS = multiple sclerosis. </w:t>
      </w:r>
      <w:r w:rsidR="004112C5" w:rsidRPr="006E6613">
        <w:rPr>
          <w:rFonts w:ascii="Times New Roman" w:hAnsi="Times New Roman" w:cs="Times New Roman"/>
          <w:i w:val="0"/>
          <w:color w:val="auto"/>
          <w:sz w:val="16"/>
          <w:szCs w:val="16"/>
        </w:rPr>
        <w:t>coronary artery disease</w:t>
      </w:r>
      <w:r w:rsidR="004B0428" w:rsidRPr="006E6613">
        <w:rPr>
          <w:rFonts w:ascii="Times New Roman" w:hAnsi="Times New Roman" w:cs="Times New Roman"/>
          <w:i w:val="0"/>
          <w:color w:val="auto"/>
          <w:sz w:val="16"/>
          <w:szCs w:val="16"/>
        </w:rPr>
        <w:t xml:space="preserve"> = coronary artery disease. SCZ = schizophrenia. </w:t>
      </w:r>
      <w:r w:rsidR="004112C5" w:rsidRPr="006E6613">
        <w:rPr>
          <w:rFonts w:ascii="Times New Roman" w:hAnsi="Times New Roman" w:cs="Times New Roman"/>
          <w:i w:val="0"/>
          <w:color w:val="auto"/>
          <w:sz w:val="16"/>
          <w:szCs w:val="16"/>
        </w:rPr>
        <w:t>rheumatoid arthritis</w:t>
      </w:r>
      <w:r w:rsidR="004B0428" w:rsidRPr="006E6613">
        <w:rPr>
          <w:rFonts w:ascii="Times New Roman" w:hAnsi="Times New Roman" w:cs="Times New Roman"/>
          <w:i w:val="0"/>
          <w:color w:val="auto"/>
          <w:sz w:val="16"/>
          <w:szCs w:val="16"/>
        </w:rPr>
        <w:t xml:space="preserve"> = rheumatoid arthritis. TEL = telomere length.</w:t>
      </w:r>
    </w:p>
    <w:p w:rsidR="007472F1" w:rsidRDefault="00BC21D7" w:rsidP="007472F1">
      <w:pPr>
        <w:pStyle w:val="Heading1"/>
      </w:pPr>
      <w:r>
        <w:rPr>
          <w:noProof/>
        </w:rPr>
        <w:lastRenderedPageBreak/>
        <w:drawing>
          <wp:inline distT="0" distB="0" distL="0" distR="0">
            <wp:extent cx="5943600" cy="3929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9_theoretic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29605"/>
                    </a:xfrm>
                    <a:prstGeom prst="rect">
                      <a:avLst/>
                    </a:prstGeom>
                  </pic:spPr>
                </pic:pic>
              </a:graphicData>
            </a:graphic>
          </wp:inline>
        </w:drawing>
      </w:r>
    </w:p>
    <w:p w:rsidR="00BC21D7" w:rsidRPr="006E6613" w:rsidRDefault="00C54310" w:rsidP="005050AC">
      <w:pPr>
        <w:pStyle w:val="Caption"/>
        <w:rPr>
          <w:rFonts w:ascii="Times New Roman" w:hAnsi="Times New Roman" w:cs="Times New Roman"/>
          <w:b/>
          <w:i w:val="0"/>
          <w:color w:val="auto"/>
          <w:sz w:val="16"/>
          <w:szCs w:val="16"/>
        </w:rPr>
      </w:pPr>
      <w:r>
        <w:rPr>
          <w:rFonts w:ascii="Times New Roman" w:hAnsi="Times New Roman" w:cs="Times New Roman"/>
          <w:b/>
          <w:i w:val="0"/>
          <w:color w:val="auto"/>
          <w:sz w:val="16"/>
          <w:szCs w:val="16"/>
        </w:rPr>
        <w:t>Supplementary Figure</w:t>
      </w:r>
      <w:r w:rsidR="006E6613" w:rsidRPr="006E6613">
        <w:rPr>
          <w:rFonts w:ascii="Times New Roman" w:hAnsi="Times New Roman" w:cs="Times New Roman"/>
          <w:b/>
          <w:i w:val="0"/>
          <w:color w:val="auto"/>
          <w:sz w:val="16"/>
          <w:szCs w:val="16"/>
        </w:rPr>
        <w:t xml:space="preserve"> </w:t>
      </w:r>
      <w:r w:rsidR="007472F1" w:rsidRPr="006E6613">
        <w:rPr>
          <w:rFonts w:ascii="Times New Roman" w:hAnsi="Times New Roman" w:cs="Times New Roman"/>
          <w:b/>
          <w:i w:val="0"/>
          <w:color w:val="auto"/>
          <w:sz w:val="16"/>
          <w:szCs w:val="16"/>
        </w:rPr>
        <w:t>2.</w:t>
      </w:r>
      <w:r w:rsidR="00DD3783" w:rsidRPr="006E6613">
        <w:rPr>
          <w:rFonts w:ascii="Times New Roman" w:hAnsi="Times New Roman" w:cs="Times New Roman"/>
          <w:b/>
          <w:i w:val="0"/>
          <w:color w:val="auto"/>
          <w:sz w:val="16"/>
          <w:szCs w:val="16"/>
        </w:rPr>
        <w:t xml:space="preserve"> Probability of observing rank clustering in variant effect correlation analyses.</w:t>
      </w:r>
      <w:r w:rsidR="004B0428" w:rsidRPr="006E6613">
        <w:rPr>
          <w:rFonts w:ascii="Times New Roman" w:hAnsi="Times New Roman" w:cs="Times New Roman"/>
          <w:b/>
          <w:i w:val="0"/>
          <w:color w:val="auto"/>
          <w:sz w:val="16"/>
          <w:szCs w:val="16"/>
        </w:rPr>
        <w:t xml:space="preserve"> </w:t>
      </w:r>
      <w:r w:rsidR="004B0428" w:rsidRPr="006E6613">
        <w:rPr>
          <w:rFonts w:ascii="Times New Roman" w:hAnsi="Times New Roman" w:cs="Times New Roman"/>
          <w:i w:val="0"/>
          <w:color w:val="auto"/>
          <w:sz w:val="16"/>
          <w:szCs w:val="16"/>
        </w:rPr>
        <w:t>The green lines represent the lowest observed rank for rheumatoid arthritis (</w:t>
      </w:r>
      <w:r w:rsidR="00C01979" w:rsidRPr="006E6613">
        <w:rPr>
          <w:rFonts w:ascii="Times New Roman" w:hAnsi="Times New Roman" w:cs="Times New Roman"/>
          <w:i w:val="0"/>
          <w:color w:val="auto"/>
          <w:sz w:val="16"/>
          <w:szCs w:val="16"/>
        </w:rPr>
        <w:t>RA</w:t>
      </w:r>
      <w:r w:rsidR="004B0428" w:rsidRPr="006E6613">
        <w:rPr>
          <w:rFonts w:ascii="Times New Roman" w:hAnsi="Times New Roman" w:cs="Times New Roman"/>
          <w:i w:val="0"/>
          <w:color w:val="auto"/>
          <w:sz w:val="16"/>
          <w:szCs w:val="16"/>
        </w:rPr>
        <w:t>) and multiple sclerosis (MS) scores. The dotted red and blue lines indicate the lowest observed rank of any immune gene module</w:t>
      </w:r>
      <w:r w:rsidR="004525A8" w:rsidRPr="006E6613">
        <w:rPr>
          <w:rFonts w:ascii="Times New Roman" w:hAnsi="Times New Roman" w:cs="Times New Roman"/>
          <w:i w:val="0"/>
          <w:color w:val="auto"/>
          <w:sz w:val="16"/>
          <w:szCs w:val="16"/>
        </w:rPr>
        <w:t xml:space="preserve"> </w:t>
      </w:r>
      <w:r w:rsidR="00AC5C9E" w:rsidRPr="006E6613">
        <w:rPr>
          <w:rFonts w:ascii="Times New Roman" w:hAnsi="Times New Roman" w:cs="Times New Roman"/>
          <w:i w:val="0"/>
          <w:color w:val="auto"/>
          <w:sz w:val="16"/>
          <w:szCs w:val="16"/>
        </w:rPr>
        <w:t>at uncorrected (lowest rank = 22</w:t>
      </w:r>
      <w:r w:rsidR="004525A8" w:rsidRPr="006E6613">
        <w:rPr>
          <w:rFonts w:ascii="Times New Roman" w:hAnsi="Times New Roman" w:cs="Times New Roman"/>
          <w:i w:val="0"/>
          <w:color w:val="auto"/>
          <w:sz w:val="16"/>
          <w:szCs w:val="16"/>
        </w:rPr>
        <w:t xml:space="preserve">, </w:t>
      </w:r>
      <w:r w:rsidR="00C01979" w:rsidRPr="006E6613">
        <w:rPr>
          <w:rFonts w:ascii="Times New Roman" w:hAnsi="Times New Roman" w:cs="Times New Roman"/>
          <w:color w:val="auto"/>
          <w:sz w:val="16"/>
          <w:szCs w:val="16"/>
        </w:rPr>
        <w:t>P</w:t>
      </w:r>
      <w:r w:rsidR="00AC5C9E" w:rsidRPr="006E6613">
        <w:rPr>
          <w:rFonts w:ascii="Times New Roman" w:hAnsi="Times New Roman" w:cs="Times New Roman"/>
          <w:i w:val="0"/>
          <w:color w:val="auto"/>
          <w:sz w:val="16"/>
          <w:szCs w:val="16"/>
        </w:rPr>
        <w:t>=0.043</w:t>
      </w:r>
      <w:r w:rsidR="004525A8" w:rsidRPr="006E6613">
        <w:rPr>
          <w:rFonts w:ascii="Times New Roman" w:hAnsi="Times New Roman" w:cs="Times New Roman"/>
          <w:i w:val="0"/>
          <w:color w:val="auto"/>
          <w:sz w:val="16"/>
          <w:szCs w:val="16"/>
        </w:rPr>
        <w:t>) and Bonfer</w:t>
      </w:r>
      <w:r w:rsidR="00AC5C9E" w:rsidRPr="006E6613">
        <w:rPr>
          <w:rFonts w:ascii="Times New Roman" w:hAnsi="Times New Roman" w:cs="Times New Roman"/>
          <w:i w:val="0"/>
          <w:color w:val="auto"/>
          <w:sz w:val="16"/>
          <w:szCs w:val="16"/>
        </w:rPr>
        <w:t>roni corrected (lowest rank = 30</w:t>
      </w:r>
      <w:r w:rsidR="004525A8" w:rsidRPr="006E6613">
        <w:rPr>
          <w:rFonts w:ascii="Times New Roman" w:hAnsi="Times New Roman" w:cs="Times New Roman"/>
          <w:i w:val="0"/>
          <w:color w:val="auto"/>
          <w:sz w:val="16"/>
          <w:szCs w:val="16"/>
        </w:rPr>
        <w:t xml:space="preserve">, </w:t>
      </w:r>
      <w:r w:rsidR="00C01979" w:rsidRPr="006E6613">
        <w:rPr>
          <w:rFonts w:ascii="Times New Roman" w:hAnsi="Times New Roman" w:cs="Times New Roman"/>
          <w:color w:val="auto"/>
          <w:sz w:val="16"/>
          <w:szCs w:val="16"/>
        </w:rPr>
        <w:t>P</w:t>
      </w:r>
      <w:r w:rsidR="004525A8" w:rsidRPr="006E6613">
        <w:rPr>
          <w:rFonts w:ascii="Times New Roman" w:hAnsi="Times New Roman" w:cs="Times New Roman"/>
          <w:i w:val="0"/>
          <w:color w:val="auto"/>
          <w:sz w:val="16"/>
          <w:szCs w:val="16"/>
        </w:rPr>
        <w:t>=0.0056 (0.05/7)) levels of significance.</w:t>
      </w:r>
    </w:p>
    <w:p w:rsidR="00BC21D7" w:rsidRDefault="00BC21D7" w:rsidP="00BC21D7"/>
    <w:p w:rsidR="007472F1" w:rsidRDefault="00D11529" w:rsidP="007472F1">
      <w:pPr>
        <w:keepNext/>
      </w:pPr>
      <w:r>
        <w:rPr>
          <w:noProof/>
        </w:rPr>
        <w:lastRenderedPageBreak/>
        <w:drawing>
          <wp:inline distT="0" distB="0" distL="0" distR="0">
            <wp:extent cx="5943600" cy="5782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_fine_fig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782945"/>
                    </a:xfrm>
                    <a:prstGeom prst="rect">
                      <a:avLst/>
                    </a:prstGeom>
                  </pic:spPr>
                </pic:pic>
              </a:graphicData>
            </a:graphic>
          </wp:inline>
        </w:drawing>
      </w:r>
    </w:p>
    <w:p w:rsidR="00D11529" w:rsidRPr="006E6613" w:rsidRDefault="00C54310" w:rsidP="005050AC">
      <w:pPr>
        <w:pStyle w:val="Caption"/>
        <w:rPr>
          <w:rFonts w:ascii="Times New Roman" w:hAnsi="Times New Roman" w:cs="Times New Roman"/>
          <w:i w:val="0"/>
          <w:color w:val="auto"/>
          <w:sz w:val="16"/>
          <w:szCs w:val="16"/>
        </w:rPr>
      </w:pPr>
      <w:r>
        <w:rPr>
          <w:rFonts w:ascii="Times New Roman" w:hAnsi="Times New Roman" w:cs="Times New Roman"/>
          <w:b/>
          <w:i w:val="0"/>
          <w:color w:val="auto"/>
          <w:sz w:val="16"/>
          <w:szCs w:val="16"/>
        </w:rPr>
        <w:t>Supplementary Figure</w:t>
      </w:r>
      <w:r w:rsidR="00CB1070" w:rsidRPr="006E6613">
        <w:rPr>
          <w:rFonts w:ascii="Times New Roman" w:hAnsi="Times New Roman" w:cs="Times New Roman"/>
          <w:b/>
          <w:i w:val="0"/>
          <w:color w:val="auto"/>
          <w:sz w:val="16"/>
          <w:szCs w:val="16"/>
        </w:rPr>
        <w:t xml:space="preserve"> </w:t>
      </w:r>
      <w:r w:rsidR="007472F1" w:rsidRPr="006E6613">
        <w:rPr>
          <w:rFonts w:ascii="Times New Roman" w:hAnsi="Times New Roman" w:cs="Times New Roman"/>
          <w:b/>
          <w:i w:val="0"/>
          <w:color w:val="auto"/>
          <w:sz w:val="16"/>
          <w:szCs w:val="16"/>
        </w:rPr>
        <w:t>3</w:t>
      </w:r>
      <w:r w:rsidR="00A76DD0" w:rsidRPr="006E6613">
        <w:rPr>
          <w:rFonts w:ascii="Times New Roman" w:hAnsi="Times New Roman" w:cs="Times New Roman"/>
          <w:b/>
          <w:i w:val="0"/>
          <w:color w:val="auto"/>
          <w:sz w:val="16"/>
          <w:szCs w:val="16"/>
        </w:rPr>
        <w:t>.</w:t>
      </w:r>
      <w:r w:rsidR="00A76DD0" w:rsidRPr="006E6613">
        <w:rPr>
          <w:rFonts w:ascii="Times New Roman" w:hAnsi="Times New Roman" w:cs="Times New Roman"/>
          <w:i w:val="0"/>
          <w:color w:val="auto"/>
          <w:sz w:val="16"/>
          <w:szCs w:val="16"/>
        </w:rPr>
        <w:t xml:space="preserve"> </w:t>
      </w:r>
      <w:r w:rsidR="00A76DD0" w:rsidRPr="006E6613">
        <w:rPr>
          <w:rFonts w:ascii="Times New Roman" w:hAnsi="Times New Roman" w:cs="Times New Roman"/>
          <w:b/>
          <w:i w:val="0"/>
          <w:color w:val="auto"/>
          <w:sz w:val="16"/>
          <w:szCs w:val="16"/>
        </w:rPr>
        <w:t>Associations of individual variants in the rheumatoid arthritis (</w:t>
      </w:r>
      <w:r w:rsidR="004112C5" w:rsidRPr="006E6613">
        <w:rPr>
          <w:rFonts w:ascii="Times New Roman" w:hAnsi="Times New Roman" w:cs="Times New Roman"/>
          <w:b/>
          <w:i w:val="0"/>
          <w:color w:val="auto"/>
          <w:sz w:val="16"/>
          <w:szCs w:val="16"/>
        </w:rPr>
        <w:t>rheumatoid arthritis</w:t>
      </w:r>
      <w:r w:rsidR="00A76DD0" w:rsidRPr="006E6613">
        <w:rPr>
          <w:rFonts w:ascii="Times New Roman" w:hAnsi="Times New Roman" w:cs="Times New Roman"/>
          <w:b/>
          <w:i w:val="0"/>
          <w:color w:val="auto"/>
          <w:sz w:val="16"/>
          <w:szCs w:val="16"/>
        </w:rPr>
        <w:t xml:space="preserve">) polygenic score on all postmortem pathological outcomes. </w:t>
      </w:r>
      <w:r w:rsidR="00A76DD0" w:rsidRPr="006E6613">
        <w:rPr>
          <w:rFonts w:ascii="Times New Roman" w:hAnsi="Times New Roman" w:cs="Times New Roman"/>
          <w:i w:val="0"/>
          <w:color w:val="auto"/>
          <w:sz w:val="16"/>
          <w:szCs w:val="16"/>
        </w:rPr>
        <w:t xml:space="preserve">Published effect sizes on the x-axis have been transformed using a natural logarithm and oriented in the positive direction to align allelic effects (color denotes direction of effect on microglial density). Microglial density phenotypes are indicated by region acronym and activation stage number (in square brackets). </w:t>
      </w:r>
      <w:r w:rsidR="00A76DD0" w:rsidRPr="006E6613">
        <w:rPr>
          <w:rFonts w:ascii="Times New Roman" w:hAnsi="Times New Roman" w:cs="Times New Roman"/>
          <w:color w:val="auto"/>
          <w:sz w:val="16"/>
          <w:szCs w:val="16"/>
        </w:rPr>
        <w:t>P</w:t>
      </w:r>
      <w:r w:rsidR="00A76DD0" w:rsidRPr="006E6613">
        <w:rPr>
          <w:rFonts w:ascii="Times New Roman" w:hAnsi="Times New Roman" w:cs="Times New Roman"/>
          <w:i w:val="0"/>
          <w:color w:val="auto"/>
          <w:sz w:val="16"/>
          <w:szCs w:val="16"/>
        </w:rPr>
        <w:t xml:space="preserve">-values are two-sided and derived from robust </w:t>
      </w:r>
      <w:r w:rsidR="00CB1070" w:rsidRPr="006E6613">
        <w:rPr>
          <w:rFonts w:ascii="Times New Roman" w:hAnsi="Times New Roman" w:cs="Times New Roman"/>
          <w:i w:val="0"/>
          <w:color w:val="auto"/>
          <w:sz w:val="16"/>
          <w:szCs w:val="16"/>
        </w:rPr>
        <w:t>iterated re-weighted least squares</w:t>
      </w:r>
      <w:r w:rsidR="00A76DD0" w:rsidRPr="006E6613">
        <w:rPr>
          <w:rFonts w:ascii="Times New Roman" w:hAnsi="Times New Roman" w:cs="Times New Roman"/>
          <w:i w:val="0"/>
          <w:color w:val="auto"/>
          <w:sz w:val="16"/>
          <w:szCs w:val="16"/>
        </w:rPr>
        <w:t xml:space="preserve"> regression models, co-varying for age at death, sex, and three </w:t>
      </w:r>
      <w:r w:rsidR="00CB1070" w:rsidRPr="006E6613">
        <w:rPr>
          <w:rFonts w:ascii="Times New Roman" w:hAnsi="Times New Roman" w:cs="Times New Roman"/>
          <w:i w:val="0"/>
          <w:color w:val="auto"/>
          <w:sz w:val="16"/>
          <w:szCs w:val="16"/>
        </w:rPr>
        <w:t>EIGENSTRAT</w:t>
      </w:r>
      <w:r w:rsidR="00A76DD0" w:rsidRPr="006E6613">
        <w:rPr>
          <w:rFonts w:ascii="Times New Roman" w:hAnsi="Times New Roman" w:cs="Times New Roman"/>
          <w:i w:val="0"/>
          <w:color w:val="auto"/>
          <w:sz w:val="16"/>
          <w:szCs w:val="16"/>
        </w:rPr>
        <w:t xml:space="preserve"> principal components.</w:t>
      </w:r>
      <w:r w:rsidR="008154A6" w:rsidRPr="006E6613">
        <w:rPr>
          <w:rFonts w:ascii="Times New Roman" w:hAnsi="Times New Roman" w:cs="Times New Roman"/>
          <w:i w:val="0"/>
          <w:color w:val="auto"/>
          <w:sz w:val="16"/>
          <w:szCs w:val="16"/>
        </w:rPr>
        <w:t xml:space="preserve"> The red dotted lines indicate uncorrected </w:t>
      </w:r>
      <w:r w:rsidR="00CB1070" w:rsidRPr="006E6613">
        <w:rPr>
          <w:rFonts w:ascii="Times New Roman" w:hAnsi="Times New Roman" w:cs="Times New Roman"/>
          <w:color w:val="auto"/>
          <w:sz w:val="16"/>
          <w:szCs w:val="16"/>
        </w:rPr>
        <w:t>P</w:t>
      </w:r>
      <w:r w:rsidR="008154A6" w:rsidRPr="006E6613">
        <w:rPr>
          <w:rFonts w:ascii="Times New Roman" w:hAnsi="Times New Roman" w:cs="Times New Roman"/>
          <w:i w:val="0"/>
          <w:color w:val="auto"/>
          <w:sz w:val="16"/>
          <w:szCs w:val="16"/>
        </w:rPr>
        <w:t>=0.01.</w:t>
      </w:r>
      <w:r w:rsidR="00A76DD0" w:rsidRPr="006E6613">
        <w:rPr>
          <w:rFonts w:ascii="Times New Roman" w:hAnsi="Times New Roman" w:cs="Times New Roman"/>
          <w:i w:val="0"/>
          <w:color w:val="auto"/>
          <w:sz w:val="16"/>
          <w:szCs w:val="16"/>
        </w:rPr>
        <w:t xml:space="preserve"> PHFtau = paired helical filament tau. NFT = neurofibrillary tangles. VM = ventral medial caudate. PP = posterior putamen. MF = midfrontal cortex. IT = inferior temporal cortex.</w:t>
      </w:r>
    </w:p>
    <w:p w:rsidR="00CB1070" w:rsidRDefault="00CB1070">
      <w:r>
        <w:br w:type="page"/>
      </w:r>
    </w:p>
    <w:p w:rsidR="007472F1" w:rsidRDefault="002C7E2E" w:rsidP="007472F1">
      <w:pPr>
        <w:keepNext/>
      </w:pPr>
      <w:r>
        <w:rPr>
          <w:noProof/>
        </w:rPr>
        <w:lastRenderedPageBreak/>
        <w:drawing>
          <wp:inline distT="0" distB="0" distL="0" distR="0">
            <wp:extent cx="3495675" cy="3495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D_IT3_fine_suppf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5767" cy="3495767"/>
                    </a:xfrm>
                    <a:prstGeom prst="rect">
                      <a:avLst/>
                    </a:prstGeom>
                  </pic:spPr>
                </pic:pic>
              </a:graphicData>
            </a:graphic>
          </wp:inline>
        </w:drawing>
      </w:r>
    </w:p>
    <w:p w:rsidR="002C7E2E" w:rsidRPr="001F5414" w:rsidRDefault="00C54310" w:rsidP="005050AC">
      <w:pPr>
        <w:pStyle w:val="Caption"/>
        <w:rPr>
          <w:rFonts w:ascii="Times New Roman" w:hAnsi="Times New Roman" w:cs="Times New Roman"/>
          <w:i w:val="0"/>
          <w:color w:val="auto"/>
          <w:sz w:val="16"/>
          <w:szCs w:val="16"/>
        </w:rPr>
      </w:pPr>
      <w:r>
        <w:rPr>
          <w:rFonts w:ascii="Times New Roman" w:hAnsi="Times New Roman" w:cs="Times New Roman"/>
          <w:b/>
          <w:i w:val="0"/>
          <w:color w:val="auto"/>
          <w:sz w:val="16"/>
          <w:szCs w:val="16"/>
        </w:rPr>
        <w:t>Supplementary Figure</w:t>
      </w:r>
      <w:r w:rsidR="007472F1" w:rsidRPr="001F5414">
        <w:rPr>
          <w:rFonts w:ascii="Times New Roman" w:hAnsi="Times New Roman" w:cs="Times New Roman"/>
          <w:b/>
          <w:i w:val="0"/>
          <w:color w:val="auto"/>
          <w:sz w:val="16"/>
          <w:szCs w:val="16"/>
        </w:rPr>
        <w:t xml:space="preserve"> 4</w:t>
      </w:r>
      <w:r w:rsidR="001C5459" w:rsidRPr="001F5414">
        <w:rPr>
          <w:rFonts w:ascii="Times New Roman" w:hAnsi="Times New Roman" w:cs="Times New Roman"/>
          <w:b/>
          <w:i w:val="0"/>
          <w:color w:val="auto"/>
          <w:sz w:val="16"/>
          <w:szCs w:val="16"/>
        </w:rPr>
        <w:t xml:space="preserve">. Analysis of individual variants </w:t>
      </w:r>
      <w:r w:rsidR="00CB1070" w:rsidRPr="001F5414">
        <w:rPr>
          <w:rFonts w:ascii="Times New Roman" w:hAnsi="Times New Roman" w:cs="Times New Roman"/>
          <w:b/>
          <w:i w:val="0"/>
          <w:color w:val="auto"/>
          <w:sz w:val="16"/>
          <w:szCs w:val="16"/>
        </w:rPr>
        <w:t>in the coronary artery disease</w:t>
      </w:r>
      <w:r w:rsidR="001C5459" w:rsidRPr="001F5414">
        <w:rPr>
          <w:rFonts w:ascii="Times New Roman" w:hAnsi="Times New Roman" w:cs="Times New Roman"/>
          <w:b/>
          <w:i w:val="0"/>
          <w:color w:val="auto"/>
          <w:sz w:val="16"/>
          <w:szCs w:val="16"/>
        </w:rPr>
        <w:t xml:space="preserve"> polygenic score on microglial density in the inferior temporal cortex. </w:t>
      </w:r>
      <w:r w:rsidR="001C5459" w:rsidRPr="001F5414">
        <w:rPr>
          <w:rFonts w:ascii="Times New Roman" w:hAnsi="Times New Roman" w:cs="Times New Roman"/>
          <w:i w:val="0"/>
          <w:color w:val="auto"/>
          <w:sz w:val="16"/>
          <w:szCs w:val="16"/>
        </w:rPr>
        <w:t xml:space="preserve">Published effect sizes on the x-axis have been transformed using a natural logarithm and oriented in the positive direction to align allelic effects (color denotes direction of effect on microglial density). </w:t>
      </w:r>
      <w:r w:rsidR="001C5459" w:rsidRPr="001F5414">
        <w:rPr>
          <w:rFonts w:ascii="Times New Roman" w:hAnsi="Times New Roman" w:cs="Times New Roman"/>
          <w:color w:val="auto"/>
          <w:sz w:val="16"/>
          <w:szCs w:val="16"/>
        </w:rPr>
        <w:t>P</w:t>
      </w:r>
      <w:r w:rsidR="001C5459" w:rsidRPr="001F5414">
        <w:rPr>
          <w:rFonts w:ascii="Times New Roman" w:hAnsi="Times New Roman" w:cs="Times New Roman"/>
          <w:i w:val="0"/>
          <w:color w:val="auto"/>
          <w:sz w:val="16"/>
          <w:szCs w:val="16"/>
        </w:rPr>
        <w:t xml:space="preserve">-values are two-sided and derived from robust </w:t>
      </w:r>
      <w:r w:rsidR="00CB1070" w:rsidRPr="001F5414">
        <w:rPr>
          <w:rFonts w:ascii="Times New Roman" w:hAnsi="Times New Roman" w:cs="Times New Roman"/>
          <w:i w:val="0"/>
          <w:color w:val="auto"/>
          <w:sz w:val="16"/>
          <w:szCs w:val="16"/>
        </w:rPr>
        <w:t xml:space="preserve">iterated re-weighted least squares </w:t>
      </w:r>
      <w:r w:rsidR="001C5459" w:rsidRPr="001F5414">
        <w:rPr>
          <w:rFonts w:ascii="Times New Roman" w:hAnsi="Times New Roman" w:cs="Times New Roman"/>
          <w:i w:val="0"/>
          <w:color w:val="auto"/>
          <w:sz w:val="16"/>
          <w:szCs w:val="16"/>
        </w:rPr>
        <w:t xml:space="preserve">regression models, co-varying for age at death, sex, and three </w:t>
      </w:r>
      <w:r w:rsidR="00CB1070" w:rsidRPr="001F5414">
        <w:rPr>
          <w:rFonts w:ascii="Times New Roman" w:hAnsi="Times New Roman" w:cs="Times New Roman"/>
          <w:i w:val="0"/>
          <w:color w:val="auto"/>
          <w:sz w:val="16"/>
          <w:szCs w:val="16"/>
        </w:rPr>
        <w:t>EIGENSTRAT</w:t>
      </w:r>
      <w:r w:rsidR="001C5459" w:rsidRPr="001F5414">
        <w:rPr>
          <w:rFonts w:ascii="Times New Roman" w:hAnsi="Times New Roman" w:cs="Times New Roman"/>
          <w:i w:val="0"/>
          <w:color w:val="auto"/>
          <w:sz w:val="16"/>
          <w:szCs w:val="16"/>
        </w:rPr>
        <w:t xml:space="preserve"> principal components.</w:t>
      </w:r>
    </w:p>
    <w:p w:rsidR="00BD293D" w:rsidRPr="005050AC" w:rsidRDefault="00BD293D" w:rsidP="005050AC">
      <w:pPr>
        <w:spacing w:line="240" w:lineRule="auto"/>
        <w:rPr>
          <w:sz w:val="20"/>
          <w:szCs w:val="20"/>
        </w:rPr>
      </w:pPr>
      <w:r w:rsidRPr="005050AC">
        <w:rPr>
          <w:sz w:val="20"/>
          <w:szCs w:val="20"/>
        </w:rPr>
        <w:br w:type="page"/>
      </w:r>
    </w:p>
    <w:p w:rsidR="007472F1" w:rsidRDefault="00DC7BE2" w:rsidP="007472F1">
      <w:pPr>
        <w:keepNext/>
      </w:pPr>
      <w:r>
        <w:rPr>
          <w:noProof/>
        </w:rPr>
        <w:lastRenderedPageBreak/>
        <w:drawing>
          <wp:inline distT="0" distB="0" distL="0" distR="0">
            <wp:extent cx="5943600" cy="322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supfig5_0727201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p w:rsidR="00A64A70" w:rsidRPr="001F5414" w:rsidRDefault="00C54310" w:rsidP="005050AC">
      <w:pPr>
        <w:pStyle w:val="Caption"/>
        <w:rPr>
          <w:rFonts w:ascii="Times New Roman" w:hAnsi="Times New Roman" w:cs="Times New Roman"/>
          <w:i w:val="0"/>
          <w:color w:val="auto"/>
          <w:sz w:val="16"/>
          <w:szCs w:val="16"/>
        </w:rPr>
        <w:sectPr w:rsidR="00A64A70" w:rsidRPr="001F5414">
          <w:footerReference w:type="default" r:id="rId13"/>
          <w:pgSz w:w="12240" w:h="15840"/>
          <w:pgMar w:top="1440" w:right="1440" w:bottom="1440" w:left="1440" w:header="720" w:footer="720" w:gutter="0"/>
          <w:cols w:space="720"/>
          <w:docGrid w:linePitch="360"/>
        </w:sectPr>
      </w:pPr>
      <w:r>
        <w:rPr>
          <w:rFonts w:ascii="Times New Roman" w:hAnsi="Times New Roman" w:cs="Times New Roman"/>
          <w:b/>
          <w:i w:val="0"/>
          <w:color w:val="auto"/>
          <w:sz w:val="16"/>
          <w:szCs w:val="16"/>
        </w:rPr>
        <w:t>Supplementary Figure</w:t>
      </w:r>
      <w:r w:rsidR="007472F1" w:rsidRPr="001F5414">
        <w:rPr>
          <w:rFonts w:ascii="Times New Roman" w:hAnsi="Times New Roman" w:cs="Times New Roman"/>
          <w:b/>
          <w:i w:val="0"/>
          <w:color w:val="auto"/>
          <w:sz w:val="16"/>
          <w:szCs w:val="16"/>
        </w:rPr>
        <w:t xml:space="preserve"> 5.</w:t>
      </w:r>
      <w:r w:rsidR="00A64A70" w:rsidRPr="001F5414">
        <w:rPr>
          <w:rFonts w:ascii="Times New Roman" w:hAnsi="Times New Roman" w:cs="Times New Roman"/>
          <w:b/>
          <w:i w:val="0"/>
          <w:color w:val="auto"/>
          <w:sz w:val="16"/>
          <w:szCs w:val="16"/>
        </w:rPr>
        <w:t xml:space="preserve"> Associations between gene module expression and A)</w:t>
      </w:r>
      <w:r w:rsidR="006A55BD" w:rsidRPr="001F5414">
        <w:rPr>
          <w:rFonts w:ascii="Times New Roman" w:hAnsi="Times New Roman" w:cs="Times New Roman"/>
          <w:b/>
          <w:i w:val="0"/>
          <w:color w:val="auto"/>
          <w:sz w:val="16"/>
          <w:szCs w:val="16"/>
        </w:rPr>
        <w:t xml:space="preserve"> GRS </w:t>
      </w:r>
      <w:r w:rsidR="00A64A70" w:rsidRPr="001F5414">
        <w:rPr>
          <w:rFonts w:ascii="Times New Roman" w:hAnsi="Times New Roman" w:cs="Times New Roman"/>
          <w:b/>
          <w:i w:val="0"/>
          <w:color w:val="auto"/>
          <w:sz w:val="16"/>
          <w:szCs w:val="16"/>
        </w:rPr>
        <w:t>and B) midfrontal (MF) microglial density.</w:t>
      </w:r>
      <w:r w:rsidR="00A64A70" w:rsidRPr="001F5414">
        <w:rPr>
          <w:rFonts w:ascii="Times New Roman" w:hAnsi="Times New Roman" w:cs="Times New Roman"/>
          <w:i w:val="0"/>
          <w:color w:val="auto"/>
          <w:sz w:val="16"/>
          <w:szCs w:val="16"/>
        </w:rPr>
        <w:t xml:space="preserve"> Modules</w:t>
      </w:r>
      <w:r w:rsidR="00E0330E" w:rsidRPr="001F5414">
        <w:rPr>
          <w:rFonts w:ascii="Times New Roman" w:hAnsi="Times New Roman" w:cs="Times New Roman"/>
          <w:i w:val="0"/>
          <w:color w:val="auto"/>
          <w:sz w:val="16"/>
          <w:szCs w:val="16"/>
        </w:rPr>
        <w:t xml:space="preserve"> are ordered </w:t>
      </w:r>
      <w:r w:rsidR="00A64A70" w:rsidRPr="001F5414">
        <w:rPr>
          <w:rFonts w:ascii="Times New Roman" w:hAnsi="Times New Roman" w:cs="Times New Roman"/>
          <w:i w:val="0"/>
          <w:color w:val="auto"/>
          <w:sz w:val="16"/>
          <w:szCs w:val="16"/>
        </w:rPr>
        <w:t xml:space="preserve">left to right </w:t>
      </w:r>
      <w:r w:rsidR="00E0330E" w:rsidRPr="001F5414">
        <w:rPr>
          <w:rFonts w:ascii="Times New Roman" w:hAnsi="Times New Roman" w:cs="Times New Roman"/>
          <w:i w:val="0"/>
          <w:color w:val="auto"/>
          <w:sz w:val="16"/>
          <w:szCs w:val="16"/>
        </w:rPr>
        <w:t xml:space="preserve">by ascending </w:t>
      </w:r>
      <w:r w:rsidR="00DC018D" w:rsidRPr="001F5414">
        <w:rPr>
          <w:rFonts w:ascii="Times New Roman" w:hAnsi="Times New Roman" w:cs="Times New Roman"/>
          <w:color w:val="auto"/>
          <w:sz w:val="16"/>
          <w:szCs w:val="16"/>
        </w:rPr>
        <w:t>P</w:t>
      </w:r>
      <w:r w:rsidR="00E0330E" w:rsidRPr="001F5414">
        <w:rPr>
          <w:rFonts w:ascii="Times New Roman" w:hAnsi="Times New Roman" w:cs="Times New Roman"/>
          <w:i w:val="0"/>
          <w:color w:val="auto"/>
          <w:sz w:val="16"/>
          <w:szCs w:val="16"/>
        </w:rPr>
        <w:t xml:space="preserve">-value for associations of variants with </w:t>
      </w:r>
      <w:r w:rsidR="00A64A70" w:rsidRPr="001F5414">
        <w:rPr>
          <w:rFonts w:ascii="Times New Roman" w:hAnsi="Times New Roman" w:cs="Times New Roman"/>
          <w:i w:val="0"/>
          <w:color w:val="auto"/>
          <w:sz w:val="16"/>
          <w:szCs w:val="16"/>
        </w:rPr>
        <w:t>MF</w:t>
      </w:r>
      <w:r w:rsidR="00E0330E" w:rsidRPr="001F5414">
        <w:rPr>
          <w:rFonts w:ascii="Times New Roman" w:hAnsi="Times New Roman" w:cs="Times New Roman"/>
          <w:i w:val="0"/>
          <w:color w:val="auto"/>
          <w:sz w:val="16"/>
          <w:szCs w:val="16"/>
        </w:rPr>
        <w:t xml:space="preserve"> microglial density at stages 1+2+3</w:t>
      </w:r>
      <w:r w:rsidR="00A64A70" w:rsidRPr="001F5414">
        <w:rPr>
          <w:rFonts w:ascii="Times New Roman" w:hAnsi="Times New Roman" w:cs="Times New Roman"/>
          <w:i w:val="0"/>
          <w:color w:val="auto"/>
          <w:sz w:val="16"/>
          <w:szCs w:val="16"/>
        </w:rPr>
        <w:t>.</w:t>
      </w:r>
      <w:r w:rsidR="00C42D46" w:rsidRPr="001F5414">
        <w:rPr>
          <w:rFonts w:ascii="Times New Roman" w:hAnsi="Times New Roman" w:cs="Times New Roman"/>
          <w:i w:val="0"/>
          <w:color w:val="auto"/>
          <w:sz w:val="16"/>
          <w:szCs w:val="16"/>
        </w:rPr>
        <w:t xml:space="preserve"> Polygenic scores</w:t>
      </w:r>
      <w:r w:rsidR="00A64A70" w:rsidRPr="001F5414">
        <w:rPr>
          <w:rFonts w:ascii="Times New Roman" w:hAnsi="Times New Roman" w:cs="Times New Roman"/>
          <w:i w:val="0"/>
          <w:color w:val="auto"/>
          <w:sz w:val="16"/>
          <w:szCs w:val="16"/>
        </w:rPr>
        <w:t xml:space="preserve"> in panel A are ordered top to bottom by descending number of significant associations</w:t>
      </w:r>
      <w:r w:rsidR="00DD3783" w:rsidRPr="001F5414">
        <w:rPr>
          <w:rFonts w:ascii="Times New Roman" w:hAnsi="Times New Roman" w:cs="Times New Roman"/>
          <w:i w:val="0"/>
          <w:color w:val="auto"/>
          <w:sz w:val="16"/>
          <w:szCs w:val="16"/>
        </w:rPr>
        <w:t xml:space="preserve"> with gene module expression</w:t>
      </w:r>
      <w:r w:rsidR="00A64A70" w:rsidRPr="001F5414">
        <w:rPr>
          <w:rFonts w:ascii="Times New Roman" w:hAnsi="Times New Roman" w:cs="Times New Roman"/>
          <w:i w:val="0"/>
          <w:color w:val="auto"/>
          <w:sz w:val="16"/>
          <w:szCs w:val="16"/>
        </w:rPr>
        <w:t xml:space="preserve"> at </w:t>
      </w:r>
      <w:r w:rsidR="00DC018D" w:rsidRPr="001F5414">
        <w:rPr>
          <w:rFonts w:ascii="Times New Roman" w:hAnsi="Times New Roman" w:cs="Times New Roman"/>
          <w:color w:val="auto"/>
          <w:sz w:val="16"/>
          <w:szCs w:val="16"/>
        </w:rPr>
        <w:t>P</w:t>
      </w:r>
      <w:r w:rsidR="00A64A70" w:rsidRPr="001F5414">
        <w:rPr>
          <w:rFonts w:ascii="Times New Roman" w:hAnsi="Times New Roman" w:cs="Times New Roman"/>
          <w:i w:val="0"/>
          <w:color w:val="auto"/>
          <w:sz w:val="16"/>
          <w:szCs w:val="16"/>
          <w:vertAlign w:val="subscript"/>
        </w:rPr>
        <w:t>uncorr</w:t>
      </w:r>
      <w:r w:rsidR="00A64A70" w:rsidRPr="001F5414">
        <w:rPr>
          <w:rFonts w:ascii="Times New Roman" w:hAnsi="Times New Roman" w:cs="Times New Roman"/>
          <w:i w:val="0"/>
          <w:color w:val="auto"/>
          <w:sz w:val="16"/>
          <w:szCs w:val="16"/>
        </w:rPr>
        <w:t xml:space="preserve">&lt;0.05.  </w:t>
      </w:r>
      <w:r w:rsidR="00C42D46" w:rsidRPr="001F5414">
        <w:rPr>
          <w:rFonts w:ascii="Times New Roman" w:hAnsi="Times New Roman" w:cs="Times New Roman"/>
          <w:i w:val="0"/>
          <w:color w:val="auto"/>
          <w:sz w:val="16"/>
          <w:szCs w:val="16"/>
        </w:rPr>
        <w:t xml:space="preserve">T statistics were </w:t>
      </w:r>
      <w:r w:rsidR="00A64A70" w:rsidRPr="001F5414">
        <w:rPr>
          <w:rFonts w:ascii="Times New Roman" w:hAnsi="Times New Roman" w:cs="Times New Roman"/>
          <w:i w:val="0"/>
          <w:color w:val="auto"/>
          <w:sz w:val="16"/>
          <w:szCs w:val="16"/>
        </w:rPr>
        <w:t>derived from robust regression</w:t>
      </w:r>
      <w:r w:rsidR="00C42D46" w:rsidRPr="001F5414">
        <w:rPr>
          <w:rFonts w:ascii="Times New Roman" w:hAnsi="Times New Roman" w:cs="Times New Roman"/>
          <w:i w:val="0"/>
          <w:color w:val="auto"/>
          <w:sz w:val="16"/>
          <w:szCs w:val="16"/>
        </w:rPr>
        <w:t xml:space="preserve">, and </w:t>
      </w:r>
      <w:r w:rsidR="00DC018D" w:rsidRPr="001F5414">
        <w:rPr>
          <w:rFonts w:ascii="Times New Roman" w:hAnsi="Times New Roman" w:cs="Times New Roman"/>
          <w:color w:val="auto"/>
          <w:sz w:val="16"/>
          <w:szCs w:val="16"/>
        </w:rPr>
        <w:t>P</w:t>
      </w:r>
      <w:r w:rsidR="00C42D46" w:rsidRPr="001F5414">
        <w:rPr>
          <w:rFonts w:ascii="Times New Roman" w:hAnsi="Times New Roman" w:cs="Times New Roman"/>
          <w:i w:val="0"/>
          <w:color w:val="auto"/>
          <w:sz w:val="16"/>
          <w:szCs w:val="16"/>
        </w:rPr>
        <w:t>-values are two sided and uncorrected</w:t>
      </w:r>
      <w:r w:rsidR="00A64A70" w:rsidRPr="001F5414">
        <w:rPr>
          <w:rFonts w:ascii="Times New Roman" w:hAnsi="Times New Roman" w:cs="Times New Roman"/>
          <w:i w:val="0"/>
          <w:color w:val="auto"/>
          <w:sz w:val="16"/>
          <w:szCs w:val="16"/>
        </w:rPr>
        <w:t>.</w:t>
      </w:r>
      <w:r w:rsidR="00C42D46" w:rsidRPr="001F5414">
        <w:rPr>
          <w:rFonts w:ascii="Times New Roman" w:hAnsi="Times New Roman" w:cs="Times New Roman"/>
          <w:i w:val="0"/>
          <w:color w:val="auto"/>
          <w:sz w:val="16"/>
          <w:szCs w:val="16"/>
        </w:rPr>
        <w:t xml:space="preserve"> </w:t>
      </w:r>
      <w:r w:rsidR="00DC018D" w:rsidRPr="001F5414">
        <w:rPr>
          <w:rFonts w:ascii="Times New Roman" w:hAnsi="Times New Roman" w:cs="Times New Roman"/>
          <w:i w:val="0"/>
          <w:color w:val="auto"/>
          <w:sz w:val="16"/>
          <w:szCs w:val="16"/>
        </w:rPr>
        <w:t>AD</w:t>
      </w:r>
      <w:r w:rsidR="00C42D46" w:rsidRPr="001F5414">
        <w:rPr>
          <w:rFonts w:ascii="Times New Roman" w:hAnsi="Times New Roman" w:cs="Times New Roman"/>
          <w:i w:val="0"/>
          <w:color w:val="auto"/>
          <w:sz w:val="16"/>
          <w:szCs w:val="16"/>
        </w:rPr>
        <w:t xml:space="preserve">+ and </w:t>
      </w:r>
      <w:r w:rsidR="00DC018D" w:rsidRPr="001F5414">
        <w:rPr>
          <w:rFonts w:ascii="Times New Roman" w:hAnsi="Times New Roman" w:cs="Times New Roman"/>
          <w:i w:val="0"/>
          <w:color w:val="auto"/>
          <w:sz w:val="16"/>
          <w:szCs w:val="16"/>
        </w:rPr>
        <w:t>AD</w:t>
      </w:r>
      <w:r w:rsidR="00C42D46" w:rsidRPr="001F5414">
        <w:rPr>
          <w:rFonts w:ascii="Times New Roman" w:hAnsi="Times New Roman" w:cs="Times New Roman"/>
          <w:i w:val="0"/>
          <w:color w:val="auto"/>
          <w:sz w:val="16"/>
          <w:szCs w:val="16"/>
        </w:rPr>
        <w:t>- are Alzheimer’s disease</w:t>
      </w:r>
      <w:r w:rsidR="006A55BD" w:rsidRPr="001F5414">
        <w:rPr>
          <w:rFonts w:ascii="Times New Roman" w:hAnsi="Times New Roman" w:cs="Times New Roman"/>
          <w:i w:val="0"/>
          <w:color w:val="auto"/>
          <w:sz w:val="16"/>
          <w:szCs w:val="16"/>
        </w:rPr>
        <w:t xml:space="preserve"> GRS </w:t>
      </w:r>
      <w:r w:rsidR="00C42D46" w:rsidRPr="001F5414">
        <w:rPr>
          <w:rFonts w:ascii="Times New Roman" w:hAnsi="Times New Roman" w:cs="Times New Roman"/>
          <w:i w:val="0"/>
          <w:color w:val="auto"/>
          <w:sz w:val="16"/>
          <w:szCs w:val="16"/>
        </w:rPr>
        <w:t xml:space="preserve">including and excluding </w:t>
      </w:r>
      <w:r w:rsidR="00C42D46" w:rsidRPr="001F5414">
        <w:rPr>
          <w:rFonts w:ascii="Times New Roman" w:hAnsi="Times New Roman" w:cs="Times New Roman"/>
          <w:color w:val="auto"/>
          <w:sz w:val="16"/>
          <w:szCs w:val="16"/>
        </w:rPr>
        <w:t>APOE</w:t>
      </w:r>
      <w:r w:rsidR="00C42D46" w:rsidRPr="001F5414">
        <w:rPr>
          <w:rFonts w:ascii="Times New Roman" w:hAnsi="Times New Roman" w:cs="Times New Roman"/>
          <w:i w:val="0"/>
          <w:color w:val="auto"/>
          <w:sz w:val="16"/>
          <w:szCs w:val="16"/>
        </w:rPr>
        <w:t xml:space="preserve">, respectively. MS = multiple sclerosis. </w:t>
      </w:r>
      <w:r w:rsidR="004112C5" w:rsidRPr="001F5414">
        <w:rPr>
          <w:rFonts w:ascii="Times New Roman" w:hAnsi="Times New Roman" w:cs="Times New Roman"/>
          <w:i w:val="0"/>
          <w:color w:val="auto"/>
          <w:sz w:val="16"/>
          <w:szCs w:val="16"/>
        </w:rPr>
        <w:t>coronary artery disease</w:t>
      </w:r>
      <w:r w:rsidR="00C42D46" w:rsidRPr="001F5414">
        <w:rPr>
          <w:rFonts w:ascii="Times New Roman" w:hAnsi="Times New Roman" w:cs="Times New Roman"/>
          <w:i w:val="0"/>
          <w:color w:val="auto"/>
          <w:sz w:val="16"/>
          <w:szCs w:val="16"/>
        </w:rPr>
        <w:t xml:space="preserve"> = coronary artery disease. SCZ = schizophrenia. </w:t>
      </w:r>
      <w:r w:rsidR="004112C5" w:rsidRPr="001F5414">
        <w:rPr>
          <w:rFonts w:ascii="Times New Roman" w:hAnsi="Times New Roman" w:cs="Times New Roman"/>
          <w:i w:val="0"/>
          <w:color w:val="auto"/>
          <w:sz w:val="16"/>
          <w:szCs w:val="16"/>
        </w:rPr>
        <w:t>rheumatoid arthritis</w:t>
      </w:r>
      <w:r w:rsidR="00C42D46" w:rsidRPr="001F5414">
        <w:rPr>
          <w:rFonts w:ascii="Times New Roman" w:hAnsi="Times New Roman" w:cs="Times New Roman"/>
          <w:i w:val="0"/>
          <w:color w:val="auto"/>
          <w:sz w:val="16"/>
          <w:szCs w:val="16"/>
        </w:rPr>
        <w:t xml:space="preserve"> = rheumatoid arthritis. TEL = telomere length.</w:t>
      </w:r>
    </w:p>
    <w:p w:rsidR="00BD293D" w:rsidRDefault="00BD293D" w:rsidP="00BD293D">
      <w:pPr>
        <w:keepNext/>
      </w:pPr>
      <w:r>
        <w:rPr>
          <w:noProof/>
        </w:rPr>
        <w:lastRenderedPageBreak/>
        <w:drawing>
          <wp:inline distT="0" distB="0" distL="0" distR="0">
            <wp:extent cx="8252798" cy="54877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fig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52798" cy="5487701"/>
                    </a:xfrm>
                    <a:prstGeom prst="rect">
                      <a:avLst/>
                    </a:prstGeom>
                  </pic:spPr>
                </pic:pic>
              </a:graphicData>
            </a:graphic>
          </wp:inline>
        </w:drawing>
      </w:r>
    </w:p>
    <w:p w:rsidR="00AC0E3C" w:rsidRDefault="00C54310" w:rsidP="006951CE">
      <w:pPr>
        <w:pStyle w:val="Caption"/>
        <w:rPr>
          <w:rFonts w:ascii="Times New Roman" w:hAnsi="Times New Roman" w:cs="Times New Roman"/>
          <w:i w:val="0"/>
          <w:color w:val="auto"/>
          <w:sz w:val="16"/>
          <w:szCs w:val="16"/>
        </w:rPr>
      </w:pPr>
      <w:r>
        <w:rPr>
          <w:rFonts w:ascii="Times New Roman" w:hAnsi="Times New Roman" w:cs="Times New Roman"/>
          <w:b/>
          <w:i w:val="0"/>
          <w:color w:val="auto"/>
          <w:sz w:val="16"/>
          <w:szCs w:val="16"/>
        </w:rPr>
        <w:t>Supplementary Figure</w:t>
      </w:r>
      <w:r w:rsidR="007472F1" w:rsidRPr="001F5414">
        <w:rPr>
          <w:rFonts w:ascii="Times New Roman" w:hAnsi="Times New Roman" w:cs="Times New Roman"/>
          <w:b/>
          <w:i w:val="0"/>
          <w:color w:val="auto"/>
          <w:sz w:val="16"/>
          <w:szCs w:val="16"/>
        </w:rPr>
        <w:t xml:space="preserve"> 6</w:t>
      </w:r>
      <w:r w:rsidR="00BD293D" w:rsidRPr="001F5414">
        <w:rPr>
          <w:rFonts w:ascii="Times New Roman" w:hAnsi="Times New Roman" w:cs="Times New Roman"/>
          <w:b/>
          <w:i w:val="0"/>
          <w:color w:val="auto"/>
          <w:sz w:val="16"/>
          <w:szCs w:val="16"/>
        </w:rPr>
        <w:t xml:space="preserve">. </w:t>
      </w:r>
      <w:r w:rsidR="00BF25AE" w:rsidRPr="001F5414">
        <w:rPr>
          <w:rFonts w:ascii="Times New Roman" w:hAnsi="Times New Roman" w:cs="Times New Roman"/>
          <w:b/>
          <w:i w:val="0"/>
          <w:color w:val="auto"/>
          <w:sz w:val="16"/>
          <w:szCs w:val="16"/>
        </w:rPr>
        <w:t xml:space="preserve">Analysis of shared effects of gene variants on microglial density and gene module expression. </w:t>
      </w:r>
      <w:r w:rsidR="00BF25AE" w:rsidRPr="001F5414">
        <w:rPr>
          <w:rFonts w:ascii="Times New Roman" w:hAnsi="Times New Roman" w:cs="Times New Roman"/>
          <w:i w:val="0"/>
          <w:color w:val="auto"/>
          <w:sz w:val="16"/>
          <w:szCs w:val="16"/>
        </w:rPr>
        <w:t>Spearman correlations between gene variants’ effects on microglial density vs. their effects on gene module expression for each</w:t>
      </w:r>
      <w:r w:rsidR="006A55BD" w:rsidRPr="001F5414">
        <w:rPr>
          <w:rFonts w:ascii="Times New Roman" w:hAnsi="Times New Roman" w:cs="Times New Roman"/>
          <w:i w:val="0"/>
          <w:color w:val="auto"/>
          <w:sz w:val="16"/>
          <w:szCs w:val="16"/>
        </w:rPr>
        <w:t xml:space="preserve"> GRS </w:t>
      </w:r>
      <w:r w:rsidR="00F362C5" w:rsidRPr="001F5414">
        <w:rPr>
          <w:rFonts w:ascii="Times New Roman" w:hAnsi="Times New Roman" w:cs="Times New Roman"/>
          <w:i w:val="0"/>
          <w:color w:val="auto"/>
          <w:sz w:val="16"/>
          <w:szCs w:val="16"/>
        </w:rPr>
        <w:t>other than multiple sclerosis (MS)</w:t>
      </w:r>
      <w:r w:rsidR="00413A08" w:rsidRPr="001F5414">
        <w:rPr>
          <w:rFonts w:ascii="Times New Roman" w:hAnsi="Times New Roman" w:cs="Times New Roman"/>
          <w:i w:val="0"/>
          <w:color w:val="auto"/>
          <w:sz w:val="16"/>
          <w:szCs w:val="16"/>
        </w:rPr>
        <w:t>. Modules are ordered separately for each</w:t>
      </w:r>
      <w:r w:rsidR="006A55BD" w:rsidRPr="001F5414">
        <w:rPr>
          <w:rFonts w:ascii="Times New Roman" w:hAnsi="Times New Roman" w:cs="Times New Roman"/>
          <w:i w:val="0"/>
          <w:color w:val="auto"/>
          <w:sz w:val="16"/>
          <w:szCs w:val="16"/>
        </w:rPr>
        <w:t xml:space="preserve"> GRS </w:t>
      </w:r>
      <w:r w:rsidR="00413A08" w:rsidRPr="001F5414">
        <w:rPr>
          <w:rFonts w:ascii="Times New Roman" w:hAnsi="Times New Roman" w:cs="Times New Roman"/>
          <w:i w:val="0"/>
          <w:color w:val="auto"/>
          <w:sz w:val="16"/>
          <w:szCs w:val="16"/>
        </w:rPr>
        <w:t xml:space="preserve">per the strength of correlation between the effects of variants </w:t>
      </w:r>
      <w:r w:rsidR="00413A08" w:rsidRPr="001F5414">
        <w:rPr>
          <w:rFonts w:ascii="Times New Roman" w:hAnsi="Times New Roman" w:cs="Times New Roman"/>
          <w:i w:val="0"/>
          <w:color w:val="auto"/>
          <w:sz w:val="16"/>
          <w:szCs w:val="16"/>
        </w:rPr>
        <w:lastRenderedPageBreak/>
        <w:t xml:space="preserve">in each score on both outcomes. </w:t>
      </w:r>
      <w:r w:rsidR="00413A08" w:rsidRPr="00257378">
        <w:rPr>
          <w:rFonts w:ascii="Times New Roman" w:hAnsi="Times New Roman" w:cs="Times New Roman"/>
          <w:i w:val="0"/>
          <w:color w:val="auto"/>
          <w:sz w:val="16"/>
          <w:szCs w:val="16"/>
          <w:highlight w:val="yellow"/>
        </w:rPr>
        <w:t xml:space="preserve">Immune modules are indicated and p-values indicate the probability of observing the clustering of all </w:t>
      </w:r>
      <w:r w:rsidR="002941C9" w:rsidRPr="00257378">
        <w:rPr>
          <w:rFonts w:ascii="Times New Roman" w:hAnsi="Times New Roman" w:cs="Times New Roman"/>
          <w:i w:val="0"/>
          <w:color w:val="auto"/>
          <w:sz w:val="16"/>
          <w:szCs w:val="16"/>
          <w:highlight w:val="yellow"/>
        </w:rPr>
        <w:t>five</w:t>
      </w:r>
      <w:r w:rsidR="00413A08" w:rsidRPr="00257378">
        <w:rPr>
          <w:rFonts w:ascii="Times New Roman" w:hAnsi="Times New Roman" w:cs="Times New Roman"/>
          <w:i w:val="0"/>
          <w:color w:val="auto"/>
          <w:sz w:val="16"/>
          <w:szCs w:val="16"/>
          <w:highlight w:val="yellow"/>
        </w:rPr>
        <w:t xml:space="preserve"> immune modules above the lowest observed rank</w:t>
      </w:r>
      <w:r w:rsidR="00BE0433" w:rsidRPr="00257378">
        <w:rPr>
          <w:rFonts w:ascii="Times New Roman" w:hAnsi="Times New Roman" w:cs="Times New Roman"/>
          <w:i w:val="0"/>
          <w:color w:val="auto"/>
          <w:sz w:val="16"/>
          <w:szCs w:val="16"/>
          <w:highlight w:val="yellow"/>
        </w:rPr>
        <w:t>, and are therefore one-sided</w:t>
      </w:r>
      <w:r w:rsidR="00413A08" w:rsidRPr="001F5414">
        <w:rPr>
          <w:rFonts w:ascii="Times New Roman" w:hAnsi="Times New Roman" w:cs="Times New Roman"/>
          <w:i w:val="0"/>
          <w:color w:val="auto"/>
          <w:sz w:val="16"/>
          <w:szCs w:val="16"/>
        </w:rPr>
        <w:t xml:space="preserve">. </w:t>
      </w:r>
      <w:r w:rsidR="00BF25AE" w:rsidRPr="001F5414">
        <w:rPr>
          <w:rFonts w:ascii="Times New Roman" w:hAnsi="Times New Roman" w:cs="Times New Roman"/>
          <w:i w:val="0"/>
          <w:color w:val="auto"/>
          <w:sz w:val="16"/>
          <w:szCs w:val="16"/>
        </w:rPr>
        <w:t xml:space="preserve">The </w:t>
      </w:r>
      <w:r w:rsidR="004112C5" w:rsidRPr="001F5414">
        <w:rPr>
          <w:rFonts w:ascii="Times New Roman" w:hAnsi="Times New Roman" w:cs="Times New Roman"/>
          <w:i w:val="0"/>
          <w:color w:val="auto"/>
          <w:sz w:val="16"/>
          <w:szCs w:val="16"/>
        </w:rPr>
        <w:t>Alzheimer’s disease</w:t>
      </w:r>
      <w:r w:rsidR="006A55BD" w:rsidRPr="001F5414">
        <w:rPr>
          <w:rFonts w:ascii="Times New Roman" w:hAnsi="Times New Roman" w:cs="Times New Roman"/>
          <w:i w:val="0"/>
          <w:color w:val="auto"/>
          <w:sz w:val="16"/>
          <w:szCs w:val="16"/>
        </w:rPr>
        <w:t xml:space="preserve"> GRS </w:t>
      </w:r>
      <w:r w:rsidR="00BF25AE" w:rsidRPr="001F5414">
        <w:rPr>
          <w:rFonts w:ascii="Times New Roman" w:hAnsi="Times New Roman" w:cs="Times New Roman"/>
          <w:i w:val="0"/>
          <w:color w:val="auto"/>
          <w:sz w:val="16"/>
          <w:szCs w:val="16"/>
        </w:rPr>
        <w:t xml:space="preserve">in this analysis included effects of </w:t>
      </w:r>
      <w:r w:rsidR="00BF25AE" w:rsidRPr="001F5414">
        <w:rPr>
          <w:rFonts w:ascii="Times New Roman" w:hAnsi="Times New Roman" w:cs="Times New Roman"/>
          <w:color w:val="auto"/>
          <w:sz w:val="16"/>
          <w:szCs w:val="16"/>
        </w:rPr>
        <w:t>APOE</w:t>
      </w:r>
      <w:r w:rsidR="00BF25AE" w:rsidRPr="001F5414">
        <w:rPr>
          <w:rFonts w:ascii="Times New Roman" w:hAnsi="Times New Roman" w:cs="Times New Roman"/>
          <w:i w:val="0"/>
          <w:color w:val="auto"/>
          <w:sz w:val="16"/>
          <w:szCs w:val="16"/>
        </w:rPr>
        <w:t xml:space="preserve">.  </w:t>
      </w:r>
      <w:r w:rsidR="004112C5" w:rsidRPr="001F5414">
        <w:rPr>
          <w:rFonts w:ascii="Times New Roman" w:hAnsi="Times New Roman" w:cs="Times New Roman"/>
          <w:i w:val="0"/>
          <w:color w:val="auto"/>
          <w:sz w:val="16"/>
          <w:szCs w:val="16"/>
        </w:rPr>
        <w:t>coronary artery disease</w:t>
      </w:r>
      <w:r w:rsidR="00F362C5" w:rsidRPr="001F5414">
        <w:rPr>
          <w:rFonts w:ascii="Times New Roman" w:hAnsi="Times New Roman" w:cs="Times New Roman"/>
          <w:i w:val="0"/>
          <w:color w:val="auto"/>
          <w:sz w:val="16"/>
          <w:szCs w:val="16"/>
        </w:rPr>
        <w:t xml:space="preserve"> = coronary artery disease. SCZ = schizophrenia. </w:t>
      </w:r>
      <w:r w:rsidR="004112C5" w:rsidRPr="001F5414">
        <w:rPr>
          <w:rFonts w:ascii="Times New Roman" w:hAnsi="Times New Roman" w:cs="Times New Roman"/>
          <w:i w:val="0"/>
          <w:color w:val="auto"/>
          <w:sz w:val="16"/>
          <w:szCs w:val="16"/>
        </w:rPr>
        <w:t>rheumatoid arthritis</w:t>
      </w:r>
      <w:r w:rsidR="00F362C5" w:rsidRPr="001F5414">
        <w:rPr>
          <w:rFonts w:ascii="Times New Roman" w:hAnsi="Times New Roman" w:cs="Times New Roman"/>
          <w:i w:val="0"/>
          <w:color w:val="auto"/>
          <w:sz w:val="16"/>
          <w:szCs w:val="16"/>
        </w:rPr>
        <w:t xml:space="preserve"> = rheumatoid arthritis. TEL = telomere length.</w:t>
      </w:r>
    </w:p>
    <w:p w:rsidR="00070073" w:rsidRDefault="00070073" w:rsidP="00070073">
      <w:r>
        <w:rPr>
          <w:noProof/>
        </w:rPr>
        <w:lastRenderedPageBreak/>
        <w:drawing>
          <wp:inline distT="0" distB="0" distL="0" distR="0">
            <wp:extent cx="8149590" cy="59436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ne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49590" cy="5943600"/>
                    </a:xfrm>
                    <a:prstGeom prst="rect">
                      <a:avLst/>
                    </a:prstGeom>
                  </pic:spPr>
                </pic:pic>
              </a:graphicData>
            </a:graphic>
          </wp:inline>
        </w:drawing>
      </w:r>
    </w:p>
    <w:p w:rsidR="00070073" w:rsidRPr="00070073" w:rsidRDefault="00070073" w:rsidP="00070073">
      <w:pPr>
        <w:pStyle w:val="NoSpacing"/>
        <w:rPr>
          <w:sz w:val="16"/>
          <w:szCs w:val="16"/>
        </w:rPr>
      </w:pPr>
      <w:r>
        <w:rPr>
          <w:b/>
          <w:sz w:val="16"/>
          <w:szCs w:val="16"/>
        </w:rPr>
        <w:lastRenderedPageBreak/>
        <w:t>Supplementary Figure 7</w:t>
      </w:r>
      <w:r w:rsidRPr="00070073">
        <w:rPr>
          <w:sz w:val="16"/>
          <w:szCs w:val="16"/>
        </w:rPr>
        <w:t xml:space="preserve">. </w:t>
      </w:r>
      <w:r w:rsidRPr="00070073">
        <w:rPr>
          <w:b/>
          <w:sz w:val="16"/>
          <w:szCs w:val="16"/>
        </w:rPr>
        <w:t xml:space="preserve">Analysis of shared effects of gene variants on microglial density and gene module expression. </w:t>
      </w:r>
      <w:r w:rsidRPr="00070073">
        <w:rPr>
          <w:sz w:val="16"/>
          <w:szCs w:val="16"/>
        </w:rPr>
        <w:t xml:space="preserve">A) Spearman correlations between gene variants’ effects on microglial density vs. their effects on gene module expression for each GRS and 47 modules, ordered by effect correlation among all variants combined (increasing left to right). The AD GRS in this analysis included effects of </w:t>
      </w:r>
      <w:r w:rsidRPr="00070073">
        <w:rPr>
          <w:i/>
          <w:sz w:val="16"/>
          <w:szCs w:val="16"/>
        </w:rPr>
        <w:t>APOE</w:t>
      </w:r>
      <w:r w:rsidRPr="00070073">
        <w:rPr>
          <w:sz w:val="16"/>
          <w:szCs w:val="16"/>
        </w:rPr>
        <w:t>.  B) Spearman correlations for variants only within the MS GRS, ordered by increasing rho (left to right), where significance of the correlation is indicated by point size. C) Correlations of MS variant effects on aggregate brain-wide microglial density (y-axis) vs. MS variant effects on module expression of five immune modules, on a scale of significance (-log</w:t>
      </w:r>
      <w:r w:rsidRPr="00070073">
        <w:rPr>
          <w:sz w:val="16"/>
          <w:szCs w:val="16"/>
          <w:vertAlign w:val="subscript"/>
        </w:rPr>
        <w:t>10</w:t>
      </w:r>
      <w:r w:rsidRPr="00070073">
        <w:rPr>
          <w:sz w:val="16"/>
          <w:szCs w:val="16"/>
        </w:rPr>
        <w:t xml:space="preserve">(P)) weighted by correlation coefficient sign. Note that the lines of best fit shown do not represent the rank order statistical test performed and are intended to show direction of effect only. P-values are two-sided and describe the significance of Spearman’s </w:t>
      </w:r>
      <w:r w:rsidRPr="00070073">
        <w:rPr>
          <w:rFonts w:cs="Times New Roman"/>
          <w:sz w:val="16"/>
          <w:szCs w:val="16"/>
        </w:rPr>
        <w:t>ρ</w:t>
      </w:r>
      <w:r w:rsidRPr="00070073">
        <w:rPr>
          <w:sz w:val="16"/>
          <w:szCs w:val="16"/>
        </w:rPr>
        <w:t xml:space="preserve"> for each correlation.</w:t>
      </w:r>
    </w:p>
    <w:p w:rsidR="00070073" w:rsidRPr="00070073" w:rsidRDefault="00070073" w:rsidP="00070073"/>
    <w:sectPr w:rsidR="00070073" w:rsidRPr="00070073" w:rsidSect="00BD29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F5E" w:rsidRDefault="00662F5E" w:rsidP="003E7E9E">
      <w:pPr>
        <w:spacing w:after="0" w:line="240" w:lineRule="auto"/>
      </w:pPr>
      <w:r>
        <w:separator/>
      </w:r>
    </w:p>
  </w:endnote>
  <w:endnote w:type="continuationSeparator" w:id="0">
    <w:p w:rsidR="00662F5E" w:rsidRDefault="00662F5E" w:rsidP="003E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318097"/>
      <w:docPartObj>
        <w:docPartGallery w:val="Page Numbers (Bottom of Page)"/>
        <w:docPartUnique/>
      </w:docPartObj>
    </w:sdtPr>
    <w:sdtEndPr>
      <w:rPr>
        <w:noProof/>
      </w:rPr>
    </w:sdtEndPr>
    <w:sdtContent>
      <w:p w:rsidR="003E7E9E" w:rsidRDefault="003E7E9E">
        <w:pPr>
          <w:pStyle w:val="Footer"/>
          <w:jc w:val="right"/>
        </w:pPr>
        <w:r>
          <w:fldChar w:fldCharType="begin"/>
        </w:r>
        <w:r>
          <w:instrText xml:space="preserve"> PAGE   \* MERGEFORMAT </w:instrText>
        </w:r>
        <w:r>
          <w:fldChar w:fldCharType="separate"/>
        </w:r>
        <w:r w:rsidR="00096505">
          <w:rPr>
            <w:noProof/>
          </w:rPr>
          <w:t>13</w:t>
        </w:r>
        <w:r>
          <w:rPr>
            <w:noProof/>
          </w:rPr>
          <w:fldChar w:fldCharType="end"/>
        </w:r>
      </w:p>
    </w:sdtContent>
  </w:sdt>
  <w:p w:rsidR="003E7E9E" w:rsidRDefault="003E7E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F5E" w:rsidRDefault="00662F5E" w:rsidP="003E7E9E">
      <w:pPr>
        <w:spacing w:after="0" w:line="240" w:lineRule="auto"/>
      </w:pPr>
      <w:r>
        <w:separator/>
      </w:r>
    </w:p>
  </w:footnote>
  <w:footnote w:type="continuationSeparator" w:id="0">
    <w:p w:rsidR="00662F5E" w:rsidRDefault="00662F5E" w:rsidP="003E7E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BD"/>
    <w:rsid w:val="0004203C"/>
    <w:rsid w:val="00070073"/>
    <w:rsid w:val="00071FCB"/>
    <w:rsid w:val="000950E1"/>
    <w:rsid w:val="00096505"/>
    <w:rsid w:val="000A3B85"/>
    <w:rsid w:val="000C01C2"/>
    <w:rsid w:val="000D55D4"/>
    <w:rsid w:val="00136FD5"/>
    <w:rsid w:val="00140CD0"/>
    <w:rsid w:val="00143F5D"/>
    <w:rsid w:val="00196579"/>
    <w:rsid w:val="001A53EA"/>
    <w:rsid w:val="001C0ABF"/>
    <w:rsid w:val="001C3F4F"/>
    <w:rsid w:val="001C5459"/>
    <w:rsid w:val="001F5414"/>
    <w:rsid w:val="00215762"/>
    <w:rsid w:val="0022294D"/>
    <w:rsid w:val="00245E45"/>
    <w:rsid w:val="00257378"/>
    <w:rsid w:val="002911C6"/>
    <w:rsid w:val="002941C9"/>
    <w:rsid w:val="002B1816"/>
    <w:rsid w:val="002C47E4"/>
    <w:rsid w:val="002C7E2E"/>
    <w:rsid w:val="002F1A89"/>
    <w:rsid w:val="00313DBD"/>
    <w:rsid w:val="0031498C"/>
    <w:rsid w:val="00373A2B"/>
    <w:rsid w:val="00396E4A"/>
    <w:rsid w:val="00397013"/>
    <w:rsid w:val="003A7C0F"/>
    <w:rsid w:val="003D244A"/>
    <w:rsid w:val="003E7E9E"/>
    <w:rsid w:val="00400781"/>
    <w:rsid w:val="00404D3A"/>
    <w:rsid w:val="004051A7"/>
    <w:rsid w:val="004112C5"/>
    <w:rsid w:val="00413A08"/>
    <w:rsid w:val="004157C3"/>
    <w:rsid w:val="00430E7F"/>
    <w:rsid w:val="00444103"/>
    <w:rsid w:val="004525A8"/>
    <w:rsid w:val="00485198"/>
    <w:rsid w:val="004A0C93"/>
    <w:rsid w:val="004B0428"/>
    <w:rsid w:val="004B7D7F"/>
    <w:rsid w:val="004D13B1"/>
    <w:rsid w:val="004D4D99"/>
    <w:rsid w:val="004E6BB1"/>
    <w:rsid w:val="004F7006"/>
    <w:rsid w:val="004F75B4"/>
    <w:rsid w:val="005050AC"/>
    <w:rsid w:val="00561EBF"/>
    <w:rsid w:val="005A13D7"/>
    <w:rsid w:val="005A5AF2"/>
    <w:rsid w:val="005C2B67"/>
    <w:rsid w:val="00653B71"/>
    <w:rsid w:val="00662F5E"/>
    <w:rsid w:val="006951CE"/>
    <w:rsid w:val="006A52BB"/>
    <w:rsid w:val="006A55BD"/>
    <w:rsid w:val="006E6613"/>
    <w:rsid w:val="00735010"/>
    <w:rsid w:val="007472F1"/>
    <w:rsid w:val="007571FD"/>
    <w:rsid w:val="00764B03"/>
    <w:rsid w:val="00776FF6"/>
    <w:rsid w:val="007E0E5A"/>
    <w:rsid w:val="008154A6"/>
    <w:rsid w:val="00823E08"/>
    <w:rsid w:val="00837784"/>
    <w:rsid w:val="00884FF4"/>
    <w:rsid w:val="008861B1"/>
    <w:rsid w:val="00893908"/>
    <w:rsid w:val="00895C7F"/>
    <w:rsid w:val="008E5889"/>
    <w:rsid w:val="0091282E"/>
    <w:rsid w:val="0093167F"/>
    <w:rsid w:val="009820A0"/>
    <w:rsid w:val="00A11EF8"/>
    <w:rsid w:val="00A1383A"/>
    <w:rsid w:val="00A64A70"/>
    <w:rsid w:val="00A76DD0"/>
    <w:rsid w:val="00AA5946"/>
    <w:rsid w:val="00AC0E3C"/>
    <w:rsid w:val="00AC5C9E"/>
    <w:rsid w:val="00AE0975"/>
    <w:rsid w:val="00AE0D25"/>
    <w:rsid w:val="00B00E76"/>
    <w:rsid w:val="00B11ABF"/>
    <w:rsid w:val="00B24F21"/>
    <w:rsid w:val="00B40AA1"/>
    <w:rsid w:val="00BB0382"/>
    <w:rsid w:val="00BC21D7"/>
    <w:rsid w:val="00BC4E8F"/>
    <w:rsid w:val="00BD2060"/>
    <w:rsid w:val="00BD293D"/>
    <w:rsid w:val="00BE0433"/>
    <w:rsid w:val="00BE3BEC"/>
    <w:rsid w:val="00BF25AE"/>
    <w:rsid w:val="00BF554F"/>
    <w:rsid w:val="00C01979"/>
    <w:rsid w:val="00C07AF5"/>
    <w:rsid w:val="00C23030"/>
    <w:rsid w:val="00C42D46"/>
    <w:rsid w:val="00C54310"/>
    <w:rsid w:val="00C90C53"/>
    <w:rsid w:val="00CB1070"/>
    <w:rsid w:val="00CE7B70"/>
    <w:rsid w:val="00D11529"/>
    <w:rsid w:val="00D129FA"/>
    <w:rsid w:val="00D3337C"/>
    <w:rsid w:val="00D35913"/>
    <w:rsid w:val="00D5645A"/>
    <w:rsid w:val="00D86BC8"/>
    <w:rsid w:val="00D9431E"/>
    <w:rsid w:val="00DA29FE"/>
    <w:rsid w:val="00DC018D"/>
    <w:rsid w:val="00DC7BE2"/>
    <w:rsid w:val="00DD3783"/>
    <w:rsid w:val="00E02F81"/>
    <w:rsid w:val="00E0330E"/>
    <w:rsid w:val="00E33649"/>
    <w:rsid w:val="00E64DF5"/>
    <w:rsid w:val="00E7016C"/>
    <w:rsid w:val="00EB6D27"/>
    <w:rsid w:val="00EC3D6A"/>
    <w:rsid w:val="00ED2D59"/>
    <w:rsid w:val="00F22762"/>
    <w:rsid w:val="00F362C5"/>
    <w:rsid w:val="00F6184D"/>
    <w:rsid w:val="00F7419E"/>
    <w:rsid w:val="00FE3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38559"/>
  <w15:chartTrackingRefBased/>
  <w15:docId w15:val="{DB0C0832-0AB0-4D4A-987B-511F54FC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49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49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9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1498C"/>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3149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498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E7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E9E"/>
  </w:style>
  <w:style w:type="paragraph" w:styleId="Footer">
    <w:name w:val="footer"/>
    <w:basedOn w:val="Normal"/>
    <w:link w:val="FooterChar"/>
    <w:uiPriority w:val="99"/>
    <w:unhideWhenUsed/>
    <w:rsid w:val="003E7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E9E"/>
  </w:style>
  <w:style w:type="paragraph" w:styleId="Caption">
    <w:name w:val="caption"/>
    <w:basedOn w:val="Normal"/>
    <w:next w:val="Normal"/>
    <w:uiPriority w:val="35"/>
    <w:unhideWhenUsed/>
    <w:qFormat/>
    <w:rsid w:val="00BD293D"/>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884FF4"/>
    <w:pPr>
      <w:spacing w:after="240" w:line="240" w:lineRule="auto"/>
    </w:pPr>
  </w:style>
  <w:style w:type="paragraph" w:styleId="NoSpacing">
    <w:name w:val="No Spacing"/>
    <w:uiPriority w:val="1"/>
    <w:qFormat/>
    <w:rsid w:val="008E5889"/>
    <w:pPr>
      <w:spacing w:after="0" w:line="240" w:lineRule="auto"/>
    </w:pPr>
  </w:style>
  <w:style w:type="character" w:styleId="Hyperlink">
    <w:name w:val="Hyperlink"/>
    <w:basedOn w:val="DefaultParagraphFont"/>
    <w:uiPriority w:val="99"/>
    <w:unhideWhenUsed/>
    <w:rsid w:val="008E5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5651</Words>
  <Characters>32214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dfelsky</dc:creator>
  <cp:keywords/>
  <dc:description/>
  <cp:lastModifiedBy>Felsky, Daniel</cp:lastModifiedBy>
  <cp:revision>4</cp:revision>
  <dcterms:created xsi:type="dcterms:W3CDTF">2018-07-02T21:19:00Z</dcterms:created>
  <dcterms:modified xsi:type="dcterms:W3CDTF">2018-07-11T21:41:00Z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id="Rm0cNltm"/&gt;&lt;style id="http://www.zotero.org/styles/molecular-neurodegeneration" hasBibliography="1" bibliographyStyleHasBeenSet="1"/&gt;&lt;prefs&gt;&lt;pref name="fieldType" value="Field"/&gt;&lt;pref name="st</vt:lpwstr>
  </property>
  <property fmtid="{D5CDD505-2E9C-101B-9397-08002B2CF9AE}" pid="3" name="ZOTERO_PREF_2">
    <vt:lpwstr>oreReferences" value="true"/&gt;&lt;pref name="automaticJournalAbbreviations" value="true"/&gt;&lt;pref name="noteType" value=""/&gt;&lt;/prefs&gt;&lt;/data&gt;</vt:lpwstr>
  </property>
</Properties>
</file>