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80" w:rsidRDefault="006A6480" w:rsidP="006A6480">
      <w:pPr>
        <w:spacing w:after="0" w:line="480" w:lineRule="auto"/>
        <w:rPr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Additional </w:t>
      </w:r>
      <w:r>
        <w:rPr>
          <w:b/>
          <w:lang w:val="en-US"/>
        </w:rPr>
        <w:t>File 2:</w:t>
      </w:r>
      <w:r>
        <w:rPr>
          <w:lang w:val="en-US"/>
        </w:rPr>
        <w:t xml:space="preserve"> List of excluded studies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>
        <w:t xml:space="preserve">1. NCT01862874: Efficacy and tolerability study of V501 in Japanese males (V501-122). Secondary NCT01862874: Efficacy and tolerability study of V501 in Japanese males (V501-122). </w:t>
      </w:r>
      <w:hyperlink r:id="rId7" w:history="1">
        <w:r>
          <w:rPr>
            <w:rStyle w:val="Hyperlink"/>
          </w:rPr>
          <w:t>www.clinicaltrials.gov</w:t>
        </w:r>
      </w:hyperlink>
      <w:r>
        <w:t>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 xml:space="preserve">2. NCT02003508: Prevalence of genital HPV infection in males following introduction of universal male HPV vaccination (Impress). Secondary NCT02003508: Prevalence of genital HPV infection in males following introduction of universal male HPV vaccination (Impress). </w:t>
      </w:r>
      <w:hyperlink r:id="rId8" w:history="1">
        <w:r>
          <w:rPr>
            <w:rStyle w:val="Hyperlink"/>
          </w:rPr>
          <w:t>www.clinicaltrials.gov</w:t>
        </w:r>
      </w:hyperlink>
      <w:r>
        <w:t>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3. Reisinger KS, Block SL, Lazcano-Ponce E, et al. Safety and persistent immunogenicity of a quadrivalent human papillomavirus types 6, 11, 16, 18 L1 virus-like particle vaccine in preadolescents and adolescents: a randomized controlled trial. The Pediatric infectious disease journal 2007;</w:t>
      </w:r>
      <w:r>
        <w:rPr>
          <w:b/>
        </w:rPr>
        <w:t>26</w:t>
      </w:r>
      <w:r>
        <w:t>(3):201-9.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4. Centers for Disease C, Prevention. Syncope after vaccination--United States, January 2005-July 2007. MMWR Morbidity and mortality weekly report 2008;</w:t>
      </w:r>
      <w:r>
        <w:rPr>
          <w:b/>
        </w:rPr>
        <w:t>57</w:t>
      </w:r>
      <w:r>
        <w:t>(17):457-60.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5. Hillman RJ, Hillman RJ. The effficacy of quadrivalent HPV (types 6/11/16/18) vaccine against HPV-related genital disease and infection in HIV negative young men. Sexual Health 2009;</w:t>
      </w:r>
      <w:r>
        <w:rPr>
          <w:b/>
        </w:rPr>
        <w:t>6</w:t>
      </w:r>
      <w:r>
        <w:t>(4):357.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6. Block SL, Brown DR, Chatterjee A, et al. Clinical trial and post-licensure safety profile of a prophylactic human papillomavirus (types 6, 11, 16, and 18) l1 virus-like particle vaccine. The Pediatric infectious disease journal 2010;</w:t>
      </w:r>
      <w:r>
        <w:rPr>
          <w:b/>
        </w:rPr>
        <w:t>29</w:t>
      </w:r>
      <w:r>
        <w:t>(2):95-101.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7. Elbasha EH, Dasbach EJ. Impact of vaccinating boys and men against HPV in the United States, 2010:6858-67.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8. Levin MJ, Moscicki AB, Song LY, et al. Safety and immunogenicity of a quadrivalent human papillomavirus (types 6, 11, 16, and 18) vaccine in HIV-infected children 7 to 12 years old. Journal of acquired immune deficiency syndromes (1999) 2010;</w:t>
      </w:r>
      <w:r>
        <w:rPr>
          <w:b/>
        </w:rPr>
        <w:t>55</w:t>
      </w:r>
      <w:r>
        <w:t>(2):197-204.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9. Yancey AM, Pitlick JM, Forinash AB, et al. The prophylactic role for the human papillomavirus quadrivalent vaccine in males. The Annals of pharmacotherapy 2010;</w:t>
      </w:r>
      <w:r>
        <w:rPr>
          <w:b/>
        </w:rPr>
        <w:t>44</w:t>
      </w:r>
      <w:r>
        <w:t>(7-8):1314-8.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10. Erratum: Efficacy of quadrivalent HPV vaccine against HPV infection and disease in males (New England Journal of Medicine (2011) 364 (401-411)). New England Journal of Medicine 2011;</w:t>
      </w:r>
      <w:r>
        <w:rPr>
          <w:b/>
        </w:rPr>
        <w:t>364</w:t>
      </w:r>
      <w:r>
        <w:t>(15):1481.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11. Dietz CA, Nyberg CR, Dietz CA, et al. Genital, oral, and anal human papillomavirus infection in men who have sex with men. The Journal of the American Osteopathic Association 2011;</w:t>
      </w:r>
      <w:r>
        <w:rPr>
          <w:b/>
        </w:rPr>
        <w:t>111</w:t>
      </w:r>
      <w:r>
        <w:t>(3 Suppl 2):19-25.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12. Garnock-Jones KP, Giuliano AR. Quadrivalent Human Papillomavirus (HPV) types 6, 11, 16, 18 vaccine: For the prevention of genital warts in males. Drugs 2011;</w:t>
      </w:r>
      <w:r>
        <w:rPr>
          <w:b/>
        </w:rPr>
        <w:t>71</w:t>
      </w:r>
      <w:r>
        <w:t>(5):591-602.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13. Goldstone S, Goldstone S. Efficacy of the quadrivalent hpv vaccine to prevent anal intraepithelial neoplasia among young men who have sex with men. Sexually Transmitted Infections 2011;</w:t>
      </w:r>
      <w:r>
        <w:rPr>
          <w:b/>
        </w:rPr>
        <w:t>87</w:t>
      </w:r>
      <w:r>
        <w:t>:352.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14. Haupt RM, Sings HL, Haupt RM, et al. The efficacy and safety of the quadrivalent human papillomavirus 6/11/16/18 vaccine gardasil. The Journal of adolescent health : official publication of the Society for Adolescent Medicine 2011;</w:t>
      </w:r>
      <w:r>
        <w:rPr>
          <w:b/>
        </w:rPr>
        <w:t>49</w:t>
      </w:r>
      <w:r>
        <w:t>(5):467-75.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15. Khalid JM, Amelio JM, Carroll SM, et al. The broader burden of HPV-related disease in England: A preliminary analysis. Value in Health 2011;</w:t>
      </w:r>
      <w:r>
        <w:rPr>
          <w:b/>
        </w:rPr>
        <w:t>14</w:t>
      </w:r>
      <w:r>
        <w:t>(7):437.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16. Lepage AK, McIntyre RC, Kennedy SE, et al. Safety and reactogenicity of the human papilloma virus vaccine in kidney transplant patients. Immunology and Cell Biology 2011;</w:t>
      </w:r>
      <w:r>
        <w:rPr>
          <w:b/>
        </w:rPr>
        <w:t>89</w:t>
      </w:r>
      <w:r>
        <w:t>(7):22.</w:t>
      </w:r>
    </w:p>
    <w:p w:rsidR="006A6480" w:rsidRDefault="006A6480" w:rsidP="006A6480">
      <w:pPr>
        <w:pStyle w:val="EndNoteBibliography"/>
        <w:ind w:left="720" w:hanging="720"/>
      </w:pPr>
      <w:r>
        <w:t>17. Lescaille G, Descroix V, Azérad J, et al. Papillomavirus et cancers des VADS</w:t>
      </w:r>
    </w:p>
    <w:p w:rsidR="006A6480" w:rsidRDefault="006A6480" w:rsidP="006A6480">
      <w:pPr>
        <w:pStyle w:val="EndNoteBibliography"/>
        <w:spacing w:after="0"/>
        <w:ind w:left="720" w:hanging="720"/>
        <w:rPr>
          <w:lang w:val="de-DE"/>
        </w:rPr>
      </w:pPr>
      <w:r>
        <w:t xml:space="preserve">[Papillomavirus and head and neck cancer]. </w:t>
      </w:r>
      <w:r>
        <w:rPr>
          <w:lang w:val="de-DE"/>
        </w:rPr>
        <w:t>Revue de stomatologie et de chirurgie maxillo-faciale 2011;</w:t>
      </w:r>
      <w:r>
        <w:rPr>
          <w:b/>
          <w:lang w:val="de-DE"/>
        </w:rPr>
        <w:t>112</w:t>
      </w:r>
      <w:r>
        <w:rPr>
          <w:lang w:val="de-DE"/>
        </w:rPr>
        <w:t>(3):160-3.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18. Moreira ED, Palefsky JM, Giuliano AR, et al. Safety and reactogenicity of a quadrivalent human papillomavirus (types 6, 11, 16, 18) L1 viral-like-particle vaccine in older adolescents and young adults. Human vaccines 2011;</w:t>
      </w:r>
      <w:r>
        <w:rPr>
          <w:b/>
        </w:rPr>
        <w:t>7</w:t>
      </w:r>
      <w:r>
        <w:t>(7):768-75.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lastRenderedPageBreak/>
        <w:t>19. Pomfret TC, Gagnon Jm Jr, Gilchrist AT, et al. Quadrivalent human papillomavirus (HPV) vaccine: a review of safety, efficacy, and pharmacoeconomics. Journal of clinical pharmacy and therapeutics 2011;</w:t>
      </w:r>
      <w:r>
        <w:rPr>
          <w:b/>
        </w:rPr>
        <w:t>36</w:t>
      </w:r>
      <w:r>
        <w:t>(1):1-9.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20. Bauer HM, Wright G, Chow J, et al. Evidence of human papillomavirus vaccine effectiveness in reducing genital warts: an analysis of California public family planning administrative claims data, 2007-2010. American journal of public health 2012;</w:t>
      </w:r>
      <w:r>
        <w:rPr>
          <w:b/>
        </w:rPr>
        <w:t>102</w:t>
      </w:r>
      <w:r>
        <w:t>(5):833-5.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21. Blomberg M, Friis S, Munk C, et al. Genital warts and risk of cancer: a Danish study of nearly 50 000 patients with genital warts. The Journal of infectious diseases 2012;</w:t>
      </w:r>
      <w:r>
        <w:rPr>
          <w:b/>
        </w:rPr>
        <w:t>205</w:t>
      </w:r>
      <w:r>
        <w:t>(10):1544-53.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22. Chaux A, Cubilla AL, Chaux A, et al. The role of human papillomavirus infection in the pathogenesis of penile squamous cell carcinomas. Seminars in diagnostic pathology 2012;</w:t>
      </w:r>
      <w:r>
        <w:rPr>
          <w:b/>
        </w:rPr>
        <w:t>29</w:t>
      </w:r>
      <w:r>
        <w:t>(2):67-71.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23. Goldstone SE, Vuocolo S, Goldstone SE, et al. A prophylactic quadrivalent vaccine for the prevention of infection and disease related to HPV-6, -11, -16 and -18. Expert review of vaccines 2012;</w:t>
      </w:r>
      <w:r>
        <w:rPr>
          <w:b/>
        </w:rPr>
        <w:t>11</w:t>
      </w:r>
      <w:r>
        <w:t>(4):395-406.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24. Hillman RJ, Giuliano AR, Palefsky JM, et al. Immunogenicity of the quadrivalent human papillomavirus (type 6/11/16/18) vaccine in males 16 to 26 years old. Clinical and vaccine immunology : CVI 2012;</w:t>
      </w:r>
      <w:r>
        <w:rPr>
          <w:b/>
        </w:rPr>
        <w:t>19</w:t>
      </w:r>
      <w:r>
        <w:t>(2):261-7.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25. Li R, Li Y, Radley D, et al. Safety and immunogenicity of a vaccine targeting human papillomavirus types 6, 11, 16 and 18: a randomized, double-blind, placebo-controlled trial in Chinese males and females. Vaccine 2012;</w:t>
      </w:r>
      <w:r>
        <w:rPr>
          <w:b/>
        </w:rPr>
        <w:t>30</w:t>
      </w:r>
      <w:r>
        <w:t>(28):4284-91.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26. Read TR, Hocking JS, Vodstrcil LA, et al. Oral human papillomavirus in men having sex with men: risk-factors and sampling. PloS one 2012;</w:t>
      </w:r>
      <w:r>
        <w:rPr>
          <w:b/>
        </w:rPr>
        <w:t>7</w:t>
      </w:r>
      <w:r>
        <w:t>(11):49324.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27. Sanders AE, Slade GD, Patton LL, et al. National prevalence of oral HPV infection and related risk factors in the U.S. adult population. Oral diseases 2012;</w:t>
      </w:r>
      <w:r>
        <w:rPr>
          <w:b/>
        </w:rPr>
        <w:t>18</w:t>
      </w:r>
      <w:r>
        <w:t>(5):430-41.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28. Sethi S, Ali-Fehmi R, Franceschi S, et al. Characteristics and survival of head and neck cancer by HPV status: a cancer registry-based study. International journal of cancer 2012;</w:t>
      </w:r>
      <w:r>
        <w:rPr>
          <w:b/>
        </w:rPr>
        <w:t>131</w:t>
      </w:r>
      <w:r>
        <w:t>(5):1179-86.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29. Willett CG, Willett CG. Palefsky J, Giuliano A, Gladstone S, et al. HPV vaccine against anal HPV infection and anal intraepithelial neoplasia. New Eng J Med 2011; 365:1576-85. International Journal of Radiation Oncology Biology Physics 2012;</w:t>
      </w:r>
      <w:r>
        <w:rPr>
          <w:b/>
        </w:rPr>
        <w:t>82</w:t>
      </w:r>
      <w:r>
        <w:t>(4):1301.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rPr>
          <w:lang w:val="de-DE"/>
        </w:rPr>
        <w:t xml:space="preserve">30. Bosnjak Z, Peric M, Krizan IR, et al. </w:t>
      </w:r>
      <w:r>
        <w:t>Prevalence and genotype distribution of high-risk human papillomavirus (HR HPV) in male genital samples of Osijek-Baranja County. Collegium antropologicum 2013;</w:t>
      </w:r>
      <w:r>
        <w:rPr>
          <w:b/>
        </w:rPr>
        <w:t>37</w:t>
      </w:r>
      <w:r>
        <w:t>(4):1203-8.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31. Goldstone SE, Jessen H, Palefsky JM, et al. Quadrivalent HPV vaccine efficacy against disease related to vaccine and non-vaccine HPV types in males. Vaccine 2013;</w:t>
      </w:r>
      <w:r>
        <w:rPr>
          <w:b/>
        </w:rPr>
        <w:t>31</w:t>
      </w:r>
      <w:r>
        <w:t>(37):3849-55.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32. Kumar D, Unger ER, Panicker G, et al. Immunogenicity of quadrivalent human papillomavirus vaccine in organ transplant recipients. American journal of transplantation : official journal of the American Society of Transplantation and the American Society of Transplant Surgeons 2013;</w:t>
      </w:r>
      <w:r>
        <w:rPr>
          <w:b/>
        </w:rPr>
        <w:t>13</w:t>
      </w:r>
      <w:r>
        <w:t>(9):2411-7.</w:t>
      </w:r>
    </w:p>
    <w:p w:rsidR="006A6480" w:rsidRDefault="006A6480" w:rsidP="006A6480">
      <w:pPr>
        <w:pStyle w:val="EndNoteBibliography"/>
        <w:spacing w:after="0"/>
        <w:ind w:left="720" w:hanging="720"/>
        <w:rPr>
          <w:lang w:val="de-DE"/>
        </w:rPr>
      </w:pPr>
      <w:r>
        <w:rPr>
          <w:lang w:val="de-DE"/>
        </w:rPr>
        <w:t>33. Larsen HK, Kofoed K, Sand C, et al. Den HPV-relaterede sygdomsbyrde hos mænd er stor og kan forebygges. Ugeskrift for Laeger 2013;</w:t>
      </w:r>
      <w:r>
        <w:rPr>
          <w:b/>
          <w:lang w:val="de-DE"/>
        </w:rPr>
        <w:t>175</w:t>
      </w:r>
      <w:r>
        <w:rPr>
          <w:lang w:val="de-DE"/>
        </w:rPr>
        <w:t>(6):349-53.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rPr>
          <w:lang w:val="de-DE"/>
        </w:rPr>
        <w:t xml:space="preserve">34. Larsen HK, Larsen HK. HPV-infektion og anal dysplasi hos mænd, der har sex med mænd, er hyppig og bør forebygges. </w:t>
      </w:r>
      <w:r>
        <w:t>Ugeskrift for Laeger 2013;</w:t>
      </w:r>
      <w:r>
        <w:rPr>
          <w:b/>
        </w:rPr>
        <w:t>175</w:t>
      </w:r>
      <w:r>
        <w:t>(6):345-49.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35. Lawton MD, Nathan M, Asboe D, et al. HPV vaccination to prevent anal cancer in men who have sex with men. England, 2013:342-3.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36. Macartney KK, Chiu C, Georgousakis M, et al. Safety of human papillomavirus vaccines: a review. Drug safety 2013;</w:t>
      </w:r>
      <w:r>
        <w:rPr>
          <w:b/>
        </w:rPr>
        <w:t>36</w:t>
      </w:r>
      <w:r>
        <w:t>(6):393-412.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37. Nordfors C, Grün N, Haeggblom L, et al. Oral human papillomavirus prevalence in high school students of one municipality in Sweden. Scandinavian journal of infectious diseases 2013;</w:t>
      </w:r>
      <w:r>
        <w:rPr>
          <w:b/>
        </w:rPr>
        <w:t>45</w:t>
      </w:r>
      <w:r>
        <w:t>(11):878-81.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lastRenderedPageBreak/>
        <w:t>38. Nsouli-Maktabi H, Ludwig SL, Yerubandi UD, et al. Incidence of genital warts among U.S. service members before and after the introduction of the quadrivalent human papillomavirus vaccine. MSMR 2013;</w:t>
      </w:r>
      <w:r>
        <w:rPr>
          <w:b/>
        </w:rPr>
        <w:t>20</w:t>
      </w:r>
      <w:r>
        <w:t>(2):17-20.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39. Staltari O, Cilurzo F, Caroleo B, et al. Annual report on adverse events related with vaccines use in Calabria (Italy): 2012. Journal of Pharmacology and Pharmacotherapeutics 2013;</w:t>
      </w:r>
      <w:r>
        <w:rPr>
          <w:b/>
        </w:rPr>
        <w:t>4</w:t>
      </w:r>
      <w:r>
        <w:t>(suppl.1):61-65.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40. Swedish K, Goldstone SE. Prevention of anal condyloma with quadrivalent human papillomavirus vaccination of older men who have sex with men: A nonconcurrent cohort study. Journal of general internal medicine 2013;</w:t>
      </w:r>
      <w:r>
        <w:rPr>
          <w:b/>
        </w:rPr>
        <w:t>28</w:t>
      </w:r>
      <w:r>
        <w:t>:155.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41. Blitshteyn S, Blitshteyn S. Postural tachycardia syndrome following human papillomavirus vaccination. European Journal of Neurology 2014;</w:t>
      </w:r>
      <w:r>
        <w:rPr>
          <w:b/>
        </w:rPr>
        <w:t>21</w:t>
      </w:r>
      <w:r>
        <w:t>(1):135-39.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42. Cockerill CC, Orvidas LJ, Moore EJ, et al. Human papillomavirus infection in benign tonsil swabs and tonsillectomy specimens. Otolaryngology - Head and Neck Surgery (United States) 2014;</w:t>
      </w:r>
      <w:r>
        <w:rPr>
          <w:b/>
        </w:rPr>
        <w:t>151</w:t>
      </w:r>
      <w:r>
        <w:t>(1):41-42.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43. Cranston R, Yang M, Paczuski P, et al. Baseline Data of a Phase 3 Trial of the Quadrivalent HPV Vaccine in HIV+ Males and Females: ACTG 5298. Topics in antiviral medicine 2014;</w:t>
      </w:r>
      <w:r>
        <w:rPr>
          <w:b/>
        </w:rPr>
        <w:t>22</w:t>
      </w:r>
      <w:r>
        <w:t>(e-1):364.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44. Ferris D, Samakoses R, Block SL, et al. Long-term study of a quadrivalent human papillomavirus vaccine. Pediatrics 2014;</w:t>
      </w:r>
      <w:r>
        <w:rPr>
          <w:b/>
        </w:rPr>
        <w:t>134</w:t>
      </w:r>
      <w:r>
        <w:t>(3):657-65.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45. Giacomet V, Penagini F, Trabattoni D, et al. Safety and immunogenicity of a quadrivalent human papillomavirus vaccine in HIV-infected and HIV-negative adolescents and young adults. Vaccine 2014;</w:t>
      </w:r>
      <w:r>
        <w:rPr>
          <w:b/>
        </w:rPr>
        <w:t>32</w:t>
      </w:r>
      <w:r>
        <w:t>(43):5657-61.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46. Gomez-Lobo V, Whyte T, Kaufman S, et al. Immunogenicity of a prophylactic quadrivalent human papillomavirus L1 virus-like particle vaccine in male and female adolescent transplant recipients. Pediatric transplantation 2014;</w:t>
      </w:r>
      <w:r>
        <w:rPr>
          <w:b/>
        </w:rPr>
        <w:t>18</w:t>
      </w:r>
      <w:r>
        <w:t>(3):310-5.</w:t>
      </w:r>
    </w:p>
    <w:p w:rsidR="006A6480" w:rsidRPr="006A6480" w:rsidRDefault="006A6480" w:rsidP="006A6480">
      <w:pPr>
        <w:pStyle w:val="EndNoteBibliography"/>
        <w:spacing w:after="0"/>
        <w:ind w:left="720" w:hanging="720"/>
      </w:pPr>
      <w:r>
        <w:t xml:space="preserve">47. Langer-Gould A, Qian L, Tartof SY, et al. Vaccines and the risk of multiple sclerosis and other central nervous system demyelinating diseases. </w:t>
      </w:r>
      <w:r w:rsidRPr="006A6480">
        <w:t>JAMA neurology 2014;</w:t>
      </w:r>
      <w:r w:rsidRPr="006A6480">
        <w:rPr>
          <w:b/>
        </w:rPr>
        <w:t>71</w:t>
      </w:r>
      <w:r w:rsidRPr="006A6480">
        <w:t>(12):1506-13.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rPr>
          <w:lang w:val="de-DE"/>
        </w:rPr>
        <w:t xml:space="preserve">48. Markowitz LE, Dunne EF, Saraiya M, et al. </w:t>
      </w:r>
      <w:r>
        <w:t>Human papillomavirus vaccination: recommendations of the Advisory Committee on Immunization Practices (ACIP). MMWR Recommendations and reports : Morbidity and mortality weekly report Recommendations and reports / Centers for Disease Control 2014;</w:t>
      </w:r>
      <w:r>
        <w:rPr>
          <w:b/>
        </w:rPr>
        <w:t>63</w:t>
      </w:r>
      <w:r>
        <w:t>(RR-05):1-30.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49. Ojha RP, Jackson BE, Tota JE, et al. Guillain-Barre syndrome following quadrivalent human papillomavirus vaccination among vaccine-eligible individuals in the United States. Human vaccines &amp; immunotherapeutics 2014;</w:t>
      </w:r>
      <w:r>
        <w:rPr>
          <w:b/>
        </w:rPr>
        <w:t>10</w:t>
      </w:r>
      <w:r>
        <w:t>(1):232-7.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50. Ozkan TA, Coskuner E, Karakose A, et al. Impact of the quadrivalent HPV vaccine for men who exposed to HPV infection. Journal of urology 2014;</w:t>
      </w:r>
      <w:r>
        <w:rPr>
          <w:b/>
        </w:rPr>
        <w:t>191</w:t>
      </w:r>
      <w:r>
        <w:t>(4 SUPPL. 1):161.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51. Pellegrino P, Perrone V, Pozzi M, et al. Immunologic Research 2014;</w:t>
      </w:r>
      <w:r>
        <w:rPr>
          <w:b/>
        </w:rPr>
        <w:t>61</w:t>
      </w:r>
      <w:r>
        <w:t>(1-2):90-96.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52. Schurink-van 't Klooster TM, De Ridder MAJ, Kemmeren JM, et al. Determination of a possible association between human papillomavirus (HPV) vaccination and migraine. Pharmacoepidemiology and Drug Safety 2014;</w:t>
      </w:r>
      <w:r>
        <w:rPr>
          <w:b/>
        </w:rPr>
        <w:t>23</w:t>
      </w:r>
      <w:r>
        <w:t>:151.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53. Schurink-Van't Klooster TM, de Ridder MAJ, Kemmeren JM, et al. Examining a possible association between human papilloma virus (HPV) vaccination and migraine: Results of a cohort study in the Netherlands. European Journal of Pediatrics 2014;</w:t>
      </w:r>
      <w:r>
        <w:rPr>
          <w:b/>
        </w:rPr>
        <w:t>174</w:t>
      </w:r>
      <w:r>
        <w:t>(5):641-49.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54. Söderlund-Strand A, Uhnoo I, Dillner J, et al. Change in population prevalences of human papillomavirus after initiation of vaccination: The high-throughput HPV monitoring study. Cancer Epidemiology Biomarkers and Prevention 2014;</w:t>
      </w:r>
      <w:r>
        <w:rPr>
          <w:b/>
        </w:rPr>
        <w:t>23</w:t>
      </w:r>
      <w:r>
        <w:t>(12):2757-64.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55. Wierzbicka M, Józefiak A, Jackowska J, et al. HPV vaccination in head and neck HPV-related pathologies. Otolaryngologia polska = The Polish otolaryngology 2014;</w:t>
      </w:r>
      <w:r>
        <w:rPr>
          <w:b/>
        </w:rPr>
        <w:t>68</w:t>
      </w:r>
      <w:r>
        <w:t>(4):157-73.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56. Ali H, O'Connor CC, Callander D, et al. The impact of HPV vaccination on genital warts in aboriginal australians: Analysis of national data. Sexually Transmitted Infections 2015;</w:t>
      </w:r>
      <w:r>
        <w:rPr>
          <w:b/>
        </w:rPr>
        <w:t>91</w:t>
      </w:r>
      <w:r>
        <w:t>:78.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57. Castellsague X, Giuliano AR, Goldstone S, et al. Immunogenicity and safety of the 9-valent HPV vaccine in men. Vaccine 2015;</w:t>
      </w:r>
      <w:r>
        <w:rPr>
          <w:b/>
        </w:rPr>
        <w:t>33</w:t>
      </w:r>
      <w:r>
        <w:t>(48):6892-901.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lastRenderedPageBreak/>
        <w:t>58. Drolet M, Bénard É, Boily MC, et al. Population-level impact and herd effects following human papillomavirus vaccination programmes: a systematic review and meta-analysis. The Lancet Infectious diseases 2015;</w:t>
      </w:r>
      <w:r>
        <w:rPr>
          <w:b/>
        </w:rPr>
        <w:t>15</w:t>
      </w:r>
      <w:r>
        <w:t>(5):565-80.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59. Giuliano AR, Isaacs-Soriano K, Torres BN, et al. Immunogenicity and safety of Gardasil among mid-adult aged men (27-45 years)--The MAM Study. Vaccine 2015;</w:t>
      </w:r>
      <w:r>
        <w:rPr>
          <w:b/>
        </w:rPr>
        <w:t>33</w:t>
      </w:r>
      <w:r>
        <w:t>(42):5640-6.</w:t>
      </w:r>
    </w:p>
    <w:p w:rsidR="006A6480" w:rsidRDefault="006A6480" w:rsidP="006A6480">
      <w:pPr>
        <w:pStyle w:val="EndNoteBibliography"/>
        <w:spacing w:after="0"/>
        <w:ind w:left="720" w:hanging="720"/>
      </w:pPr>
      <w:r w:rsidRPr="006A6480">
        <w:rPr>
          <w:lang w:val="de-DE"/>
        </w:rPr>
        <w:t xml:space="preserve">60. Kosalaraksa P, Mehlsen J, Vesikari T, et al. </w:t>
      </w:r>
      <w:r>
        <w:t>An Open-Label, Randomized Study of a 9-Valent Human Papillomavirus Vaccine Given Concomitantly with Diphtheria, Tetanus, Pertussis and Poliomyelitis Vaccines to Healthy Adolescents 11-15 Years of Age. Pediatric infectious disease journal 2015;</w:t>
      </w:r>
      <w:r>
        <w:rPr>
          <w:b/>
        </w:rPr>
        <w:t>34</w:t>
      </w:r>
      <w:r>
        <w:t>(6):627-34.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61. Krone B, Grange JM, Krone B, et al. Vaccination, infection, and the risk for multiple sclerosis. United States, 2015:480.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62. Mahajan D, Dey A, Cook J, et al. Surveillance of adverse events following immunisation in Australia annual report, 2013. Communicable diseases intelligence quarterly report 2015;</w:t>
      </w:r>
      <w:r>
        <w:rPr>
          <w:b/>
        </w:rPr>
        <w:t>39</w:t>
      </w:r>
      <w:r>
        <w:t>(3):369-86.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63. Mariani L, Vici P, Suligoi B, et al. Early Direct and Indirect Impact of Quadrivalent HPV (4HPV) Vaccine on Genital Warts: a Systematic Review. Advances in Therapy 2015;</w:t>
      </w:r>
      <w:r>
        <w:rPr>
          <w:b/>
        </w:rPr>
        <w:t>32</w:t>
      </w:r>
      <w:r>
        <w:t>(1):10-30.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64. Perkins RB, Legler A, Hanchate A, et al. Trends in Male and Female Genital Warts Among Adolescents in a Safety-Net Health Care System 2004-2013: Correlation With Introduction of Female and Male Human Papillomavirus Vaccination. Sexually transmitted diseases 2015;</w:t>
      </w:r>
      <w:r>
        <w:rPr>
          <w:b/>
        </w:rPr>
        <w:t>42</w:t>
      </w:r>
      <w:r>
        <w:t>(12):665-8.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65. Ristori G, Mechelli R, Salvetti M, et al. Association between vaccines and neuroinflammation: time, risks, and benefits. JAMA neurology 2015;</w:t>
      </w:r>
      <w:r>
        <w:rPr>
          <w:b/>
        </w:rPr>
        <w:t>72</w:t>
      </w:r>
      <w:r>
        <w:t>(5):605.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66. Schurink-Van't Klooster TM, de Ridder MA, Kemmeren JM, et al. Examining a possible association between human papilloma virus (HPV) vaccination and migraine: results of a cohort study in the Netherlands. European journal of pediatrics 2015;</w:t>
      </w:r>
      <w:r>
        <w:rPr>
          <w:b/>
        </w:rPr>
        <w:t>174</w:t>
      </w:r>
      <w:r>
        <w:t>(5):641-9.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67. Tan P, Wang X, Wei S, et al. Efficacy and safety of prophylactic human papillomavirus vaccination in healthy males: A meta-analysis. Reviews in Medical Microbiology 2015;</w:t>
      </w:r>
      <w:r>
        <w:rPr>
          <w:b/>
        </w:rPr>
        <w:t>26</w:t>
      </w:r>
      <w:r>
        <w:t>(4):143-53.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68. Van Damme P, Olsson SE, Block S, et al. Immunogenicity and Safety of a 9-Valent HPV Vaccine. Pediatrics 2015;</w:t>
      </w:r>
      <w:r>
        <w:rPr>
          <w:b/>
        </w:rPr>
        <w:t>136</w:t>
      </w:r>
      <w:r>
        <w:t>(1):28-39.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69. Vichnin M, Bonanni P, Klein NP, et al. An Overview of Quadrivalent Human Papillomavirus Vaccine Safety: 2006 to 2015. The Pediatric infectious disease journal 2015;</w:t>
      </w:r>
      <w:r>
        <w:rPr>
          <w:b/>
        </w:rPr>
        <w:t>34</w:t>
      </w:r>
      <w:r>
        <w:t>(9):983-91.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70. Chandler EL, Ding L, Widdice L, et al. Epidemiology of anogenital human papillomavirus (HPV) among 13-26 year-old young men after HPV vaccine introduction. Journal of Adolescent Health 2016;</w:t>
      </w:r>
      <w:r>
        <w:rPr>
          <w:b/>
        </w:rPr>
        <w:t>58</w:t>
      </w:r>
      <w:r>
        <w:t>(2):117-18.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71. Clark LR, Luxembourg AT, Clark LR, et al. Clinical trial experience with the 9-valent HPV vaccine by race/ethnicity: A combined analysis from seven phase iii clinical studies. Journal of Adolescent Health 2016;</w:t>
      </w:r>
      <w:r>
        <w:rPr>
          <w:b/>
        </w:rPr>
        <w:t>58</w:t>
      </w:r>
      <w:r>
        <w:t>(2):118.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72. Crawford NW, Hodgson K, Gold M, et al. Adverse Events Following HPV Immunisation in Australia: Establishment of a Clinical Network. Human vaccines &amp; immunotherapeutics 2016:0.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73. Das R, Das R. Effectiveness, immunogenicity, and safety of gardasiltm in pre-adolescents and adolescents-10 years of follow-up. Journal of Adolescent Health 2016;</w:t>
      </w:r>
      <w:r>
        <w:rPr>
          <w:b/>
        </w:rPr>
        <w:t>58</w:t>
      </w:r>
      <w:r>
        <w:t>(2):10.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74. Kahn JA, Rudy BJ, Xu J, et al. Prevalence and risk factors for oral DNA tumor viruses in HIV-infected youth. Journal of medical virology 2016;</w:t>
      </w:r>
      <w:r>
        <w:rPr>
          <w:b/>
        </w:rPr>
        <w:t>88</w:t>
      </w:r>
      <w:r>
        <w:t>(11):1944-52.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75. King EM, Oomeer S, Gilson R, et al. Oral Human Papillomavirus Infection in Men Who Have Sex with Men: A Systematic Review and Meta-Analysis. PloS one 2016;</w:t>
      </w:r>
      <w:r>
        <w:rPr>
          <w:b/>
        </w:rPr>
        <w:t>11</w:t>
      </w:r>
      <w:r>
        <w:t>(7):0157976.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76. Moreira Ed Jr, Block SL, Ferris D, et al. Safety Profile of the 9-Valent HPV Vaccine: A Combined Analysis of 7 Phase III Clinical Trials. Pediatrics 2016;</w:t>
      </w:r>
      <w:r>
        <w:rPr>
          <w:b/>
        </w:rPr>
        <w:t>138</w:t>
      </w:r>
      <w:r>
        <w:t>(2).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t>77. Naleway AL, Crane B, Smith N, et al. Absence of venous thromboembolism risk following quadrivalent human papillomavirus vaccination, Vaccine Safety Datalink, 2008-2011. Vaccine 2016;</w:t>
      </w:r>
      <w:r>
        <w:rPr>
          <w:b/>
        </w:rPr>
        <w:t>34</w:t>
      </w:r>
      <w:r>
        <w:t>(1):167-71.</w:t>
      </w:r>
    </w:p>
    <w:p w:rsidR="006A6480" w:rsidRDefault="006A6480" w:rsidP="006A6480">
      <w:pPr>
        <w:pStyle w:val="EndNoteBibliography"/>
        <w:spacing w:after="0"/>
        <w:ind w:left="720" w:hanging="720"/>
      </w:pPr>
      <w:r>
        <w:lastRenderedPageBreak/>
        <w:t>78. Pinto LA, Kemp TJ, Torres BN, et al. THE QUADRIVALENT HPV VACCINE INDUCES HPV-SPECIFIC ANTIBODIES AT THE ORAL CAVITY: RESULTS FROM THE MID-ADULT MALE VACCINE TRIAL-THE MAM TRIAL. The Journal of infectious diseases 2016.</w:t>
      </w:r>
    </w:p>
    <w:p w:rsidR="00344E11" w:rsidRDefault="006A6480" w:rsidP="006A6480">
      <w:pPr>
        <w:pStyle w:val="EndNoteBibliography"/>
        <w:ind w:left="720" w:hanging="720"/>
      </w:pPr>
      <w:r>
        <w:t>79. Van Damme P, Meijer CJ, Kieninger D, et al. A phase III clinical study to compare the immunogenicity and safety of the 9-valent and quadrivalent HPV vaccines in men. Vaccine 2016;</w:t>
      </w:r>
      <w:r>
        <w:rPr>
          <w:b/>
        </w:rPr>
        <w:t>34</w:t>
      </w:r>
      <w:r>
        <w:t>(35):4205-12.</w:t>
      </w:r>
      <w:r>
        <w:fldChar w:fldCharType="end"/>
      </w:r>
    </w:p>
    <w:sectPr w:rsidR="00344E1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80" w:rsidRDefault="006A6480" w:rsidP="006A6480">
      <w:pPr>
        <w:spacing w:after="0" w:line="240" w:lineRule="auto"/>
      </w:pPr>
      <w:r>
        <w:separator/>
      </w:r>
    </w:p>
  </w:endnote>
  <w:endnote w:type="continuationSeparator" w:id="0">
    <w:p w:rsidR="006A6480" w:rsidRDefault="006A6480" w:rsidP="006A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15159"/>
      <w:docPartObj>
        <w:docPartGallery w:val="Page Numbers (Bottom of Page)"/>
        <w:docPartUnique/>
      </w:docPartObj>
    </w:sdtPr>
    <w:sdtContent>
      <w:p w:rsidR="006A6480" w:rsidRDefault="006A648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A6480" w:rsidRDefault="006A64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80" w:rsidRDefault="006A6480" w:rsidP="006A6480">
      <w:pPr>
        <w:spacing w:after="0" w:line="240" w:lineRule="auto"/>
      </w:pPr>
      <w:r>
        <w:separator/>
      </w:r>
    </w:p>
  </w:footnote>
  <w:footnote w:type="continuationSeparator" w:id="0">
    <w:p w:rsidR="006A6480" w:rsidRDefault="006A6480" w:rsidP="006A6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80"/>
    <w:rsid w:val="00000115"/>
    <w:rsid w:val="00000186"/>
    <w:rsid w:val="00002213"/>
    <w:rsid w:val="00002F24"/>
    <w:rsid w:val="000039A2"/>
    <w:rsid w:val="00004ECF"/>
    <w:rsid w:val="00005F0E"/>
    <w:rsid w:val="0000628E"/>
    <w:rsid w:val="000066C7"/>
    <w:rsid w:val="00006EEF"/>
    <w:rsid w:val="00006F0C"/>
    <w:rsid w:val="00007FDD"/>
    <w:rsid w:val="0001011D"/>
    <w:rsid w:val="00011372"/>
    <w:rsid w:val="0001150C"/>
    <w:rsid w:val="0001216D"/>
    <w:rsid w:val="00013758"/>
    <w:rsid w:val="0001426A"/>
    <w:rsid w:val="00015578"/>
    <w:rsid w:val="0001562E"/>
    <w:rsid w:val="00015F9E"/>
    <w:rsid w:val="000164A6"/>
    <w:rsid w:val="000203EA"/>
    <w:rsid w:val="00020AAB"/>
    <w:rsid w:val="00020CA3"/>
    <w:rsid w:val="00022D02"/>
    <w:rsid w:val="0002404E"/>
    <w:rsid w:val="00024CD3"/>
    <w:rsid w:val="00025E9B"/>
    <w:rsid w:val="00025F41"/>
    <w:rsid w:val="00026616"/>
    <w:rsid w:val="000268FC"/>
    <w:rsid w:val="00027574"/>
    <w:rsid w:val="0002784B"/>
    <w:rsid w:val="00030CFB"/>
    <w:rsid w:val="00032DEF"/>
    <w:rsid w:val="000332D3"/>
    <w:rsid w:val="00034A5D"/>
    <w:rsid w:val="00034F57"/>
    <w:rsid w:val="00035AFE"/>
    <w:rsid w:val="000375DE"/>
    <w:rsid w:val="000377ED"/>
    <w:rsid w:val="00037FD1"/>
    <w:rsid w:val="00037FFC"/>
    <w:rsid w:val="00040EDD"/>
    <w:rsid w:val="000416D0"/>
    <w:rsid w:val="00043A6E"/>
    <w:rsid w:val="000500ED"/>
    <w:rsid w:val="00050117"/>
    <w:rsid w:val="00051E2E"/>
    <w:rsid w:val="00052535"/>
    <w:rsid w:val="00055972"/>
    <w:rsid w:val="00055ABD"/>
    <w:rsid w:val="00055FBB"/>
    <w:rsid w:val="000569FA"/>
    <w:rsid w:val="00056D77"/>
    <w:rsid w:val="00056DA7"/>
    <w:rsid w:val="00060E3D"/>
    <w:rsid w:val="00064B3A"/>
    <w:rsid w:val="00065DA9"/>
    <w:rsid w:val="00070852"/>
    <w:rsid w:val="00070C34"/>
    <w:rsid w:val="00071DED"/>
    <w:rsid w:val="0007431A"/>
    <w:rsid w:val="000746C2"/>
    <w:rsid w:val="000758B8"/>
    <w:rsid w:val="00075B38"/>
    <w:rsid w:val="00075C8B"/>
    <w:rsid w:val="00076485"/>
    <w:rsid w:val="000769C2"/>
    <w:rsid w:val="00080CBB"/>
    <w:rsid w:val="000821F2"/>
    <w:rsid w:val="00082418"/>
    <w:rsid w:val="00083748"/>
    <w:rsid w:val="00083CF2"/>
    <w:rsid w:val="00083D02"/>
    <w:rsid w:val="000842E0"/>
    <w:rsid w:val="0008536F"/>
    <w:rsid w:val="00086A53"/>
    <w:rsid w:val="00087A40"/>
    <w:rsid w:val="0009053F"/>
    <w:rsid w:val="00092233"/>
    <w:rsid w:val="000922FD"/>
    <w:rsid w:val="00092974"/>
    <w:rsid w:val="00093857"/>
    <w:rsid w:val="00093962"/>
    <w:rsid w:val="00094C26"/>
    <w:rsid w:val="0009701F"/>
    <w:rsid w:val="0009783D"/>
    <w:rsid w:val="000A2133"/>
    <w:rsid w:val="000A2216"/>
    <w:rsid w:val="000A27C2"/>
    <w:rsid w:val="000A3565"/>
    <w:rsid w:val="000A3760"/>
    <w:rsid w:val="000A44E9"/>
    <w:rsid w:val="000A4EA4"/>
    <w:rsid w:val="000A6028"/>
    <w:rsid w:val="000A648B"/>
    <w:rsid w:val="000A667D"/>
    <w:rsid w:val="000A764D"/>
    <w:rsid w:val="000A7C84"/>
    <w:rsid w:val="000B18A6"/>
    <w:rsid w:val="000B2861"/>
    <w:rsid w:val="000B41F5"/>
    <w:rsid w:val="000B4648"/>
    <w:rsid w:val="000C2A8F"/>
    <w:rsid w:val="000C4C7B"/>
    <w:rsid w:val="000C53C4"/>
    <w:rsid w:val="000C724A"/>
    <w:rsid w:val="000D207B"/>
    <w:rsid w:val="000D3B6A"/>
    <w:rsid w:val="000D43EE"/>
    <w:rsid w:val="000D5844"/>
    <w:rsid w:val="000D6174"/>
    <w:rsid w:val="000D7FDB"/>
    <w:rsid w:val="000E1B72"/>
    <w:rsid w:val="000E1E15"/>
    <w:rsid w:val="000E3391"/>
    <w:rsid w:val="000E451F"/>
    <w:rsid w:val="000E45AF"/>
    <w:rsid w:val="000E5078"/>
    <w:rsid w:val="000E5523"/>
    <w:rsid w:val="000E5EF2"/>
    <w:rsid w:val="000E66FD"/>
    <w:rsid w:val="000E7B9B"/>
    <w:rsid w:val="000E7BEA"/>
    <w:rsid w:val="000F177B"/>
    <w:rsid w:val="000F1A75"/>
    <w:rsid w:val="000F26B9"/>
    <w:rsid w:val="000F3AE5"/>
    <w:rsid w:val="000F3E60"/>
    <w:rsid w:val="000F4434"/>
    <w:rsid w:val="000F6241"/>
    <w:rsid w:val="000F7AB8"/>
    <w:rsid w:val="00100B00"/>
    <w:rsid w:val="0010188D"/>
    <w:rsid w:val="00101DE3"/>
    <w:rsid w:val="00102A29"/>
    <w:rsid w:val="001031B6"/>
    <w:rsid w:val="00105CC1"/>
    <w:rsid w:val="001062AC"/>
    <w:rsid w:val="00106689"/>
    <w:rsid w:val="0010692D"/>
    <w:rsid w:val="00106942"/>
    <w:rsid w:val="00106EC3"/>
    <w:rsid w:val="0011038F"/>
    <w:rsid w:val="001114C6"/>
    <w:rsid w:val="00113040"/>
    <w:rsid w:val="00113650"/>
    <w:rsid w:val="001148D9"/>
    <w:rsid w:val="001153CB"/>
    <w:rsid w:val="00115FE0"/>
    <w:rsid w:val="00117032"/>
    <w:rsid w:val="001179FF"/>
    <w:rsid w:val="00117B39"/>
    <w:rsid w:val="001207DB"/>
    <w:rsid w:val="00121759"/>
    <w:rsid w:val="00122074"/>
    <w:rsid w:val="00122931"/>
    <w:rsid w:val="00123C37"/>
    <w:rsid w:val="00123DDE"/>
    <w:rsid w:val="00124A22"/>
    <w:rsid w:val="00125E4F"/>
    <w:rsid w:val="0012674C"/>
    <w:rsid w:val="00127495"/>
    <w:rsid w:val="001277CC"/>
    <w:rsid w:val="001303D8"/>
    <w:rsid w:val="001313FB"/>
    <w:rsid w:val="001325A1"/>
    <w:rsid w:val="0013269E"/>
    <w:rsid w:val="001326E5"/>
    <w:rsid w:val="001332CB"/>
    <w:rsid w:val="00134067"/>
    <w:rsid w:val="00134C5C"/>
    <w:rsid w:val="0013580F"/>
    <w:rsid w:val="001358E4"/>
    <w:rsid w:val="00136186"/>
    <w:rsid w:val="00140C17"/>
    <w:rsid w:val="00142613"/>
    <w:rsid w:val="00145D34"/>
    <w:rsid w:val="001460F6"/>
    <w:rsid w:val="001462F7"/>
    <w:rsid w:val="0014688B"/>
    <w:rsid w:val="00147ABF"/>
    <w:rsid w:val="00147CFA"/>
    <w:rsid w:val="00151E5D"/>
    <w:rsid w:val="00155447"/>
    <w:rsid w:val="00156C6C"/>
    <w:rsid w:val="0015704E"/>
    <w:rsid w:val="001577BA"/>
    <w:rsid w:val="00157A5C"/>
    <w:rsid w:val="00157BBB"/>
    <w:rsid w:val="00157F12"/>
    <w:rsid w:val="001603A0"/>
    <w:rsid w:val="00161C4D"/>
    <w:rsid w:val="00161E01"/>
    <w:rsid w:val="0016314B"/>
    <w:rsid w:val="0016428C"/>
    <w:rsid w:val="00165E5F"/>
    <w:rsid w:val="00167E52"/>
    <w:rsid w:val="0017030A"/>
    <w:rsid w:val="0017030C"/>
    <w:rsid w:val="0017496F"/>
    <w:rsid w:val="00182EDB"/>
    <w:rsid w:val="00183635"/>
    <w:rsid w:val="001867B1"/>
    <w:rsid w:val="00186DBA"/>
    <w:rsid w:val="00187A49"/>
    <w:rsid w:val="0019054F"/>
    <w:rsid w:val="001928E8"/>
    <w:rsid w:val="0019319A"/>
    <w:rsid w:val="001937AC"/>
    <w:rsid w:val="00196033"/>
    <w:rsid w:val="00197CC8"/>
    <w:rsid w:val="001A0576"/>
    <w:rsid w:val="001A1A9D"/>
    <w:rsid w:val="001A2DE8"/>
    <w:rsid w:val="001A35B3"/>
    <w:rsid w:val="001A3F41"/>
    <w:rsid w:val="001A441D"/>
    <w:rsid w:val="001A5445"/>
    <w:rsid w:val="001B03E3"/>
    <w:rsid w:val="001B104C"/>
    <w:rsid w:val="001B2370"/>
    <w:rsid w:val="001B3D1E"/>
    <w:rsid w:val="001B41DC"/>
    <w:rsid w:val="001B4C40"/>
    <w:rsid w:val="001B5F17"/>
    <w:rsid w:val="001B6BE8"/>
    <w:rsid w:val="001B6DB5"/>
    <w:rsid w:val="001C01AC"/>
    <w:rsid w:val="001C0D4B"/>
    <w:rsid w:val="001C1723"/>
    <w:rsid w:val="001C1E9C"/>
    <w:rsid w:val="001C42DF"/>
    <w:rsid w:val="001C452F"/>
    <w:rsid w:val="001C4584"/>
    <w:rsid w:val="001C4803"/>
    <w:rsid w:val="001C64A6"/>
    <w:rsid w:val="001C6845"/>
    <w:rsid w:val="001C6D88"/>
    <w:rsid w:val="001C6E9F"/>
    <w:rsid w:val="001D0BB1"/>
    <w:rsid w:val="001D1355"/>
    <w:rsid w:val="001D138D"/>
    <w:rsid w:val="001D3053"/>
    <w:rsid w:val="001D3BD1"/>
    <w:rsid w:val="001D3FA5"/>
    <w:rsid w:val="001D4437"/>
    <w:rsid w:val="001D4E96"/>
    <w:rsid w:val="001D4F24"/>
    <w:rsid w:val="001D6617"/>
    <w:rsid w:val="001D6A07"/>
    <w:rsid w:val="001E1ACE"/>
    <w:rsid w:val="001E4574"/>
    <w:rsid w:val="001E46A8"/>
    <w:rsid w:val="001E7AE2"/>
    <w:rsid w:val="001F2407"/>
    <w:rsid w:val="001F2C37"/>
    <w:rsid w:val="001F3A37"/>
    <w:rsid w:val="001F4ED5"/>
    <w:rsid w:val="001F586D"/>
    <w:rsid w:val="001F5A36"/>
    <w:rsid w:val="001F6C51"/>
    <w:rsid w:val="002021F4"/>
    <w:rsid w:val="002044E5"/>
    <w:rsid w:val="002061DD"/>
    <w:rsid w:val="00206350"/>
    <w:rsid w:val="00207ED8"/>
    <w:rsid w:val="002109CE"/>
    <w:rsid w:val="00210AD3"/>
    <w:rsid w:val="00211678"/>
    <w:rsid w:val="00212CD7"/>
    <w:rsid w:val="00212F0F"/>
    <w:rsid w:val="00213672"/>
    <w:rsid w:val="00213DD2"/>
    <w:rsid w:val="00214304"/>
    <w:rsid w:val="00214DA9"/>
    <w:rsid w:val="002155C9"/>
    <w:rsid w:val="00215DEA"/>
    <w:rsid w:val="002167D6"/>
    <w:rsid w:val="002174C7"/>
    <w:rsid w:val="00223365"/>
    <w:rsid w:val="00223523"/>
    <w:rsid w:val="00224B0B"/>
    <w:rsid w:val="0022508E"/>
    <w:rsid w:val="00225A8F"/>
    <w:rsid w:val="00225F8C"/>
    <w:rsid w:val="00230340"/>
    <w:rsid w:val="00230CA8"/>
    <w:rsid w:val="00231B88"/>
    <w:rsid w:val="00232EB1"/>
    <w:rsid w:val="0023344C"/>
    <w:rsid w:val="00233836"/>
    <w:rsid w:val="00233BEA"/>
    <w:rsid w:val="00234A18"/>
    <w:rsid w:val="00235D8A"/>
    <w:rsid w:val="00237AB5"/>
    <w:rsid w:val="00240701"/>
    <w:rsid w:val="002422CB"/>
    <w:rsid w:val="00244BFD"/>
    <w:rsid w:val="002453DB"/>
    <w:rsid w:val="00245D30"/>
    <w:rsid w:val="002472B2"/>
    <w:rsid w:val="00250717"/>
    <w:rsid w:val="0025345D"/>
    <w:rsid w:val="002535DC"/>
    <w:rsid w:val="002538F2"/>
    <w:rsid w:val="00254289"/>
    <w:rsid w:val="002553DB"/>
    <w:rsid w:val="00260D4F"/>
    <w:rsid w:val="00262413"/>
    <w:rsid w:val="00264D3A"/>
    <w:rsid w:val="00265974"/>
    <w:rsid w:val="00266AE5"/>
    <w:rsid w:val="00267234"/>
    <w:rsid w:val="002677A9"/>
    <w:rsid w:val="00267892"/>
    <w:rsid w:val="002701C4"/>
    <w:rsid w:val="00270BE7"/>
    <w:rsid w:val="00271D51"/>
    <w:rsid w:val="00272914"/>
    <w:rsid w:val="00272B2D"/>
    <w:rsid w:val="002745A8"/>
    <w:rsid w:val="00274D32"/>
    <w:rsid w:val="00275283"/>
    <w:rsid w:val="0027629B"/>
    <w:rsid w:val="0027710D"/>
    <w:rsid w:val="00277C82"/>
    <w:rsid w:val="00280204"/>
    <w:rsid w:val="002811B6"/>
    <w:rsid w:val="0028207D"/>
    <w:rsid w:val="002824C2"/>
    <w:rsid w:val="0028269D"/>
    <w:rsid w:val="00282E96"/>
    <w:rsid w:val="00284366"/>
    <w:rsid w:val="00284E16"/>
    <w:rsid w:val="0028561C"/>
    <w:rsid w:val="002858A8"/>
    <w:rsid w:val="00285A79"/>
    <w:rsid w:val="00287C0C"/>
    <w:rsid w:val="00290FB3"/>
    <w:rsid w:val="002934E0"/>
    <w:rsid w:val="00293BF0"/>
    <w:rsid w:val="00293DE1"/>
    <w:rsid w:val="0029419F"/>
    <w:rsid w:val="00294378"/>
    <w:rsid w:val="002963FC"/>
    <w:rsid w:val="00296EF3"/>
    <w:rsid w:val="002A0DDA"/>
    <w:rsid w:val="002A1ECD"/>
    <w:rsid w:val="002A207E"/>
    <w:rsid w:val="002A3663"/>
    <w:rsid w:val="002A3828"/>
    <w:rsid w:val="002A4732"/>
    <w:rsid w:val="002A58CF"/>
    <w:rsid w:val="002A61DA"/>
    <w:rsid w:val="002A6DC6"/>
    <w:rsid w:val="002A70EE"/>
    <w:rsid w:val="002B09EE"/>
    <w:rsid w:val="002B1B1B"/>
    <w:rsid w:val="002B3CA0"/>
    <w:rsid w:val="002B4E39"/>
    <w:rsid w:val="002B58D1"/>
    <w:rsid w:val="002B62E6"/>
    <w:rsid w:val="002B633D"/>
    <w:rsid w:val="002B68AE"/>
    <w:rsid w:val="002C2FBC"/>
    <w:rsid w:val="002C52E7"/>
    <w:rsid w:val="002C6633"/>
    <w:rsid w:val="002C692A"/>
    <w:rsid w:val="002C707B"/>
    <w:rsid w:val="002C75CC"/>
    <w:rsid w:val="002D116E"/>
    <w:rsid w:val="002D22D7"/>
    <w:rsid w:val="002D2304"/>
    <w:rsid w:val="002D45A3"/>
    <w:rsid w:val="002D5E34"/>
    <w:rsid w:val="002D5ED4"/>
    <w:rsid w:val="002D6969"/>
    <w:rsid w:val="002D6CA9"/>
    <w:rsid w:val="002D7255"/>
    <w:rsid w:val="002D7BF1"/>
    <w:rsid w:val="002D7D91"/>
    <w:rsid w:val="002E01CD"/>
    <w:rsid w:val="002E02DA"/>
    <w:rsid w:val="002E23B7"/>
    <w:rsid w:val="002E26DA"/>
    <w:rsid w:val="002E2BA6"/>
    <w:rsid w:val="002E4D90"/>
    <w:rsid w:val="002E7380"/>
    <w:rsid w:val="002E7CC0"/>
    <w:rsid w:val="002F1892"/>
    <w:rsid w:val="002F3471"/>
    <w:rsid w:val="002F3B72"/>
    <w:rsid w:val="002F43B8"/>
    <w:rsid w:val="002F4908"/>
    <w:rsid w:val="002F4FA0"/>
    <w:rsid w:val="002F501C"/>
    <w:rsid w:val="002F569A"/>
    <w:rsid w:val="002F6843"/>
    <w:rsid w:val="002F6BBF"/>
    <w:rsid w:val="00300693"/>
    <w:rsid w:val="00300B68"/>
    <w:rsid w:val="003028D9"/>
    <w:rsid w:val="003029B9"/>
    <w:rsid w:val="00303358"/>
    <w:rsid w:val="00303939"/>
    <w:rsid w:val="003040B6"/>
    <w:rsid w:val="00304E4C"/>
    <w:rsid w:val="00305546"/>
    <w:rsid w:val="003100F9"/>
    <w:rsid w:val="00310401"/>
    <w:rsid w:val="00310C70"/>
    <w:rsid w:val="00310D0A"/>
    <w:rsid w:val="00310E54"/>
    <w:rsid w:val="0031231B"/>
    <w:rsid w:val="00312590"/>
    <w:rsid w:val="00314D53"/>
    <w:rsid w:val="00314FEC"/>
    <w:rsid w:val="00316BD3"/>
    <w:rsid w:val="00317E68"/>
    <w:rsid w:val="003207E8"/>
    <w:rsid w:val="003210E1"/>
    <w:rsid w:val="003213E2"/>
    <w:rsid w:val="00321BC2"/>
    <w:rsid w:val="003226F4"/>
    <w:rsid w:val="003227C5"/>
    <w:rsid w:val="00322EDB"/>
    <w:rsid w:val="0032339F"/>
    <w:rsid w:val="00325B83"/>
    <w:rsid w:val="003262CA"/>
    <w:rsid w:val="00326C78"/>
    <w:rsid w:val="00327E68"/>
    <w:rsid w:val="003300D6"/>
    <w:rsid w:val="00331E41"/>
    <w:rsid w:val="00331ECA"/>
    <w:rsid w:val="00332668"/>
    <w:rsid w:val="003328F6"/>
    <w:rsid w:val="00332BAB"/>
    <w:rsid w:val="003354F8"/>
    <w:rsid w:val="003357D1"/>
    <w:rsid w:val="00335D41"/>
    <w:rsid w:val="00335E23"/>
    <w:rsid w:val="0033665A"/>
    <w:rsid w:val="003368B7"/>
    <w:rsid w:val="00336A5A"/>
    <w:rsid w:val="00336FCB"/>
    <w:rsid w:val="00337429"/>
    <w:rsid w:val="00337610"/>
    <w:rsid w:val="0034039C"/>
    <w:rsid w:val="00341457"/>
    <w:rsid w:val="00341A1D"/>
    <w:rsid w:val="0034283A"/>
    <w:rsid w:val="00342FDD"/>
    <w:rsid w:val="00343C91"/>
    <w:rsid w:val="00344542"/>
    <w:rsid w:val="00344E11"/>
    <w:rsid w:val="00346336"/>
    <w:rsid w:val="003508D8"/>
    <w:rsid w:val="0035154A"/>
    <w:rsid w:val="00354F36"/>
    <w:rsid w:val="00354F6E"/>
    <w:rsid w:val="00355820"/>
    <w:rsid w:val="0035712F"/>
    <w:rsid w:val="0035795C"/>
    <w:rsid w:val="0036006F"/>
    <w:rsid w:val="00360870"/>
    <w:rsid w:val="00362B7A"/>
    <w:rsid w:val="00362ED0"/>
    <w:rsid w:val="0036388F"/>
    <w:rsid w:val="00364397"/>
    <w:rsid w:val="003644C2"/>
    <w:rsid w:val="00365A76"/>
    <w:rsid w:val="003675A5"/>
    <w:rsid w:val="003728A1"/>
    <w:rsid w:val="00372B9B"/>
    <w:rsid w:val="00374EB6"/>
    <w:rsid w:val="0037565B"/>
    <w:rsid w:val="0037658E"/>
    <w:rsid w:val="00376B59"/>
    <w:rsid w:val="003802A8"/>
    <w:rsid w:val="0038226A"/>
    <w:rsid w:val="00382353"/>
    <w:rsid w:val="003827FA"/>
    <w:rsid w:val="00382DCE"/>
    <w:rsid w:val="00383D72"/>
    <w:rsid w:val="00384A22"/>
    <w:rsid w:val="00384BE3"/>
    <w:rsid w:val="003877C8"/>
    <w:rsid w:val="00387D21"/>
    <w:rsid w:val="00387E69"/>
    <w:rsid w:val="003901BE"/>
    <w:rsid w:val="003904B9"/>
    <w:rsid w:val="00390541"/>
    <w:rsid w:val="003912C0"/>
    <w:rsid w:val="0039166A"/>
    <w:rsid w:val="00391E35"/>
    <w:rsid w:val="00392907"/>
    <w:rsid w:val="00392F17"/>
    <w:rsid w:val="00393AF5"/>
    <w:rsid w:val="00394552"/>
    <w:rsid w:val="00394AFA"/>
    <w:rsid w:val="00394B06"/>
    <w:rsid w:val="00394CC9"/>
    <w:rsid w:val="003A0C54"/>
    <w:rsid w:val="003A1D94"/>
    <w:rsid w:val="003A1F1E"/>
    <w:rsid w:val="003A2C69"/>
    <w:rsid w:val="003A682B"/>
    <w:rsid w:val="003A798A"/>
    <w:rsid w:val="003B04D1"/>
    <w:rsid w:val="003B5FC0"/>
    <w:rsid w:val="003B6070"/>
    <w:rsid w:val="003B6225"/>
    <w:rsid w:val="003B69B8"/>
    <w:rsid w:val="003B6B75"/>
    <w:rsid w:val="003B7970"/>
    <w:rsid w:val="003C0EF7"/>
    <w:rsid w:val="003C1491"/>
    <w:rsid w:val="003C22B5"/>
    <w:rsid w:val="003C3CB3"/>
    <w:rsid w:val="003C5BCE"/>
    <w:rsid w:val="003C646C"/>
    <w:rsid w:val="003C72EB"/>
    <w:rsid w:val="003C734E"/>
    <w:rsid w:val="003D03F6"/>
    <w:rsid w:val="003D25FF"/>
    <w:rsid w:val="003D2F59"/>
    <w:rsid w:val="003D34C5"/>
    <w:rsid w:val="003D38D9"/>
    <w:rsid w:val="003D4584"/>
    <w:rsid w:val="003D46D2"/>
    <w:rsid w:val="003D487B"/>
    <w:rsid w:val="003D5316"/>
    <w:rsid w:val="003D66A9"/>
    <w:rsid w:val="003E086C"/>
    <w:rsid w:val="003E2585"/>
    <w:rsid w:val="003E502B"/>
    <w:rsid w:val="003E5141"/>
    <w:rsid w:val="003E590F"/>
    <w:rsid w:val="003E6C77"/>
    <w:rsid w:val="003E781E"/>
    <w:rsid w:val="003F00B8"/>
    <w:rsid w:val="003F0709"/>
    <w:rsid w:val="003F0AC9"/>
    <w:rsid w:val="003F2517"/>
    <w:rsid w:val="003F260B"/>
    <w:rsid w:val="003F3708"/>
    <w:rsid w:val="003F3AD0"/>
    <w:rsid w:val="003F4830"/>
    <w:rsid w:val="003F4C23"/>
    <w:rsid w:val="003F57B0"/>
    <w:rsid w:val="003F58DC"/>
    <w:rsid w:val="003F7FD7"/>
    <w:rsid w:val="0040001B"/>
    <w:rsid w:val="004008BF"/>
    <w:rsid w:val="00400A52"/>
    <w:rsid w:val="00400B0E"/>
    <w:rsid w:val="00401898"/>
    <w:rsid w:val="00403182"/>
    <w:rsid w:val="00403806"/>
    <w:rsid w:val="004046CC"/>
    <w:rsid w:val="00406148"/>
    <w:rsid w:val="004067BF"/>
    <w:rsid w:val="00406D2A"/>
    <w:rsid w:val="00407646"/>
    <w:rsid w:val="004100CF"/>
    <w:rsid w:val="0041041C"/>
    <w:rsid w:val="0041094E"/>
    <w:rsid w:val="00410AD3"/>
    <w:rsid w:val="00410F7E"/>
    <w:rsid w:val="004121A2"/>
    <w:rsid w:val="00412A1F"/>
    <w:rsid w:val="00412D43"/>
    <w:rsid w:val="00415720"/>
    <w:rsid w:val="0041651F"/>
    <w:rsid w:val="00416EC1"/>
    <w:rsid w:val="00420098"/>
    <w:rsid w:val="00420B2C"/>
    <w:rsid w:val="004212AA"/>
    <w:rsid w:val="00421C27"/>
    <w:rsid w:val="00423A74"/>
    <w:rsid w:val="0042402D"/>
    <w:rsid w:val="0042546E"/>
    <w:rsid w:val="00427CF1"/>
    <w:rsid w:val="00427E75"/>
    <w:rsid w:val="004304EE"/>
    <w:rsid w:val="00430580"/>
    <w:rsid w:val="004318F4"/>
    <w:rsid w:val="0043251D"/>
    <w:rsid w:val="00435982"/>
    <w:rsid w:val="00436177"/>
    <w:rsid w:val="00436577"/>
    <w:rsid w:val="0043720F"/>
    <w:rsid w:val="004377EF"/>
    <w:rsid w:val="00437865"/>
    <w:rsid w:val="0044083F"/>
    <w:rsid w:val="00440F4A"/>
    <w:rsid w:val="004437E5"/>
    <w:rsid w:val="00443A97"/>
    <w:rsid w:val="0044538D"/>
    <w:rsid w:val="00451C49"/>
    <w:rsid w:val="00451F00"/>
    <w:rsid w:val="00451FC5"/>
    <w:rsid w:val="00454F65"/>
    <w:rsid w:val="00455333"/>
    <w:rsid w:val="00455C84"/>
    <w:rsid w:val="004561CD"/>
    <w:rsid w:val="00456BF0"/>
    <w:rsid w:val="00457D21"/>
    <w:rsid w:val="004605F3"/>
    <w:rsid w:val="00460BCE"/>
    <w:rsid w:val="00460FE4"/>
    <w:rsid w:val="00461790"/>
    <w:rsid w:val="004624A1"/>
    <w:rsid w:val="004626B4"/>
    <w:rsid w:val="004708C1"/>
    <w:rsid w:val="004736E4"/>
    <w:rsid w:val="0047498C"/>
    <w:rsid w:val="00474D12"/>
    <w:rsid w:val="00475B65"/>
    <w:rsid w:val="00475E4A"/>
    <w:rsid w:val="0047767E"/>
    <w:rsid w:val="00477D3E"/>
    <w:rsid w:val="0048062F"/>
    <w:rsid w:val="004806C5"/>
    <w:rsid w:val="00482595"/>
    <w:rsid w:val="00483011"/>
    <w:rsid w:val="004854BC"/>
    <w:rsid w:val="00486236"/>
    <w:rsid w:val="004874A8"/>
    <w:rsid w:val="004877C7"/>
    <w:rsid w:val="00490C47"/>
    <w:rsid w:val="00491633"/>
    <w:rsid w:val="00492B60"/>
    <w:rsid w:val="00493A4F"/>
    <w:rsid w:val="00493CC5"/>
    <w:rsid w:val="004940BA"/>
    <w:rsid w:val="0049476F"/>
    <w:rsid w:val="00494E54"/>
    <w:rsid w:val="00495122"/>
    <w:rsid w:val="00495EA9"/>
    <w:rsid w:val="00496D73"/>
    <w:rsid w:val="00496E9B"/>
    <w:rsid w:val="004977DC"/>
    <w:rsid w:val="004A0BD5"/>
    <w:rsid w:val="004A23FA"/>
    <w:rsid w:val="004A2677"/>
    <w:rsid w:val="004A2AA5"/>
    <w:rsid w:val="004A2E8F"/>
    <w:rsid w:val="004A3757"/>
    <w:rsid w:val="004A44D9"/>
    <w:rsid w:val="004A4C92"/>
    <w:rsid w:val="004A55EB"/>
    <w:rsid w:val="004A5DA7"/>
    <w:rsid w:val="004A665D"/>
    <w:rsid w:val="004B00DF"/>
    <w:rsid w:val="004B21C6"/>
    <w:rsid w:val="004B28A1"/>
    <w:rsid w:val="004B2DA8"/>
    <w:rsid w:val="004B2F21"/>
    <w:rsid w:val="004B49E2"/>
    <w:rsid w:val="004B4A6B"/>
    <w:rsid w:val="004C1541"/>
    <w:rsid w:val="004C1B5C"/>
    <w:rsid w:val="004C326D"/>
    <w:rsid w:val="004C3BE7"/>
    <w:rsid w:val="004C5DA8"/>
    <w:rsid w:val="004D03A1"/>
    <w:rsid w:val="004D1BBE"/>
    <w:rsid w:val="004D1F25"/>
    <w:rsid w:val="004D228E"/>
    <w:rsid w:val="004D28A5"/>
    <w:rsid w:val="004D4ABC"/>
    <w:rsid w:val="004D4DE3"/>
    <w:rsid w:val="004D53EF"/>
    <w:rsid w:val="004D5838"/>
    <w:rsid w:val="004D69BE"/>
    <w:rsid w:val="004D7322"/>
    <w:rsid w:val="004E049B"/>
    <w:rsid w:val="004E2077"/>
    <w:rsid w:val="004E284D"/>
    <w:rsid w:val="004E31E3"/>
    <w:rsid w:val="004E404E"/>
    <w:rsid w:val="004E4564"/>
    <w:rsid w:val="004E5387"/>
    <w:rsid w:val="004E59CE"/>
    <w:rsid w:val="004E6C16"/>
    <w:rsid w:val="004E6F61"/>
    <w:rsid w:val="004E7868"/>
    <w:rsid w:val="004F0411"/>
    <w:rsid w:val="004F0B9E"/>
    <w:rsid w:val="004F1032"/>
    <w:rsid w:val="004F150E"/>
    <w:rsid w:val="004F31A9"/>
    <w:rsid w:val="004F52BF"/>
    <w:rsid w:val="004F540A"/>
    <w:rsid w:val="004F5E4A"/>
    <w:rsid w:val="004F6700"/>
    <w:rsid w:val="004F6742"/>
    <w:rsid w:val="004F69A9"/>
    <w:rsid w:val="004F75B3"/>
    <w:rsid w:val="004F7ED5"/>
    <w:rsid w:val="004F7FA1"/>
    <w:rsid w:val="005002AC"/>
    <w:rsid w:val="00502822"/>
    <w:rsid w:val="00502E75"/>
    <w:rsid w:val="00504A57"/>
    <w:rsid w:val="00505800"/>
    <w:rsid w:val="005069EE"/>
    <w:rsid w:val="00506AE8"/>
    <w:rsid w:val="0050754A"/>
    <w:rsid w:val="005121F2"/>
    <w:rsid w:val="00513C0A"/>
    <w:rsid w:val="005140B8"/>
    <w:rsid w:val="00515FC4"/>
    <w:rsid w:val="005171B3"/>
    <w:rsid w:val="005173EB"/>
    <w:rsid w:val="0051751B"/>
    <w:rsid w:val="0051758F"/>
    <w:rsid w:val="00520254"/>
    <w:rsid w:val="00525A91"/>
    <w:rsid w:val="00527DCC"/>
    <w:rsid w:val="00530803"/>
    <w:rsid w:val="0053112F"/>
    <w:rsid w:val="0053248C"/>
    <w:rsid w:val="0053297E"/>
    <w:rsid w:val="00533F80"/>
    <w:rsid w:val="00534B7F"/>
    <w:rsid w:val="00534CFC"/>
    <w:rsid w:val="00540F13"/>
    <w:rsid w:val="00541FE3"/>
    <w:rsid w:val="00542B98"/>
    <w:rsid w:val="00546802"/>
    <w:rsid w:val="0055027B"/>
    <w:rsid w:val="005502E6"/>
    <w:rsid w:val="00552254"/>
    <w:rsid w:val="00556A13"/>
    <w:rsid w:val="00557612"/>
    <w:rsid w:val="0056068A"/>
    <w:rsid w:val="00560CCA"/>
    <w:rsid w:val="005618E8"/>
    <w:rsid w:val="0056248A"/>
    <w:rsid w:val="00562584"/>
    <w:rsid w:val="00562FCF"/>
    <w:rsid w:val="00563B3D"/>
    <w:rsid w:val="00565162"/>
    <w:rsid w:val="0056620C"/>
    <w:rsid w:val="0056627A"/>
    <w:rsid w:val="00567319"/>
    <w:rsid w:val="005704E8"/>
    <w:rsid w:val="00572E36"/>
    <w:rsid w:val="00572FC8"/>
    <w:rsid w:val="0057376A"/>
    <w:rsid w:val="00576AE2"/>
    <w:rsid w:val="005770C1"/>
    <w:rsid w:val="00580925"/>
    <w:rsid w:val="00580FD2"/>
    <w:rsid w:val="00581ACA"/>
    <w:rsid w:val="00581B63"/>
    <w:rsid w:val="00581F8E"/>
    <w:rsid w:val="005823F6"/>
    <w:rsid w:val="005825C1"/>
    <w:rsid w:val="005840A5"/>
    <w:rsid w:val="0058603F"/>
    <w:rsid w:val="005866C6"/>
    <w:rsid w:val="0058693D"/>
    <w:rsid w:val="00587801"/>
    <w:rsid w:val="0059079E"/>
    <w:rsid w:val="00590BF1"/>
    <w:rsid w:val="00590F55"/>
    <w:rsid w:val="0059263D"/>
    <w:rsid w:val="00592B40"/>
    <w:rsid w:val="005931B8"/>
    <w:rsid w:val="0059468E"/>
    <w:rsid w:val="00594703"/>
    <w:rsid w:val="00594815"/>
    <w:rsid w:val="005948F8"/>
    <w:rsid w:val="00594DB9"/>
    <w:rsid w:val="00595CC3"/>
    <w:rsid w:val="005966AC"/>
    <w:rsid w:val="00597A65"/>
    <w:rsid w:val="005A1579"/>
    <w:rsid w:val="005A383A"/>
    <w:rsid w:val="005A3881"/>
    <w:rsid w:val="005A5336"/>
    <w:rsid w:val="005A5B5E"/>
    <w:rsid w:val="005B03D1"/>
    <w:rsid w:val="005B0D0D"/>
    <w:rsid w:val="005B1C59"/>
    <w:rsid w:val="005B1E37"/>
    <w:rsid w:val="005B265E"/>
    <w:rsid w:val="005B5D80"/>
    <w:rsid w:val="005B5D94"/>
    <w:rsid w:val="005B6CBB"/>
    <w:rsid w:val="005B7041"/>
    <w:rsid w:val="005B71C8"/>
    <w:rsid w:val="005B7BAE"/>
    <w:rsid w:val="005C0FAE"/>
    <w:rsid w:val="005C0FDC"/>
    <w:rsid w:val="005C1328"/>
    <w:rsid w:val="005C251A"/>
    <w:rsid w:val="005C40C9"/>
    <w:rsid w:val="005C5122"/>
    <w:rsid w:val="005C71F7"/>
    <w:rsid w:val="005D17B0"/>
    <w:rsid w:val="005D2DBE"/>
    <w:rsid w:val="005D5EF5"/>
    <w:rsid w:val="005D6986"/>
    <w:rsid w:val="005D7187"/>
    <w:rsid w:val="005E0275"/>
    <w:rsid w:val="005E094E"/>
    <w:rsid w:val="005E0CFB"/>
    <w:rsid w:val="005E1429"/>
    <w:rsid w:val="005E311A"/>
    <w:rsid w:val="005E31C7"/>
    <w:rsid w:val="005E34A1"/>
    <w:rsid w:val="005E78B5"/>
    <w:rsid w:val="005E79BC"/>
    <w:rsid w:val="005F1F8B"/>
    <w:rsid w:val="005F2D9A"/>
    <w:rsid w:val="005F3F65"/>
    <w:rsid w:val="005F4960"/>
    <w:rsid w:val="005F684A"/>
    <w:rsid w:val="00600843"/>
    <w:rsid w:val="00600C1B"/>
    <w:rsid w:val="006014B6"/>
    <w:rsid w:val="006017C1"/>
    <w:rsid w:val="00601CCA"/>
    <w:rsid w:val="006024CC"/>
    <w:rsid w:val="00602B12"/>
    <w:rsid w:val="0060392E"/>
    <w:rsid w:val="006064BD"/>
    <w:rsid w:val="006077CC"/>
    <w:rsid w:val="0061012F"/>
    <w:rsid w:val="00611468"/>
    <w:rsid w:val="00612BEE"/>
    <w:rsid w:val="00613099"/>
    <w:rsid w:val="006141CE"/>
    <w:rsid w:val="0061475D"/>
    <w:rsid w:val="00614799"/>
    <w:rsid w:val="006163B0"/>
    <w:rsid w:val="0061654E"/>
    <w:rsid w:val="00617A6D"/>
    <w:rsid w:val="00620B65"/>
    <w:rsid w:val="00621EBA"/>
    <w:rsid w:val="006220A9"/>
    <w:rsid w:val="00622864"/>
    <w:rsid w:val="006239FC"/>
    <w:rsid w:val="006245D5"/>
    <w:rsid w:val="00624900"/>
    <w:rsid w:val="00625382"/>
    <w:rsid w:val="00625BA9"/>
    <w:rsid w:val="00625EF4"/>
    <w:rsid w:val="006263BD"/>
    <w:rsid w:val="006301FF"/>
    <w:rsid w:val="0063087B"/>
    <w:rsid w:val="00631D6F"/>
    <w:rsid w:val="006332E9"/>
    <w:rsid w:val="00633C1A"/>
    <w:rsid w:val="00634369"/>
    <w:rsid w:val="00634E6E"/>
    <w:rsid w:val="006359E0"/>
    <w:rsid w:val="00635A27"/>
    <w:rsid w:val="00637617"/>
    <w:rsid w:val="00641A7C"/>
    <w:rsid w:val="00642C06"/>
    <w:rsid w:val="0064430F"/>
    <w:rsid w:val="00646F0E"/>
    <w:rsid w:val="006504E5"/>
    <w:rsid w:val="00650D76"/>
    <w:rsid w:val="0065429B"/>
    <w:rsid w:val="00654366"/>
    <w:rsid w:val="00655178"/>
    <w:rsid w:val="00656113"/>
    <w:rsid w:val="00657540"/>
    <w:rsid w:val="0066033A"/>
    <w:rsid w:val="006627C2"/>
    <w:rsid w:val="00664774"/>
    <w:rsid w:val="0066489F"/>
    <w:rsid w:val="00665B54"/>
    <w:rsid w:val="006661E0"/>
    <w:rsid w:val="006712B0"/>
    <w:rsid w:val="006727AC"/>
    <w:rsid w:val="00672E78"/>
    <w:rsid w:val="006730C9"/>
    <w:rsid w:val="00673436"/>
    <w:rsid w:val="00673A2E"/>
    <w:rsid w:val="00673C44"/>
    <w:rsid w:val="006762DD"/>
    <w:rsid w:val="00680538"/>
    <w:rsid w:val="00680F45"/>
    <w:rsid w:val="00682A57"/>
    <w:rsid w:val="006832E7"/>
    <w:rsid w:val="00684466"/>
    <w:rsid w:val="0068524A"/>
    <w:rsid w:val="00685782"/>
    <w:rsid w:val="00685A7D"/>
    <w:rsid w:val="00686144"/>
    <w:rsid w:val="0068738B"/>
    <w:rsid w:val="00687F69"/>
    <w:rsid w:val="00690F17"/>
    <w:rsid w:val="0069155F"/>
    <w:rsid w:val="00691A3D"/>
    <w:rsid w:val="00694E4A"/>
    <w:rsid w:val="00695FBE"/>
    <w:rsid w:val="0069642C"/>
    <w:rsid w:val="00696EE8"/>
    <w:rsid w:val="0069769C"/>
    <w:rsid w:val="00697EE6"/>
    <w:rsid w:val="006A1142"/>
    <w:rsid w:val="006A14D2"/>
    <w:rsid w:val="006A2658"/>
    <w:rsid w:val="006A3587"/>
    <w:rsid w:val="006A425F"/>
    <w:rsid w:val="006A4BBF"/>
    <w:rsid w:val="006A6097"/>
    <w:rsid w:val="006A6480"/>
    <w:rsid w:val="006B0A1C"/>
    <w:rsid w:val="006B1149"/>
    <w:rsid w:val="006B2500"/>
    <w:rsid w:val="006B25C9"/>
    <w:rsid w:val="006B28D8"/>
    <w:rsid w:val="006B2D43"/>
    <w:rsid w:val="006B3477"/>
    <w:rsid w:val="006B43FD"/>
    <w:rsid w:val="006B463D"/>
    <w:rsid w:val="006B6439"/>
    <w:rsid w:val="006B781D"/>
    <w:rsid w:val="006B7F61"/>
    <w:rsid w:val="006C05BE"/>
    <w:rsid w:val="006C0D9D"/>
    <w:rsid w:val="006C17E1"/>
    <w:rsid w:val="006C3108"/>
    <w:rsid w:val="006C5896"/>
    <w:rsid w:val="006C755F"/>
    <w:rsid w:val="006C78A5"/>
    <w:rsid w:val="006C7D93"/>
    <w:rsid w:val="006C7E56"/>
    <w:rsid w:val="006D04C4"/>
    <w:rsid w:val="006D2032"/>
    <w:rsid w:val="006D2894"/>
    <w:rsid w:val="006D3028"/>
    <w:rsid w:val="006D36A5"/>
    <w:rsid w:val="006D3E5A"/>
    <w:rsid w:val="006D4040"/>
    <w:rsid w:val="006D4711"/>
    <w:rsid w:val="006D50E7"/>
    <w:rsid w:val="006D5C3A"/>
    <w:rsid w:val="006D69BD"/>
    <w:rsid w:val="006D71E3"/>
    <w:rsid w:val="006E000B"/>
    <w:rsid w:val="006E016F"/>
    <w:rsid w:val="006E01D2"/>
    <w:rsid w:val="006E15E3"/>
    <w:rsid w:val="006E164C"/>
    <w:rsid w:val="006E31E8"/>
    <w:rsid w:val="006E5BB1"/>
    <w:rsid w:val="006E742C"/>
    <w:rsid w:val="006E745A"/>
    <w:rsid w:val="006E74A0"/>
    <w:rsid w:val="006E7720"/>
    <w:rsid w:val="006F0A2F"/>
    <w:rsid w:val="006F0B3C"/>
    <w:rsid w:val="006F25D2"/>
    <w:rsid w:val="006F32E0"/>
    <w:rsid w:val="006F458F"/>
    <w:rsid w:val="006F4A38"/>
    <w:rsid w:val="006F51F9"/>
    <w:rsid w:val="006F55A0"/>
    <w:rsid w:val="006F6709"/>
    <w:rsid w:val="007004C0"/>
    <w:rsid w:val="00701D00"/>
    <w:rsid w:val="00703332"/>
    <w:rsid w:val="007033AF"/>
    <w:rsid w:val="0070503A"/>
    <w:rsid w:val="0070578B"/>
    <w:rsid w:val="007074DA"/>
    <w:rsid w:val="00707C7B"/>
    <w:rsid w:val="00710208"/>
    <w:rsid w:val="00710F51"/>
    <w:rsid w:val="0071265C"/>
    <w:rsid w:val="00713CC5"/>
    <w:rsid w:val="00714442"/>
    <w:rsid w:val="00717169"/>
    <w:rsid w:val="0071752C"/>
    <w:rsid w:val="0071780F"/>
    <w:rsid w:val="007224DF"/>
    <w:rsid w:val="007225DA"/>
    <w:rsid w:val="00723429"/>
    <w:rsid w:val="00724A15"/>
    <w:rsid w:val="00725618"/>
    <w:rsid w:val="00725630"/>
    <w:rsid w:val="0072575E"/>
    <w:rsid w:val="007261B3"/>
    <w:rsid w:val="00726969"/>
    <w:rsid w:val="00726D53"/>
    <w:rsid w:val="007305B4"/>
    <w:rsid w:val="0073191A"/>
    <w:rsid w:val="007330E6"/>
    <w:rsid w:val="007343A9"/>
    <w:rsid w:val="007349B5"/>
    <w:rsid w:val="00735BD7"/>
    <w:rsid w:val="00736D90"/>
    <w:rsid w:val="007402FF"/>
    <w:rsid w:val="00740D9E"/>
    <w:rsid w:val="00741DBB"/>
    <w:rsid w:val="00742156"/>
    <w:rsid w:val="00742818"/>
    <w:rsid w:val="007429A7"/>
    <w:rsid w:val="0074332E"/>
    <w:rsid w:val="00744565"/>
    <w:rsid w:val="0074570D"/>
    <w:rsid w:val="00745A54"/>
    <w:rsid w:val="007474E3"/>
    <w:rsid w:val="007479B3"/>
    <w:rsid w:val="00747C25"/>
    <w:rsid w:val="00750195"/>
    <w:rsid w:val="00750B5E"/>
    <w:rsid w:val="00750D7A"/>
    <w:rsid w:val="007538C8"/>
    <w:rsid w:val="007543FF"/>
    <w:rsid w:val="00755822"/>
    <w:rsid w:val="007604FE"/>
    <w:rsid w:val="00760F97"/>
    <w:rsid w:val="00761414"/>
    <w:rsid w:val="00761A14"/>
    <w:rsid w:val="00762711"/>
    <w:rsid w:val="007642DF"/>
    <w:rsid w:val="007644D4"/>
    <w:rsid w:val="00764ACC"/>
    <w:rsid w:val="00764E01"/>
    <w:rsid w:val="00765590"/>
    <w:rsid w:val="00765ABA"/>
    <w:rsid w:val="007674CC"/>
    <w:rsid w:val="007676DA"/>
    <w:rsid w:val="00767D0F"/>
    <w:rsid w:val="007705A4"/>
    <w:rsid w:val="0077179A"/>
    <w:rsid w:val="00771E8E"/>
    <w:rsid w:val="007724F1"/>
    <w:rsid w:val="00772F97"/>
    <w:rsid w:val="00774012"/>
    <w:rsid w:val="00776E68"/>
    <w:rsid w:val="00777DFA"/>
    <w:rsid w:val="00781DA0"/>
    <w:rsid w:val="00781E64"/>
    <w:rsid w:val="007826EA"/>
    <w:rsid w:val="0078298A"/>
    <w:rsid w:val="007829F8"/>
    <w:rsid w:val="007855C1"/>
    <w:rsid w:val="00785BA2"/>
    <w:rsid w:val="0078657E"/>
    <w:rsid w:val="00790845"/>
    <w:rsid w:val="0079110F"/>
    <w:rsid w:val="007911DF"/>
    <w:rsid w:val="00791292"/>
    <w:rsid w:val="00791BD6"/>
    <w:rsid w:val="00793855"/>
    <w:rsid w:val="007949A9"/>
    <w:rsid w:val="00796199"/>
    <w:rsid w:val="007A0927"/>
    <w:rsid w:val="007A28CA"/>
    <w:rsid w:val="007A35BB"/>
    <w:rsid w:val="007A3D38"/>
    <w:rsid w:val="007A407F"/>
    <w:rsid w:val="007A5A99"/>
    <w:rsid w:val="007A5A9D"/>
    <w:rsid w:val="007A5AA5"/>
    <w:rsid w:val="007A5C9E"/>
    <w:rsid w:val="007B0D28"/>
    <w:rsid w:val="007B245A"/>
    <w:rsid w:val="007B2575"/>
    <w:rsid w:val="007B408C"/>
    <w:rsid w:val="007B56DE"/>
    <w:rsid w:val="007B6328"/>
    <w:rsid w:val="007B694F"/>
    <w:rsid w:val="007B6FE7"/>
    <w:rsid w:val="007C116C"/>
    <w:rsid w:val="007C1B0E"/>
    <w:rsid w:val="007C25DE"/>
    <w:rsid w:val="007C26B0"/>
    <w:rsid w:val="007C314E"/>
    <w:rsid w:val="007C3526"/>
    <w:rsid w:val="007C458E"/>
    <w:rsid w:val="007C61C5"/>
    <w:rsid w:val="007C6BF9"/>
    <w:rsid w:val="007C6C3B"/>
    <w:rsid w:val="007C7CC4"/>
    <w:rsid w:val="007D0BA2"/>
    <w:rsid w:val="007D2B71"/>
    <w:rsid w:val="007D2BD1"/>
    <w:rsid w:val="007D545F"/>
    <w:rsid w:val="007D5496"/>
    <w:rsid w:val="007D58AF"/>
    <w:rsid w:val="007D7F4E"/>
    <w:rsid w:val="007E14E1"/>
    <w:rsid w:val="007E1BF8"/>
    <w:rsid w:val="007E2BE6"/>
    <w:rsid w:val="007E3202"/>
    <w:rsid w:val="007E355C"/>
    <w:rsid w:val="007E37F6"/>
    <w:rsid w:val="007E3EDE"/>
    <w:rsid w:val="007E4A22"/>
    <w:rsid w:val="007E4BB6"/>
    <w:rsid w:val="007E4BBE"/>
    <w:rsid w:val="007E4FDA"/>
    <w:rsid w:val="007E52C5"/>
    <w:rsid w:val="007E5DA7"/>
    <w:rsid w:val="007E719E"/>
    <w:rsid w:val="007F194A"/>
    <w:rsid w:val="007F2480"/>
    <w:rsid w:val="007F4A8E"/>
    <w:rsid w:val="007F5FB9"/>
    <w:rsid w:val="007F67C7"/>
    <w:rsid w:val="007F6CAE"/>
    <w:rsid w:val="00803512"/>
    <w:rsid w:val="00806447"/>
    <w:rsid w:val="00806788"/>
    <w:rsid w:val="00811B82"/>
    <w:rsid w:val="00812A2A"/>
    <w:rsid w:val="008147EF"/>
    <w:rsid w:val="008156EE"/>
    <w:rsid w:val="00815760"/>
    <w:rsid w:val="00815B9D"/>
    <w:rsid w:val="00816239"/>
    <w:rsid w:val="00816714"/>
    <w:rsid w:val="00820D8D"/>
    <w:rsid w:val="00820DFD"/>
    <w:rsid w:val="00821BC4"/>
    <w:rsid w:val="00823CEA"/>
    <w:rsid w:val="00825AE0"/>
    <w:rsid w:val="008261B8"/>
    <w:rsid w:val="00827A97"/>
    <w:rsid w:val="008309D7"/>
    <w:rsid w:val="008319D9"/>
    <w:rsid w:val="008322BA"/>
    <w:rsid w:val="00832A1D"/>
    <w:rsid w:val="0083323E"/>
    <w:rsid w:val="00833784"/>
    <w:rsid w:val="00835911"/>
    <w:rsid w:val="008360A7"/>
    <w:rsid w:val="00836D33"/>
    <w:rsid w:val="00837D5E"/>
    <w:rsid w:val="00840128"/>
    <w:rsid w:val="00840757"/>
    <w:rsid w:val="00840BF6"/>
    <w:rsid w:val="00840E57"/>
    <w:rsid w:val="0084288E"/>
    <w:rsid w:val="00843303"/>
    <w:rsid w:val="00843D1B"/>
    <w:rsid w:val="00845D30"/>
    <w:rsid w:val="008461A8"/>
    <w:rsid w:val="0084685A"/>
    <w:rsid w:val="008475B7"/>
    <w:rsid w:val="008526A0"/>
    <w:rsid w:val="00853ACF"/>
    <w:rsid w:val="00853E6F"/>
    <w:rsid w:val="00854356"/>
    <w:rsid w:val="00854D29"/>
    <w:rsid w:val="008553DB"/>
    <w:rsid w:val="008559A7"/>
    <w:rsid w:val="00855D8B"/>
    <w:rsid w:val="0085693D"/>
    <w:rsid w:val="00857E0A"/>
    <w:rsid w:val="008603BD"/>
    <w:rsid w:val="00861A0A"/>
    <w:rsid w:val="00861EE4"/>
    <w:rsid w:val="00862AFF"/>
    <w:rsid w:val="00862ED1"/>
    <w:rsid w:val="00863BEF"/>
    <w:rsid w:val="00864376"/>
    <w:rsid w:val="00864430"/>
    <w:rsid w:val="008659D1"/>
    <w:rsid w:val="00866436"/>
    <w:rsid w:val="00866C79"/>
    <w:rsid w:val="00866E80"/>
    <w:rsid w:val="008701D8"/>
    <w:rsid w:val="008703AE"/>
    <w:rsid w:val="00870C6F"/>
    <w:rsid w:val="0087149C"/>
    <w:rsid w:val="00871599"/>
    <w:rsid w:val="00872B9C"/>
    <w:rsid w:val="008762A1"/>
    <w:rsid w:val="008770C4"/>
    <w:rsid w:val="0088043E"/>
    <w:rsid w:val="00882BEC"/>
    <w:rsid w:val="008837BE"/>
    <w:rsid w:val="008839D7"/>
    <w:rsid w:val="00883EA7"/>
    <w:rsid w:val="00883FFD"/>
    <w:rsid w:val="008847CF"/>
    <w:rsid w:val="00884C8D"/>
    <w:rsid w:val="0088799F"/>
    <w:rsid w:val="00890FFC"/>
    <w:rsid w:val="00891352"/>
    <w:rsid w:val="008919F9"/>
    <w:rsid w:val="008925CB"/>
    <w:rsid w:val="00892828"/>
    <w:rsid w:val="00893631"/>
    <w:rsid w:val="0089419B"/>
    <w:rsid w:val="00895E66"/>
    <w:rsid w:val="008967A9"/>
    <w:rsid w:val="008A02FC"/>
    <w:rsid w:val="008A1C35"/>
    <w:rsid w:val="008A2071"/>
    <w:rsid w:val="008A4AE9"/>
    <w:rsid w:val="008A68DE"/>
    <w:rsid w:val="008A6C9F"/>
    <w:rsid w:val="008A758B"/>
    <w:rsid w:val="008A7DFD"/>
    <w:rsid w:val="008B05F4"/>
    <w:rsid w:val="008B152F"/>
    <w:rsid w:val="008B1F2B"/>
    <w:rsid w:val="008B28F1"/>
    <w:rsid w:val="008B3432"/>
    <w:rsid w:val="008B43D6"/>
    <w:rsid w:val="008B5601"/>
    <w:rsid w:val="008B6A75"/>
    <w:rsid w:val="008B7B70"/>
    <w:rsid w:val="008C071C"/>
    <w:rsid w:val="008C1599"/>
    <w:rsid w:val="008C2F46"/>
    <w:rsid w:val="008C392C"/>
    <w:rsid w:val="008C3A3C"/>
    <w:rsid w:val="008C6A8C"/>
    <w:rsid w:val="008C785C"/>
    <w:rsid w:val="008D0C4C"/>
    <w:rsid w:val="008D3F59"/>
    <w:rsid w:val="008D5D73"/>
    <w:rsid w:val="008D646D"/>
    <w:rsid w:val="008D75A9"/>
    <w:rsid w:val="008D7DD9"/>
    <w:rsid w:val="008E07A2"/>
    <w:rsid w:val="008E19DF"/>
    <w:rsid w:val="008E22C5"/>
    <w:rsid w:val="008E35DA"/>
    <w:rsid w:val="008E3834"/>
    <w:rsid w:val="008E609A"/>
    <w:rsid w:val="008F0C8E"/>
    <w:rsid w:val="008F19A9"/>
    <w:rsid w:val="008F23CE"/>
    <w:rsid w:val="008F2774"/>
    <w:rsid w:val="008F2D7F"/>
    <w:rsid w:val="008F2F42"/>
    <w:rsid w:val="008F3552"/>
    <w:rsid w:val="008F3C13"/>
    <w:rsid w:val="008F423F"/>
    <w:rsid w:val="008F44F8"/>
    <w:rsid w:val="008F4F68"/>
    <w:rsid w:val="008F5510"/>
    <w:rsid w:val="008F5581"/>
    <w:rsid w:val="008F69C7"/>
    <w:rsid w:val="008F6F46"/>
    <w:rsid w:val="008F7A27"/>
    <w:rsid w:val="008F7B47"/>
    <w:rsid w:val="008F7B58"/>
    <w:rsid w:val="008F7B64"/>
    <w:rsid w:val="008F7E96"/>
    <w:rsid w:val="0090037F"/>
    <w:rsid w:val="00900864"/>
    <w:rsid w:val="00900865"/>
    <w:rsid w:val="00901FC1"/>
    <w:rsid w:val="009023E7"/>
    <w:rsid w:val="00903A6D"/>
    <w:rsid w:val="00905E8C"/>
    <w:rsid w:val="00907805"/>
    <w:rsid w:val="009100B8"/>
    <w:rsid w:val="00913C72"/>
    <w:rsid w:val="00914AEA"/>
    <w:rsid w:val="00915085"/>
    <w:rsid w:val="0091776E"/>
    <w:rsid w:val="00917F93"/>
    <w:rsid w:val="009201C7"/>
    <w:rsid w:val="0092065C"/>
    <w:rsid w:val="00920794"/>
    <w:rsid w:val="00920987"/>
    <w:rsid w:val="00920FFB"/>
    <w:rsid w:val="009218B1"/>
    <w:rsid w:val="0092194E"/>
    <w:rsid w:val="00923447"/>
    <w:rsid w:val="0092348B"/>
    <w:rsid w:val="009234E5"/>
    <w:rsid w:val="00925A8B"/>
    <w:rsid w:val="00926F87"/>
    <w:rsid w:val="009275C0"/>
    <w:rsid w:val="009303B9"/>
    <w:rsid w:val="009319F2"/>
    <w:rsid w:val="009320C3"/>
    <w:rsid w:val="00933BC5"/>
    <w:rsid w:val="009348C5"/>
    <w:rsid w:val="009349A7"/>
    <w:rsid w:val="0093624C"/>
    <w:rsid w:val="009362CB"/>
    <w:rsid w:val="009370E4"/>
    <w:rsid w:val="00940B79"/>
    <w:rsid w:val="00941471"/>
    <w:rsid w:val="00942034"/>
    <w:rsid w:val="00942E59"/>
    <w:rsid w:val="00943F72"/>
    <w:rsid w:val="00944603"/>
    <w:rsid w:val="0094519D"/>
    <w:rsid w:val="00947699"/>
    <w:rsid w:val="0095040A"/>
    <w:rsid w:val="00952E08"/>
    <w:rsid w:val="00955BFA"/>
    <w:rsid w:val="00956688"/>
    <w:rsid w:val="00956E24"/>
    <w:rsid w:val="009574B5"/>
    <w:rsid w:val="0095793F"/>
    <w:rsid w:val="00961755"/>
    <w:rsid w:val="00961D52"/>
    <w:rsid w:val="00963306"/>
    <w:rsid w:val="009666B9"/>
    <w:rsid w:val="00967722"/>
    <w:rsid w:val="009708FC"/>
    <w:rsid w:val="00970C5F"/>
    <w:rsid w:val="00971BAB"/>
    <w:rsid w:val="00972134"/>
    <w:rsid w:val="009733F6"/>
    <w:rsid w:val="00973ECD"/>
    <w:rsid w:val="00974B66"/>
    <w:rsid w:val="009752B6"/>
    <w:rsid w:val="009755CF"/>
    <w:rsid w:val="009758AD"/>
    <w:rsid w:val="009765DA"/>
    <w:rsid w:val="00976CC3"/>
    <w:rsid w:val="009802A4"/>
    <w:rsid w:val="009809A6"/>
    <w:rsid w:val="009814C3"/>
    <w:rsid w:val="009835FE"/>
    <w:rsid w:val="0098487F"/>
    <w:rsid w:val="00984DD9"/>
    <w:rsid w:val="0098562E"/>
    <w:rsid w:val="00985C3E"/>
    <w:rsid w:val="00985F74"/>
    <w:rsid w:val="00986602"/>
    <w:rsid w:val="00986787"/>
    <w:rsid w:val="00990058"/>
    <w:rsid w:val="009908B9"/>
    <w:rsid w:val="0099176E"/>
    <w:rsid w:val="00991B56"/>
    <w:rsid w:val="00991FAB"/>
    <w:rsid w:val="0099282F"/>
    <w:rsid w:val="0099460F"/>
    <w:rsid w:val="00994C15"/>
    <w:rsid w:val="00995174"/>
    <w:rsid w:val="00995E4E"/>
    <w:rsid w:val="009963C8"/>
    <w:rsid w:val="00996402"/>
    <w:rsid w:val="009964F4"/>
    <w:rsid w:val="00996DE2"/>
    <w:rsid w:val="009972DF"/>
    <w:rsid w:val="00997F77"/>
    <w:rsid w:val="009A0F6D"/>
    <w:rsid w:val="009A2823"/>
    <w:rsid w:val="009A3405"/>
    <w:rsid w:val="009A37A3"/>
    <w:rsid w:val="009A3A27"/>
    <w:rsid w:val="009A5115"/>
    <w:rsid w:val="009A51C5"/>
    <w:rsid w:val="009A6524"/>
    <w:rsid w:val="009A6B02"/>
    <w:rsid w:val="009A6F9F"/>
    <w:rsid w:val="009A73AF"/>
    <w:rsid w:val="009A78DE"/>
    <w:rsid w:val="009B0037"/>
    <w:rsid w:val="009B1490"/>
    <w:rsid w:val="009B1F46"/>
    <w:rsid w:val="009B30EF"/>
    <w:rsid w:val="009B4256"/>
    <w:rsid w:val="009B42AB"/>
    <w:rsid w:val="009B431B"/>
    <w:rsid w:val="009B48F4"/>
    <w:rsid w:val="009B49D0"/>
    <w:rsid w:val="009B550F"/>
    <w:rsid w:val="009B569E"/>
    <w:rsid w:val="009B58BF"/>
    <w:rsid w:val="009B7C92"/>
    <w:rsid w:val="009C0767"/>
    <w:rsid w:val="009C1E60"/>
    <w:rsid w:val="009C3AE2"/>
    <w:rsid w:val="009C4532"/>
    <w:rsid w:val="009C4FD8"/>
    <w:rsid w:val="009C6E78"/>
    <w:rsid w:val="009C770C"/>
    <w:rsid w:val="009C7E75"/>
    <w:rsid w:val="009D0599"/>
    <w:rsid w:val="009D0705"/>
    <w:rsid w:val="009D20FD"/>
    <w:rsid w:val="009D381E"/>
    <w:rsid w:val="009D4090"/>
    <w:rsid w:val="009D4DEF"/>
    <w:rsid w:val="009D535B"/>
    <w:rsid w:val="009D59B8"/>
    <w:rsid w:val="009D5B5C"/>
    <w:rsid w:val="009D62E1"/>
    <w:rsid w:val="009D6460"/>
    <w:rsid w:val="009D717D"/>
    <w:rsid w:val="009D71A7"/>
    <w:rsid w:val="009E0799"/>
    <w:rsid w:val="009E0FEE"/>
    <w:rsid w:val="009E1A1B"/>
    <w:rsid w:val="009E1E2A"/>
    <w:rsid w:val="009E1FE1"/>
    <w:rsid w:val="009E3C23"/>
    <w:rsid w:val="009E405D"/>
    <w:rsid w:val="009E4DA8"/>
    <w:rsid w:val="009E5DB0"/>
    <w:rsid w:val="009E6E57"/>
    <w:rsid w:val="009E7250"/>
    <w:rsid w:val="009E7D3D"/>
    <w:rsid w:val="009E7EC6"/>
    <w:rsid w:val="009F0248"/>
    <w:rsid w:val="009F0AC7"/>
    <w:rsid w:val="009F1239"/>
    <w:rsid w:val="009F143F"/>
    <w:rsid w:val="009F3ABD"/>
    <w:rsid w:val="009F4209"/>
    <w:rsid w:val="009F5C2C"/>
    <w:rsid w:val="009F5FF8"/>
    <w:rsid w:val="00A005E2"/>
    <w:rsid w:val="00A02133"/>
    <w:rsid w:val="00A03588"/>
    <w:rsid w:val="00A0380B"/>
    <w:rsid w:val="00A0556E"/>
    <w:rsid w:val="00A05571"/>
    <w:rsid w:val="00A07547"/>
    <w:rsid w:val="00A07C0A"/>
    <w:rsid w:val="00A10215"/>
    <w:rsid w:val="00A11520"/>
    <w:rsid w:val="00A116F2"/>
    <w:rsid w:val="00A12658"/>
    <w:rsid w:val="00A14423"/>
    <w:rsid w:val="00A1516A"/>
    <w:rsid w:val="00A156E1"/>
    <w:rsid w:val="00A156E7"/>
    <w:rsid w:val="00A160C1"/>
    <w:rsid w:val="00A17901"/>
    <w:rsid w:val="00A17A55"/>
    <w:rsid w:val="00A21700"/>
    <w:rsid w:val="00A226C0"/>
    <w:rsid w:val="00A23344"/>
    <w:rsid w:val="00A239B9"/>
    <w:rsid w:val="00A23B5C"/>
    <w:rsid w:val="00A24668"/>
    <w:rsid w:val="00A24BEB"/>
    <w:rsid w:val="00A24C4E"/>
    <w:rsid w:val="00A26D63"/>
    <w:rsid w:val="00A26E30"/>
    <w:rsid w:val="00A27352"/>
    <w:rsid w:val="00A274D4"/>
    <w:rsid w:val="00A3141F"/>
    <w:rsid w:val="00A32350"/>
    <w:rsid w:val="00A330F8"/>
    <w:rsid w:val="00A3577D"/>
    <w:rsid w:val="00A35D6B"/>
    <w:rsid w:val="00A37708"/>
    <w:rsid w:val="00A40594"/>
    <w:rsid w:val="00A409CA"/>
    <w:rsid w:val="00A41A0C"/>
    <w:rsid w:val="00A41E8F"/>
    <w:rsid w:val="00A4225C"/>
    <w:rsid w:val="00A4487D"/>
    <w:rsid w:val="00A45013"/>
    <w:rsid w:val="00A4719A"/>
    <w:rsid w:val="00A500D8"/>
    <w:rsid w:val="00A51535"/>
    <w:rsid w:val="00A51916"/>
    <w:rsid w:val="00A52803"/>
    <w:rsid w:val="00A52A34"/>
    <w:rsid w:val="00A52F77"/>
    <w:rsid w:val="00A5305C"/>
    <w:rsid w:val="00A54323"/>
    <w:rsid w:val="00A56179"/>
    <w:rsid w:val="00A563F9"/>
    <w:rsid w:val="00A56D98"/>
    <w:rsid w:val="00A607DC"/>
    <w:rsid w:val="00A60D4D"/>
    <w:rsid w:val="00A6131B"/>
    <w:rsid w:val="00A61356"/>
    <w:rsid w:val="00A6158D"/>
    <w:rsid w:val="00A6691F"/>
    <w:rsid w:val="00A70AEA"/>
    <w:rsid w:val="00A71A4C"/>
    <w:rsid w:val="00A72609"/>
    <w:rsid w:val="00A72680"/>
    <w:rsid w:val="00A73066"/>
    <w:rsid w:val="00A7385E"/>
    <w:rsid w:val="00A74FC0"/>
    <w:rsid w:val="00A75892"/>
    <w:rsid w:val="00A758FE"/>
    <w:rsid w:val="00A76406"/>
    <w:rsid w:val="00A800E9"/>
    <w:rsid w:val="00A83898"/>
    <w:rsid w:val="00A84B03"/>
    <w:rsid w:val="00A851A3"/>
    <w:rsid w:val="00A8690C"/>
    <w:rsid w:val="00A903C3"/>
    <w:rsid w:val="00A90644"/>
    <w:rsid w:val="00A90B8F"/>
    <w:rsid w:val="00A91B77"/>
    <w:rsid w:val="00A92EB7"/>
    <w:rsid w:val="00A93BED"/>
    <w:rsid w:val="00A944B9"/>
    <w:rsid w:val="00A94A02"/>
    <w:rsid w:val="00A978DF"/>
    <w:rsid w:val="00A979FF"/>
    <w:rsid w:val="00AA1B8C"/>
    <w:rsid w:val="00AA2B77"/>
    <w:rsid w:val="00AA373B"/>
    <w:rsid w:val="00AA3CC8"/>
    <w:rsid w:val="00AA606B"/>
    <w:rsid w:val="00AB1FBD"/>
    <w:rsid w:val="00AB49EB"/>
    <w:rsid w:val="00AB506E"/>
    <w:rsid w:val="00AB5C6D"/>
    <w:rsid w:val="00AB5DAF"/>
    <w:rsid w:val="00AB67A6"/>
    <w:rsid w:val="00AC02D3"/>
    <w:rsid w:val="00AC0AF1"/>
    <w:rsid w:val="00AC3E8D"/>
    <w:rsid w:val="00AC4315"/>
    <w:rsid w:val="00AC4B1A"/>
    <w:rsid w:val="00AC4BF8"/>
    <w:rsid w:val="00AC5120"/>
    <w:rsid w:val="00AC7009"/>
    <w:rsid w:val="00AC7E2C"/>
    <w:rsid w:val="00AD0251"/>
    <w:rsid w:val="00AD286A"/>
    <w:rsid w:val="00AD4970"/>
    <w:rsid w:val="00AD5359"/>
    <w:rsid w:val="00AD54D6"/>
    <w:rsid w:val="00AD6422"/>
    <w:rsid w:val="00AE139B"/>
    <w:rsid w:val="00AE146A"/>
    <w:rsid w:val="00AE1DCA"/>
    <w:rsid w:val="00AE268A"/>
    <w:rsid w:val="00AE2C6B"/>
    <w:rsid w:val="00AE49CB"/>
    <w:rsid w:val="00AE4F43"/>
    <w:rsid w:val="00AE546D"/>
    <w:rsid w:val="00AE6280"/>
    <w:rsid w:val="00AE71F7"/>
    <w:rsid w:val="00AF0031"/>
    <w:rsid w:val="00AF06B1"/>
    <w:rsid w:val="00AF0BCD"/>
    <w:rsid w:val="00AF25EB"/>
    <w:rsid w:val="00AF41F2"/>
    <w:rsid w:val="00AF550D"/>
    <w:rsid w:val="00AF58F4"/>
    <w:rsid w:val="00AF631E"/>
    <w:rsid w:val="00AF6FD0"/>
    <w:rsid w:val="00B013FB"/>
    <w:rsid w:val="00B036F6"/>
    <w:rsid w:val="00B054AD"/>
    <w:rsid w:val="00B07008"/>
    <w:rsid w:val="00B10FEA"/>
    <w:rsid w:val="00B12691"/>
    <w:rsid w:val="00B13C32"/>
    <w:rsid w:val="00B16AA6"/>
    <w:rsid w:val="00B16FCF"/>
    <w:rsid w:val="00B2176C"/>
    <w:rsid w:val="00B21DAA"/>
    <w:rsid w:val="00B21FCA"/>
    <w:rsid w:val="00B242D4"/>
    <w:rsid w:val="00B252AB"/>
    <w:rsid w:val="00B254FD"/>
    <w:rsid w:val="00B27E1F"/>
    <w:rsid w:val="00B30757"/>
    <w:rsid w:val="00B30836"/>
    <w:rsid w:val="00B30981"/>
    <w:rsid w:val="00B30AB4"/>
    <w:rsid w:val="00B30C64"/>
    <w:rsid w:val="00B317CB"/>
    <w:rsid w:val="00B31C78"/>
    <w:rsid w:val="00B31FDC"/>
    <w:rsid w:val="00B323D3"/>
    <w:rsid w:val="00B32723"/>
    <w:rsid w:val="00B32E07"/>
    <w:rsid w:val="00B33161"/>
    <w:rsid w:val="00B3435C"/>
    <w:rsid w:val="00B36575"/>
    <w:rsid w:val="00B36B4E"/>
    <w:rsid w:val="00B3769C"/>
    <w:rsid w:val="00B40958"/>
    <w:rsid w:val="00B41350"/>
    <w:rsid w:val="00B42B6E"/>
    <w:rsid w:val="00B44E8F"/>
    <w:rsid w:val="00B50668"/>
    <w:rsid w:val="00B51CA0"/>
    <w:rsid w:val="00B526CB"/>
    <w:rsid w:val="00B5383F"/>
    <w:rsid w:val="00B53C19"/>
    <w:rsid w:val="00B54AC1"/>
    <w:rsid w:val="00B54C6E"/>
    <w:rsid w:val="00B562BF"/>
    <w:rsid w:val="00B56D48"/>
    <w:rsid w:val="00B570E0"/>
    <w:rsid w:val="00B57193"/>
    <w:rsid w:val="00B60613"/>
    <w:rsid w:val="00B61874"/>
    <w:rsid w:val="00B658A6"/>
    <w:rsid w:val="00B669B8"/>
    <w:rsid w:val="00B66F0D"/>
    <w:rsid w:val="00B679AA"/>
    <w:rsid w:val="00B71C4C"/>
    <w:rsid w:val="00B71CC5"/>
    <w:rsid w:val="00B7474F"/>
    <w:rsid w:val="00B751B7"/>
    <w:rsid w:val="00B75540"/>
    <w:rsid w:val="00B76F02"/>
    <w:rsid w:val="00B81CFB"/>
    <w:rsid w:val="00B8261C"/>
    <w:rsid w:val="00B82647"/>
    <w:rsid w:val="00B83817"/>
    <w:rsid w:val="00B83941"/>
    <w:rsid w:val="00B84342"/>
    <w:rsid w:val="00B85ECD"/>
    <w:rsid w:val="00B9111A"/>
    <w:rsid w:val="00B911C4"/>
    <w:rsid w:val="00B9159C"/>
    <w:rsid w:val="00B92CF1"/>
    <w:rsid w:val="00B93857"/>
    <w:rsid w:val="00B953C9"/>
    <w:rsid w:val="00B95607"/>
    <w:rsid w:val="00B96375"/>
    <w:rsid w:val="00B96A2A"/>
    <w:rsid w:val="00B9738D"/>
    <w:rsid w:val="00BA11AF"/>
    <w:rsid w:val="00BA1515"/>
    <w:rsid w:val="00BA223B"/>
    <w:rsid w:val="00BA316B"/>
    <w:rsid w:val="00BA371F"/>
    <w:rsid w:val="00BA3756"/>
    <w:rsid w:val="00BA6106"/>
    <w:rsid w:val="00BA7AD5"/>
    <w:rsid w:val="00BB0143"/>
    <w:rsid w:val="00BB28AD"/>
    <w:rsid w:val="00BB32EF"/>
    <w:rsid w:val="00BB4AFD"/>
    <w:rsid w:val="00BB5995"/>
    <w:rsid w:val="00BB6B8C"/>
    <w:rsid w:val="00BB700B"/>
    <w:rsid w:val="00BB731F"/>
    <w:rsid w:val="00BB7434"/>
    <w:rsid w:val="00BB7797"/>
    <w:rsid w:val="00BB7FE0"/>
    <w:rsid w:val="00BC096D"/>
    <w:rsid w:val="00BC34E0"/>
    <w:rsid w:val="00BC3959"/>
    <w:rsid w:val="00BC4CFB"/>
    <w:rsid w:val="00BC54FF"/>
    <w:rsid w:val="00BC55BC"/>
    <w:rsid w:val="00BC751F"/>
    <w:rsid w:val="00BD0FFA"/>
    <w:rsid w:val="00BD1874"/>
    <w:rsid w:val="00BD1D8E"/>
    <w:rsid w:val="00BD1E8F"/>
    <w:rsid w:val="00BD232B"/>
    <w:rsid w:val="00BD2498"/>
    <w:rsid w:val="00BD2D4F"/>
    <w:rsid w:val="00BD2DBA"/>
    <w:rsid w:val="00BD30E2"/>
    <w:rsid w:val="00BD41E6"/>
    <w:rsid w:val="00BD4888"/>
    <w:rsid w:val="00BD49BE"/>
    <w:rsid w:val="00BD4B16"/>
    <w:rsid w:val="00BD70B3"/>
    <w:rsid w:val="00BE1BB9"/>
    <w:rsid w:val="00BE1E42"/>
    <w:rsid w:val="00BE2D08"/>
    <w:rsid w:val="00BE4DFE"/>
    <w:rsid w:val="00BE5627"/>
    <w:rsid w:val="00BE7AF8"/>
    <w:rsid w:val="00BF2843"/>
    <w:rsid w:val="00BF2C4B"/>
    <w:rsid w:val="00BF2DEF"/>
    <w:rsid w:val="00BF2F34"/>
    <w:rsid w:val="00BF4F3F"/>
    <w:rsid w:val="00BF69FE"/>
    <w:rsid w:val="00BF7738"/>
    <w:rsid w:val="00C01694"/>
    <w:rsid w:val="00C018A3"/>
    <w:rsid w:val="00C01FD1"/>
    <w:rsid w:val="00C02285"/>
    <w:rsid w:val="00C02BF8"/>
    <w:rsid w:val="00C02C45"/>
    <w:rsid w:val="00C03795"/>
    <w:rsid w:val="00C03F6B"/>
    <w:rsid w:val="00C04C65"/>
    <w:rsid w:val="00C05204"/>
    <w:rsid w:val="00C0591B"/>
    <w:rsid w:val="00C06FC2"/>
    <w:rsid w:val="00C07431"/>
    <w:rsid w:val="00C07689"/>
    <w:rsid w:val="00C10A2C"/>
    <w:rsid w:val="00C129CF"/>
    <w:rsid w:val="00C12FD8"/>
    <w:rsid w:val="00C1307B"/>
    <w:rsid w:val="00C13DB8"/>
    <w:rsid w:val="00C15AEA"/>
    <w:rsid w:val="00C1627F"/>
    <w:rsid w:val="00C166E7"/>
    <w:rsid w:val="00C168AA"/>
    <w:rsid w:val="00C174EE"/>
    <w:rsid w:val="00C17C92"/>
    <w:rsid w:val="00C23311"/>
    <w:rsid w:val="00C23A34"/>
    <w:rsid w:val="00C25D49"/>
    <w:rsid w:val="00C26A69"/>
    <w:rsid w:val="00C317E2"/>
    <w:rsid w:val="00C31D1A"/>
    <w:rsid w:val="00C32438"/>
    <w:rsid w:val="00C327AD"/>
    <w:rsid w:val="00C32DF7"/>
    <w:rsid w:val="00C33961"/>
    <w:rsid w:val="00C33C20"/>
    <w:rsid w:val="00C342C2"/>
    <w:rsid w:val="00C35C4F"/>
    <w:rsid w:val="00C407C5"/>
    <w:rsid w:val="00C41A4C"/>
    <w:rsid w:val="00C41E3D"/>
    <w:rsid w:val="00C41F45"/>
    <w:rsid w:val="00C42199"/>
    <w:rsid w:val="00C438FC"/>
    <w:rsid w:val="00C43B67"/>
    <w:rsid w:val="00C450C0"/>
    <w:rsid w:val="00C45775"/>
    <w:rsid w:val="00C45918"/>
    <w:rsid w:val="00C45C41"/>
    <w:rsid w:val="00C4612A"/>
    <w:rsid w:val="00C4711E"/>
    <w:rsid w:val="00C50F5C"/>
    <w:rsid w:val="00C51DC6"/>
    <w:rsid w:val="00C532B2"/>
    <w:rsid w:val="00C5396F"/>
    <w:rsid w:val="00C53DE1"/>
    <w:rsid w:val="00C546D0"/>
    <w:rsid w:val="00C54DC6"/>
    <w:rsid w:val="00C56ADD"/>
    <w:rsid w:val="00C57E33"/>
    <w:rsid w:val="00C61BC2"/>
    <w:rsid w:val="00C61EC6"/>
    <w:rsid w:val="00C61EDE"/>
    <w:rsid w:val="00C62AEB"/>
    <w:rsid w:val="00C64092"/>
    <w:rsid w:val="00C65957"/>
    <w:rsid w:val="00C70247"/>
    <w:rsid w:val="00C702DF"/>
    <w:rsid w:val="00C72A5C"/>
    <w:rsid w:val="00C73082"/>
    <w:rsid w:val="00C74C72"/>
    <w:rsid w:val="00C75A22"/>
    <w:rsid w:val="00C75C46"/>
    <w:rsid w:val="00C7613C"/>
    <w:rsid w:val="00C7687A"/>
    <w:rsid w:val="00C777BF"/>
    <w:rsid w:val="00C77848"/>
    <w:rsid w:val="00C81A1F"/>
    <w:rsid w:val="00C82684"/>
    <w:rsid w:val="00C826B9"/>
    <w:rsid w:val="00C82F17"/>
    <w:rsid w:val="00C833ED"/>
    <w:rsid w:val="00C837E2"/>
    <w:rsid w:val="00C8456C"/>
    <w:rsid w:val="00C85290"/>
    <w:rsid w:val="00C8601E"/>
    <w:rsid w:val="00C860CB"/>
    <w:rsid w:val="00C8669B"/>
    <w:rsid w:val="00C87011"/>
    <w:rsid w:val="00C873F2"/>
    <w:rsid w:val="00C874FC"/>
    <w:rsid w:val="00C90EB4"/>
    <w:rsid w:val="00C91006"/>
    <w:rsid w:val="00C91FB8"/>
    <w:rsid w:val="00C94E3F"/>
    <w:rsid w:val="00C9520A"/>
    <w:rsid w:val="00C9587B"/>
    <w:rsid w:val="00C972CC"/>
    <w:rsid w:val="00C97386"/>
    <w:rsid w:val="00C97E63"/>
    <w:rsid w:val="00CA0420"/>
    <w:rsid w:val="00CA05E5"/>
    <w:rsid w:val="00CA0DBB"/>
    <w:rsid w:val="00CA145E"/>
    <w:rsid w:val="00CA1580"/>
    <w:rsid w:val="00CA17C4"/>
    <w:rsid w:val="00CA1BC5"/>
    <w:rsid w:val="00CA2551"/>
    <w:rsid w:val="00CA2BAE"/>
    <w:rsid w:val="00CA3944"/>
    <w:rsid w:val="00CA400F"/>
    <w:rsid w:val="00CA4E93"/>
    <w:rsid w:val="00CA7987"/>
    <w:rsid w:val="00CA79FB"/>
    <w:rsid w:val="00CA7E35"/>
    <w:rsid w:val="00CB00C5"/>
    <w:rsid w:val="00CB1BC9"/>
    <w:rsid w:val="00CB1E4B"/>
    <w:rsid w:val="00CB28E1"/>
    <w:rsid w:val="00CB2E15"/>
    <w:rsid w:val="00CB35FC"/>
    <w:rsid w:val="00CB3780"/>
    <w:rsid w:val="00CB4B2F"/>
    <w:rsid w:val="00CB5B91"/>
    <w:rsid w:val="00CB5CA9"/>
    <w:rsid w:val="00CB604F"/>
    <w:rsid w:val="00CB639B"/>
    <w:rsid w:val="00CB74F3"/>
    <w:rsid w:val="00CC069C"/>
    <w:rsid w:val="00CC111F"/>
    <w:rsid w:val="00CC2E61"/>
    <w:rsid w:val="00CC3C6F"/>
    <w:rsid w:val="00CC4003"/>
    <w:rsid w:val="00CC4A66"/>
    <w:rsid w:val="00CC618F"/>
    <w:rsid w:val="00CC6800"/>
    <w:rsid w:val="00CC6B43"/>
    <w:rsid w:val="00CC6E16"/>
    <w:rsid w:val="00CC6F64"/>
    <w:rsid w:val="00CD0183"/>
    <w:rsid w:val="00CD032E"/>
    <w:rsid w:val="00CD10A0"/>
    <w:rsid w:val="00CD44B6"/>
    <w:rsid w:val="00CD48AA"/>
    <w:rsid w:val="00CD5681"/>
    <w:rsid w:val="00CD60D5"/>
    <w:rsid w:val="00CD63D7"/>
    <w:rsid w:val="00CD6D85"/>
    <w:rsid w:val="00CD6E7E"/>
    <w:rsid w:val="00CD7297"/>
    <w:rsid w:val="00CD75EF"/>
    <w:rsid w:val="00CE0536"/>
    <w:rsid w:val="00CE1AFC"/>
    <w:rsid w:val="00CE2FE7"/>
    <w:rsid w:val="00CE30FF"/>
    <w:rsid w:val="00CE349A"/>
    <w:rsid w:val="00CE430A"/>
    <w:rsid w:val="00CE45B4"/>
    <w:rsid w:val="00CE6021"/>
    <w:rsid w:val="00CE60E9"/>
    <w:rsid w:val="00CE6465"/>
    <w:rsid w:val="00CE68DA"/>
    <w:rsid w:val="00CF029C"/>
    <w:rsid w:val="00CF0943"/>
    <w:rsid w:val="00CF11AA"/>
    <w:rsid w:val="00CF1426"/>
    <w:rsid w:val="00CF3092"/>
    <w:rsid w:val="00CF3527"/>
    <w:rsid w:val="00CF385E"/>
    <w:rsid w:val="00CF3997"/>
    <w:rsid w:val="00CF3BFD"/>
    <w:rsid w:val="00CF4754"/>
    <w:rsid w:val="00CF5374"/>
    <w:rsid w:val="00CF5D57"/>
    <w:rsid w:val="00CF69DA"/>
    <w:rsid w:val="00CF71C0"/>
    <w:rsid w:val="00D02091"/>
    <w:rsid w:val="00D03A31"/>
    <w:rsid w:val="00D04116"/>
    <w:rsid w:val="00D04B63"/>
    <w:rsid w:val="00D0541E"/>
    <w:rsid w:val="00D06088"/>
    <w:rsid w:val="00D1079C"/>
    <w:rsid w:val="00D10AE3"/>
    <w:rsid w:val="00D10D03"/>
    <w:rsid w:val="00D12162"/>
    <w:rsid w:val="00D169B2"/>
    <w:rsid w:val="00D1768A"/>
    <w:rsid w:val="00D17B41"/>
    <w:rsid w:val="00D200BD"/>
    <w:rsid w:val="00D20956"/>
    <w:rsid w:val="00D20D70"/>
    <w:rsid w:val="00D2103E"/>
    <w:rsid w:val="00D22B6A"/>
    <w:rsid w:val="00D23279"/>
    <w:rsid w:val="00D26AB0"/>
    <w:rsid w:val="00D26FB6"/>
    <w:rsid w:val="00D27301"/>
    <w:rsid w:val="00D30096"/>
    <w:rsid w:val="00D3035C"/>
    <w:rsid w:val="00D32E66"/>
    <w:rsid w:val="00D340FA"/>
    <w:rsid w:val="00D34974"/>
    <w:rsid w:val="00D34B69"/>
    <w:rsid w:val="00D34EEB"/>
    <w:rsid w:val="00D35E2F"/>
    <w:rsid w:val="00D375F0"/>
    <w:rsid w:val="00D37787"/>
    <w:rsid w:val="00D37831"/>
    <w:rsid w:val="00D37CDD"/>
    <w:rsid w:val="00D37CFD"/>
    <w:rsid w:val="00D42D21"/>
    <w:rsid w:val="00D42E6E"/>
    <w:rsid w:val="00D43517"/>
    <w:rsid w:val="00D43D66"/>
    <w:rsid w:val="00D43F15"/>
    <w:rsid w:val="00D442DE"/>
    <w:rsid w:val="00D44319"/>
    <w:rsid w:val="00D44550"/>
    <w:rsid w:val="00D45DEA"/>
    <w:rsid w:val="00D46D10"/>
    <w:rsid w:val="00D46DEC"/>
    <w:rsid w:val="00D46F21"/>
    <w:rsid w:val="00D4772D"/>
    <w:rsid w:val="00D525CA"/>
    <w:rsid w:val="00D5486C"/>
    <w:rsid w:val="00D54DE3"/>
    <w:rsid w:val="00D565F7"/>
    <w:rsid w:val="00D5662A"/>
    <w:rsid w:val="00D56C1F"/>
    <w:rsid w:val="00D56FD9"/>
    <w:rsid w:val="00D619D5"/>
    <w:rsid w:val="00D6216E"/>
    <w:rsid w:val="00D62819"/>
    <w:rsid w:val="00D63CAD"/>
    <w:rsid w:val="00D64627"/>
    <w:rsid w:val="00D650DC"/>
    <w:rsid w:val="00D659B7"/>
    <w:rsid w:val="00D65FDE"/>
    <w:rsid w:val="00D66CF1"/>
    <w:rsid w:val="00D67D1E"/>
    <w:rsid w:val="00D71EEC"/>
    <w:rsid w:val="00D72979"/>
    <w:rsid w:val="00D72A79"/>
    <w:rsid w:val="00D749B8"/>
    <w:rsid w:val="00D74DC0"/>
    <w:rsid w:val="00D750B6"/>
    <w:rsid w:val="00D750BD"/>
    <w:rsid w:val="00D75E08"/>
    <w:rsid w:val="00D7684E"/>
    <w:rsid w:val="00D778CD"/>
    <w:rsid w:val="00D77A6D"/>
    <w:rsid w:val="00D80B76"/>
    <w:rsid w:val="00D81C43"/>
    <w:rsid w:val="00D8353D"/>
    <w:rsid w:val="00D84218"/>
    <w:rsid w:val="00D8517B"/>
    <w:rsid w:val="00D85187"/>
    <w:rsid w:val="00D85563"/>
    <w:rsid w:val="00D86130"/>
    <w:rsid w:val="00D86AAD"/>
    <w:rsid w:val="00D91B47"/>
    <w:rsid w:val="00D91B5E"/>
    <w:rsid w:val="00D91D69"/>
    <w:rsid w:val="00D924A4"/>
    <w:rsid w:val="00D92697"/>
    <w:rsid w:val="00D92E1B"/>
    <w:rsid w:val="00D92F56"/>
    <w:rsid w:val="00D9306E"/>
    <w:rsid w:val="00D930FB"/>
    <w:rsid w:val="00D9342F"/>
    <w:rsid w:val="00D948B5"/>
    <w:rsid w:val="00D960A2"/>
    <w:rsid w:val="00DA226C"/>
    <w:rsid w:val="00DA34AD"/>
    <w:rsid w:val="00DA36FF"/>
    <w:rsid w:val="00DA37FE"/>
    <w:rsid w:val="00DA4296"/>
    <w:rsid w:val="00DB0F1E"/>
    <w:rsid w:val="00DB201D"/>
    <w:rsid w:val="00DB2890"/>
    <w:rsid w:val="00DB3B4F"/>
    <w:rsid w:val="00DB4A8D"/>
    <w:rsid w:val="00DB4AB6"/>
    <w:rsid w:val="00DB6516"/>
    <w:rsid w:val="00DB664F"/>
    <w:rsid w:val="00DB676D"/>
    <w:rsid w:val="00DB6C8F"/>
    <w:rsid w:val="00DB7BF7"/>
    <w:rsid w:val="00DC01CD"/>
    <w:rsid w:val="00DC0C15"/>
    <w:rsid w:val="00DC146E"/>
    <w:rsid w:val="00DC3875"/>
    <w:rsid w:val="00DC5295"/>
    <w:rsid w:val="00DC5F44"/>
    <w:rsid w:val="00DC7673"/>
    <w:rsid w:val="00DC78DB"/>
    <w:rsid w:val="00DD04C9"/>
    <w:rsid w:val="00DD3F96"/>
    <w:rsid w:val="00DD41F6"/>
    <w:rsid w:val="00DD4CDA"/>
    <w:rsid w:val="00DD633C"/>
    <w:rsid w:val="00DD69E2"/>
    <w:rsid w:val="00DD7211"/>
    <w:rsid w:val="00DD7D38"/>
    <w:rsid w:val="00DE1162"/>
    <w:rsid w:val="00DE26D6"/>
    <w:rsid w:val="00DE273C"/>
    <w:rsid w:val="00DE2F85"/>
    <w:rsid w:val="00DE3B12"/>
    <w:rsid w:val="00DE5000"/>
    <w:rsid w:val="00DE5409"/>
    <w:rsid w:val="00DE54C4"/>
    <w:rsid w:val="00DE60DC"/>
    <w:rsid w:val="00DE6279"/>
    <w:rsid w:val="00DE6830"/>
    <w:rsid w:val="00DE76AB"/>
    <w:rsid w:val="00DF26E1"/>
    <w:rsid w:val="00DF28B0"/>
    <w:rsid w:val="00DF3FC1"/>
    <w:rsid w:val="00DF4DB0"/>
    <w:rsid w:val="00DF58F4"/>
    <w:rsid w:val="00DF63CC"/>
    <w:rsid w:val="00DF7FC4"/>
    <w:rsid w:val="00E0011F"/>
    <w:rsid w:val="00E002AE"/>
    <w:rsid w:val="00E002B3"/>
    <w:rsid w:val="00E02138"/>
    <w:rsid w:val="00E05350"/>
    <w:rsid w:val="00E06380"/>
    <w:rsid w:val="00E068E1"/>
    <w:rsid w:val="00E06BC5"/>
    <w:rsid w:val="00E0745D"/>
    <w:rsid w:val="00E11753"/>
    <w:rsid w:val="00E12265"/>
    <w:rsid w:val="00E141A1"/>
    <w:rsid w:val="00E148DD"/>
    <w:rsid w:val="00E159C1"/>
    <w:rsid w:val="00E1654C"/>
    <w:rsid w:val="00E17D8C"/>
    <w:rsid w:val="00E211B2"/>
    <w:rsid w:val="00E21E0F"/>
    <w:rsid w:val="00E220AF"/>
    <w:rsid w:val="00E24DCC"/>
    <w:rsid w:val="00E25C6D"/>
    <w:rsid w:val="00E26A1B"/>
    <w:rsid w:val="00E27B6C"/>
    <w:rsid w:val="00E309BE"/>
    <w:rsid w:val="00E3224F"/>
    <w:rsid w:val="00E33C7F"/>
    <w:rsid w:val="00E34927"/>
    <w:rsid w:val="00E35D02"/>
    <w:rsid w:val="00E3669F"/>
    <w:rsid w:val="00E36E6C"/>
    <w:rsid w:val="00E37EE4"/>
    <w:rsid w:val="00E40262"/>
    <w:rsid w:val="00E4131F"/>
    <w:rsid w:val="00E4197C"/>
    <w:rsid w:val="00E41C05"/>
    <w:rsid w:val="00E42A1B"/>
    <w:rsid w:val="00E43476"/>
    <w:rsid w:val="00E43C31"/>
    <w:rsid w:val="00E4498B"/>
    <w:rsid w:val="00E45665"/>
    <w:rsid w:val="00E4587E"/>
    <w:rsid w:val="00E51DEE"/>
    <w:rsid w:val="00E520E9"/>
    <w:rsid w:val="00E52D7F"/>
    <w:rsid w:val="00E53DCA"/>
    <w:rsid w:val="00E551EA"/>
    <w:rsid w:val="00E57A3B"/>
    <w:rsid w:val="00E57C4B"/>
    <w:rsid w:val="00E57E24"/>
    <w:rsid w:val="00E608C0"/>
    <w:rsid w:val="00E60A39"/>
    <w:rsid w:val="00E61036"/>
    <w:rsid w:val="00E637F0"/>
    <w:rsid w:val="00E63D99"/>
    <w:rsid w:val="00E64AA9"/>
    <w:rsid w:val="00E6513F"/>
    <w:rsid w:val="00E676B1"/>
    <w:rsid w:val="00E67E87"/>
    <w:rsid w:val="00E7045F"/>
    <w:rsid w:val="00E70ABF"/>
    <w:rsid w:val="00E715CC"/>
    <w:rsid w:val="00E72576"/>
    <w:rsid w:val="00E733DC"/>
    <w:rsid w:val="00E73901"/>
    <w:rsid w:val="00E74FE5"/>
    <w:rsid w:val="00E76101"/>
    <w:rsid w:val="00E769A9"/>
    <w:rsid w:val="00E812DC"/>
    <w:rsid w:val="00E812FD"/>
    <w:rsid w:val="00E831FF"/>
    <w:rsid w:val="00E833DF"/>
    <w:rsid w:val="00E8397B"/>
    <w:rsid w:val="00E840EA"/>
    <w:rsid w:val="00E84BB6"/>
    <w:rsid w:val="00E862B8"/>
    <w:rsid w:val="00E86800"/>
    <w:rsid w:val="00E86D7D"/>
    <w:rsid w:val="00E87069"/>
    <w:rsid w:val="00E9143B"/>
    <w:rsid w:val="00E919DF"/>
    <w:rsid w:val="00E91D0A"/>
    <w:rsid w:val="00E92234"/>
    <w:rsid w:val="00E92925"/>
    <w:rsid w:val="00E93795"/>
    <w:rsid w:val="00E953E8"/>
    <w:rsid w:val="00E9572E"/>
    <w:rsid w:val="00E95E3D"/>
    <w:rsid w:val="00E96503"/>
    <w:rsid w:val="00E965DE"/>
    <w:rsid w:val="00EA03D8"/>
    <w:rsid w:val="00EA060C"/>
    <w:rsid w:val="00EA196D"/>
    <w:rsid w:val="00EA1E4E"/>
    <w:rsid w:val="00EA21AB"/>
    <w:rsid w:val="00EA2E9D"/>
    <w:rsid w:val="00EA3390"/>
    <w:rsid w:val="00EA46C8"/>
    <w:rsid w:val="00EA4ED6"/>
    <w:rsid w:val="00EA597A"/>
    <w:rsid w:val="00EA63E8"/>
    <w:rsid w:val="00EA70D2"/>
    <w:rsid w:val="00EB1071"/>
    <w:rsid w:val="00EB1275"/>
    <w:rsid w:val="00EB177E"/>
    <w:rsid w:val="00EB2660"/>
    <w:rsid w:val="00EB34B5"/>
    <w:rsid w:val="00EB471D"/>
    <w:rsid w:val="00EB4CB9"/>
    <w:rsid w:val="00EB5F5A"/>
    <w:rsid w:val="00EC0E29"/>
    <w:rsid w:val="00EC13E7"/>
    <w:rsid w:val="00EC1811"/>
    <w:rsid w:val="00EC2070"/>
    <w:rsid w:val="00EC3BCD"/>
    <w:rsid w:val="00EC3E33"/>
    <w:rsid w:val="00EC746E"/>
    <w:rsid w:val="00EC74FA"/>
    <w:rsid w:val="00ED0E51"/>
    <w:rsid w:val="00ED13A0"/>
    <w:rsid w:val="00ED4622"/>
    <w:rsid w:val="00ED5C1F"/>
    <w:rsid w:val="00EE0472"/>
    <w:rsid w:val="00EE4107"/>
    <w:rsid w:val="00EE4DBE"/>
    <w:rsid w:val="00EE4E10"/>
    <w:rsid w:val="00EF08DA"/>
    <w:rsid w:val="00EF0A08"/>
    <w:rsid w:val="00EF0C57"/>
    <w:rsid w:val="00EF0DE9"/>
    <w:rsid w:val="00EF1E4C"/>
    <w:rsid w:val="00EF2E68"/>
    <w:rsid w:val="00EF2FBF"/>
    <w:rsid w:val="00EF3818"/>
    <w:rsid w:val="00EF4217"/>
    <w:rsid w:val="00EF44BB"/>
    <w:rsid w:val="00EF44DF"/>
    <w:rsid w:val="00EF59D7"/>
    <w:rsid w:val="00F0123C"/>
    <w:rsid w:val="00F01B46"/>
    <w:rsid w:val="00F02BA8"/>
    <w:rsid w:val="00F02F82"/>
    <w:rsid w:val="00F02FBA"/>
    <w:rsid w:val="00F03D63"/>
    <w:rsid w:val="00F042AE"/>
    <w:rsid w:val="00F05321"/>
    <w:rsid w:val="00F063D9"/>
    <w:rsid w:val="00F06554"/>
    <w:rsid w:val="00F07BD0"/>
    <w:rsid w:val="00F102D0"/>
    <w:rsid w:val="00F11A2E"/>
    <w:rsid w:val="00F12866"/>
    <w:rsid w:val="00F13934"/>
    <w:rsid w:val="00F14245"/>
    <w:rsid w:val="00F1536A"/>
    <w:rsid w:val="00F15D31"/>
    <w:rsid w:val="00F15F3A"/>
    <w:rsid w:val="00F15FF3"/>
    <w:rsid w:val="00F16957"/>
    <w:rsid w:val="00F178DC"/>
    <w:rsid w:val="00F17AA2"/>
    <w:rsid w:val="00F20438"/>
    <w:rsid w:val="00F24301"/>
    <w:rsid w:val="00F24AF3"/>
    <w:rsid w:val="00F252A9"/>
    <w:rsid w:val="00F25B15"/>
    <w:rsid w:val="00F26D1C"/>
    <w:rsid w:val="00F26D5C"/>
    <w:rsid w:val="00F26E91"/>
    <w:rsid w:val="00F2716C"/>
    <w:rsid w:val="00F31045"/>
    <w:rsid w:val="00F32C7C"/>
    <w:rsid w:val="00F33DE1"/>
    <w:rsid w:val="00F357FC"/>
    <w:rsid w:val="00F35816"/>
    <w:rsid w:val="00F36950"/>
    <w:rsid w:val="00F41427"/>
    <w:rsid w:val="00F4172C"/>
    <w:rsid w:val="00F4239E"/>
    <w:rsid w:val="00F44D22"/>
    <w:rsid w:val="00F453A5"/>
    <w:rsid w:val="00F45AC6"/>
    <w:rsid w:val="00F45FBD"/>
    <w:rsid w:val="00F461FD"/>
    <w:rsid w:val="00F46EB8"/>
    <w:rsid w:val="00F500D3"/>
    <w:rsid w:val="00F500DD"/>
    <w:rsid w:val="00F505C8"/>
    <w:rsid w:val="00F525C3"/>
    <w:rsid w:val="00F53BB3"/>
    <w:rsid w:val="00F542DE"/>
    <w:rsid w:val="00F54B37"/>
    <w:rsid w:val="00F54E4D"/>
    <w:rsid w:val="00F560F6"/>
    <w:rsid w:val="00F56429"/>
    <w:rsid w:val="00F578E7"/>
    <w:rsid w:val="00F6033C"/>
    <w:rsid w:val="00F6076E"/>
    <w:rsid w:val="00F60811"/>
    <w:rsid w:val="00F60968"/>
    <w:rsid w:val="00F615F3"/>
    <w:rsid w:val="00F61802"/>
    <w:rsid w:val="00F6274C"/>
    <w:rsid w:val="00F62BC0"/>
    <w:rsid w:val="00F63FA7"/>
    <w:rsid w:val="00F6481D"/>
    <w:rsid w:val="00F6538E"/>
    <w:rsid w:val="00F653C3"/>
    <w:rsid w:val="00F6607E"/>
    <w:rsid w:val="00F67548"/>
    <w:rsid w:val="00F7040E"/>
    <w:rsid w:val="00F70C9F"/>
    <w:rsid w:val="00F715B7"/>
    <w:rsid w:val="00F72457"/>
    <w:rsid w:val="00F739D9"/>
    <w:rsid w:val="00F752F2"/>
    <w:rsid w:val="00F7588F"/>
    <w:rsid w:val="00F76516"/>
    <w:rsid w:val="00F76688"/>
    <w:rsid w:val="00F7748A"/>
    <w:rsid w:val="00F81060"/>
    <w:rsid w:val="00F811B2"/>
    <w:rsid w:val="00F81496"/>
    <w:rsid w:val="00F82886"/>
    <w:rsid w:val="00F874FD"/>
    <w:rsid w:val="00F879AD"/>
    <w:rsid w:val="00F912FC"/>
    <w:rsid w:val="00F9138F"/>
    <w:rsid w:val="00F9167E"/>
    <w:rsid w:val="00F923B8"/>
    <w:rsid w:val="00F92DC8"/>
    <w:rsid w:val="00F93209"/>
    <w:rsid w:val="00F9394B"/>
    <w:rsid w:val="00F9484A"/>
    <w:rsid w:val="00F95414"/>
    <w:rsid w:val="00F962F2"/>
    <w:rsid w:val="00F96CFF"/>
    <w:rsid w:val="00F96DEB"/>
    <w:rsid w:val="00F97677"/>
    <w:rsid w:val="00F97FC7"/>
    <w:rsid w:val="00FA036C"/>
    <w:rsid w:val="00FA132D"/>
    <w:rsid w:val="00FA1409"/>
    <w:rsid w:val="00FA2BE3"/>
    <w:rsid w:val="00FA4F81"/>
    <w:rsid w:val="00FA5162"/>
    <w:rsid w:val="00FA65E7"/>
    <w:rsid w:val="00FA7261"/>
    <w:rsid w:val="00FB0A31"/>
    <w:rsid w:val="00FB20AA"/>
    <w:rsid w:val="00FB213F"/>
    <w:rsid w:val="00FB2C01"/>
    <w:rsid w:val="00FB4E76"/>
    <w:rsid w:val="00FB5C59"/>
    <w:rsid w:val="00FB5E4C"/>
    <w:rsid w:val="00FC0C17"/>
    <w:rsid w:val="00FC1AD7"/>
    <w:rsid w:val="00FC1E62"/>
    <w:rsid w:val="00FC1F35"/>
    <w:rsid w:val="00FC57C2"/>
    <w:rsid w:val="00FC63FE"/>
    <w:rsid w:val="00FC6EC8"/>
    <w:rsid w:val="00FC77DE"/>
    <w:rsid w:val="00FD0A1D"/>
    <w:rsid w:val="00FD1A2E"/>
    <w:rsid w:val="00FD327F"/>
    <w:rsid w:val="00FD3F03"/>
    <w:rsid w:val="00FD4EB0"/>
    <w:rsid w:val="00FD657E"/>
    <w:rsid w:val="00FD686D"/>
    <w:rsid w:val="00FD788A"/>
    <w:rsid w:val="00FE0C7E"/>
    <w:rsid w:val="00FE3E4A"/>
    <w:rsid w:val="00FE57C0"/>
    <w:rsid w:val="00FE5CDE"/>
    <w:rsid w:val="00FE6477"/>
    <w:rsid w:val="00FE7A85"/>
    <w:rsid w:val="00FF218C"/>
    <w:rsid w:val="00FF3465"/>
    <w:rsid w:val="00FF37F6"/>
    <w:rsid w:val="00FF4254"/>
    <w:rsid w:val="00FF50C5"/>
    <w:rsid w:val="00FF53D9"/>
    <w:rsid w:val="00FF56EF"/>
    <w:rsid w:val="00FF6700"/>
    <w:rsid w:val="00FF6A49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4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A6480"/>
    <w:rPr>
      <w:color w:val="0000FF" w:themeColor="hyperlink"/>
      <w:u w:val="single"/>
    </w:rPr>
  </w:style>
  <w:style w:type="character" w:customStyle="1" w:styleId="EndNoteBibliographyZchn">
    <w:name w:val="EndNote Bibliography Zchn"/>
    <w:basedOn w:val="Absatz-Standardschriftart"/>
    <w:link w:val="EndNoteBibliography"/>
    <w:locked/>
    <w:rsid w:val="006A648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6A6480"/>
    <w:pPr>
      <w:spacing w:line="240" w:lineRule="auto"/>
    </w:pPr>
    <w:rPr>
      <w:rFonts w:ascii="Calibri" w:hAnsi="Calibri"/>
      <w:noProof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6A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6480"/>
  </w:style>
  <w:style w:type="paragraph" w:styleId="Fuzeile">
    <w:name w:val="footer"/>
    <w:basedOn w:val="Standard"/>
    <w:link w:val="FuzeileZchn"/>
    <w:uiPriority w:val="99"/>
    <w:unhideWhenUsed/>
    <w:rsid w:val="006A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6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4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A6480"/>
    <w:rPr>
      <w:color w:val="0000FF" w:themeColor="hyperlink"/>
      <w:u w:val="single"/>
    </w:rPr>
  </w:style>
  <w:style w:type="character" w:customStyle="1" w:styleId="EndNoteBibliographyZchn">
    <w:name w:val="EndNote Bibliography Zchn"/>
    <w:basedOn w:val="Absatz-Standardschriftart"/>
    <w:link w:val="EndNoteBibliography"/>
    <w:locked/>
    <w:rsid w:val="006A648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6A6480"/>
    <w:pPr>
      <w:spacing w:line="240" w:lineRule="auto"/>
    </w:pPr>
    <w:rPr>
      <w:rFonts w:ascii="Calibri" w:hAnsi="Calibri"/>
      <w:noProof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6A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6480"/>
  </w:style>
  <w:style w:type="paragraph" w:styleId="Fuzeile">
    <w:name w:val="footer"/>
    <w:basedOn w:val="Standard"/>
    <w:link w:val="FuzeileZchn"/>
    <w:uiPriority w:val="99"/>
    <w:unhideWhenUsed/>
    <w:rsid w:val="006A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icaltrial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inicaltrial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2193</Words>
  <Characters>13823</Characters>
  <Application>Microsoft Office Word</Application>
  <DocSecurity>0</DocSecurity>
  <Lines>115</Lines>
  <Paragraphs>31</Paragraphs>
  <ScaleCrop>false</ScaleCrop>
  <Company>Robert Koch-Institut</Company>
  <LinksUpToDate>false</LinksUpToDate>
  <CharactersWithSpaces>15985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Harder, Thomas</dc:creator>
  <cp:lastModifiedBy>Harder, Thomas</cp:lastModifiedBy>
  <cp:revision>1</cp:revision>
  <dcterms:created xsi:type="dcterms:W3CDTF">2018-06-21T13:11:00Z</dcterms:created>
  <dcterms:modified xsi:type="dcterms:W3CDTF">2018-06-21T13:14:00Z</dcterms:modified>
</cp:coreProperties>
</file>