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9B978" w14:textId="3B5F4882" w:rsidR="00ED3F0A" w:rsidRPr="00C0460D" w:rsidRDefault="00ED3F0A" w:rsidP="00354E97">
      <w:pPr>
        <w:keepNext/>
        <w:keepLines/>
        <w:spacing w:line="240" w:lineRule="auto"/>
        <w:rPr>
          <w:rFonts w:ascii="Times New Roman" w:hAnsi="Times New Roman"/>
          <w:color w:val="000000"/>
          <w:sz w:val="24"/>
          <w:lang w:val="en-US"/>
        </w:rPr>
      </w:pPr>
      <w:bookmarkStart w:id="0" w:name="_GoBack"/>
      <w:bookmarkEnd w:id="0"/>
      <w:r w:rsidRPr="00C0460D">
        <w:rPr>
          <w:rFonts w:ascii="Times New Roman" w:hAnsi="Times New Roman"/>
          <w:color w:val="000000"/>
          <w:sz w:val="24"/>
          <w:lang w:val="en-GB"/>
        </w:rPr>
        <w:t xml:space="preserve">Appendix A. </w:t>
      </w:r>
      <w:r w:rsidRPr="00C0460D">
        <w:rPr>
          <w:rFonts w:ascii="Times New Roman" w:hAnsi="Times New Roman"/>
          <w:color w:val="000000"/>
          <w:sz w:val="24"/>
          <w:lang w:val="en-US"/>
        </w:rPr>
        <w:t>ICD codes for disease to be excluded</w:t>
      </w:r>
    </w:p>
    <w:p w14:paraId="7EBD28C6" w14:textId="26EE2A4E" w:rsidR="00ED3F0A" w:rsidRPr="00C0460D" w:rsidRDefault="00ED3F0A" w:rsidP="00ED3F0A">
      <w:pPr>
        <w:rPr>
          <w:rFonts w:ascii="Times New Roman" w:hAnsi="Times New Roman"/>
          <w:noProof/>
          <w:lang w:val="en-US" w:eastAsia="ja-JP"/>
        </w:rPr>
      </w:pPr>
    </w:p>
    <w:tbl>
      <w:tblPr>
        <w:tblW w:w="51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0"/>
        <w:gridCol w:w="1858"/>
      </w:tblGrid>
      <w:tr w:rsidR="00ED3F0A" w:rsidRPr="00C0460D" w14:paraId="194592D9" w14:textId="77777777" w:rsidTr="00ED3F0A">
        <w:trPr>
          <w:trHeight w:val="4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9BF64" w14:textId="1D1F4E00" w:rsidR="00ED3F0A" w:rsidRPr="00C0460D" w:rsidRDefault="00ED3F0A" w:rsidP="00ED3F0A">
            <w:pPr>
              <w:spacing w:line="240" w:lineRule="auto"/>
              <w:rPr>
                <w:rFonts w:ascii="Times New Roman" w:eastAsia="Hannotate SC Regular" w:hAnsi="Times New Roman"/>
                <w:sz w:val="24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Diseases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6167" w14:textId="55000E32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ICD codes</w:t>
            </w:r>
          </w:p>
        </w:tc>
      </w:tr>
      <w:tr w:rsidR="00ED3F0A" w:rsidRPr="00C0460D" w14:paraId="3A64E464" w14:textId="77777777" w:rsidTr="00ED3F0A">
        <w:trPr>
          <w:trHeight w:val="4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5079" w14:textId="359B9712" w:rsidR="00ED3F0A" w:rsidRPr="00C0460D" w:rsidRDefault="000315B8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R</w:t>
            </w:r>
            <w:r w:rsidR="00ED3F0A"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heumatoid arthritis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1D67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M05</w:t>
            </w:r>
          </w:p>
        </w:tc>
      </w:tr>
      <w:tr w:rsidR="00ED3F0A" w:rsidRPr="00C0460D" w14:paraId="2F3921DA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A06D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561C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M06</w:t>
            </w:r>
          </w:p>
        </w:tc>
      </w:tr>
      <w:tr w:rsidR="00ED3F0A" w:rsidRPr="00C0460D" w14:paraId="40CF18FA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6C15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AD6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M315</w:t>
            </w:r>
          </w:p>
        </w:tc>
      </w:tr>
      <w:tr w:rsidR="00ED3F0A" w:rsidRPr="00C0460D" w14:paraId="78AA5FBF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025D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97EF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M32</w:t>
            </w:r>
          </w:p>
        </w:tc>
      </w:tr>
      <w:tr w:rsidR="00ED3F0A" w:rsidRPr="00C0460D" w14:paraId="08362153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1DDF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B4AE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M33</w:t>
            </w:r>
          </w:p>
        </w:tc>
      </w:tr>
      <w:tr w:rsidR="00ED3F0A" w:rsidRPr="00C0460D" w14:paraId="236267B2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23C7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CBB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M34</w:t>
            </w:r>
          </w:p>
        </w:tc>
      </w:tr>
      <w:tr w:rsidR="00ED3F0A" w:rsidRPr="00C0460D" w14:paraId="501A6020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CF44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0EA4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M351</w:t>
            </w:r>
          </w:p>
        </w:tc>
      </w:tr>
      <w:tr w:rsidR="00ED3F0A" w:rsidRPr="00C0460D" w14:paraId="6126D52F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8E75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E863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M353</w:t>
            </w:r>
          </w:p>
        </w:tc>
      </w:tr>
      <w:tr w:rsidR="00ED3F0A" w:rsidRPr="00C0460D" w14:paraId="209A44F3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D6742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1A21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M360</w:t>
            </w:r>
          </w:p>
        </w:tc>
      </w:tr>
      <w:tr w:rsidR="00ED3F0A" w:rsidRPr="00C0460D" w14:paraId="188BD402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D366" w14:textId="594572EA" w:rsidR="00ED3F0A" w:rsidRPr="00C0460D" w:rsidRDefault="000315B8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I</w:t>
            </w:r>
            <w:r w:rsidR="00ED3F0A"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nflammatory bowel disease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E7F0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K50</w:t>
            </w:r>
          </w:p>
        </w:tc>
      </w:tr>
      <w:tr w:rsidR="00ED3F0A" w:rsidRPr="00C0460D" w14:paraId="573D0A83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00E8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642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K51</w:t>
            </w:r>
          </w:p>
        </w:tc>
      </w:tr>
      <w:tr w:rsidR="00ED3F0A" w:rsidRPr="00C0460D" w14:paraId="00378944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27B1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4EA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K52</w:t>
            </w:r>
          </w:p>
        </w:tc>
      </w:tr>
      <w:tr w:rsidR="00ED3F0A" w:rsidRPr="00C0460D" w14:paraId="35A6D869" w14:textId="77777777" w:rsidTr="00ED3F0A">
        <w:trPr>
          <w:trHeight w:val="4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9AA86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Ankylosing spondylitis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90F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M45</w:t>
            </w:r>
          </w:p>
        </w:tc>
      </w:tr>
      <w:tr w:rsidR="00ED3F0A" w:rsidRPr="00C0460D" w14:paraId="688C37D6" w14:textId="77777777" w:rsidTr="00ED3F0A">
        <w:trPr>
          <w:trHeight w:val="4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90451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Juvenile arthritis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7EE7" w14:textId="77777777" w:rsidR="00ED3F0A" w:rsidRPr="00C0460D" w:rsidRDefault="00ED3F0A" w:rsidP="00ED3F0A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24"/>
                <w:lang w:val="en-US" w:eastAsia="ja-JP"/>
              </w:rPr>
              <w:t>M08</w:t>
            </w:r>
          </w:p>
        </w:tc>
      </w:tr>
    </w:tbl>
    <w:p w14:paraId="19D9C595" w14:textId="74198A99" w:rsidR="00ED3F0A" w:rsidRPr="00C0460D" w:rsidRDefault="00ED3F0A" w:rsidP="00ED3F0A">
      <w:pPr>
        <w:rPr>
          <w:rFonts w:ascii="Times New Roman" w:hAnsi="Times New Roman"/>
          <w:noProof/>
          <w:lang w:val="en-US" w:eastAsia="ja-JP"/>
        </w:rPr>
      </w:pPr>
    </w:p>
    <w:p w14:paraId="527DB766" w14:textId="1C1CBE2A" w:rsidR="00ED3F0A" w:rsidRPr="00C0460D" w:rsidRDefault="00ED3F0A" w:rsidP="00ED3F0A">
      <w:pPr>
        <w:rPr>
          <w:rFonts w:ascii="Times New Roman" w:hAnsi="Times New Roman"/>
          <w:noProof/>
          <w:lang w:val="en-US" w:eastAsia="ja-JP"/>
        </w:rPr>
      </w:pPr>
    </w:p>
    <w:p w14:paraId="3BF1AED4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39D2419F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522C36D2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053FE9C3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7FF79EA6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0FA2CFF6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7410C93C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4304FDD4" w14:textId="0657E6FC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318A91BF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2C061D29" w14:textId="37736DAC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01998065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78DF55A4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2AE56233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3CF51A04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21F3DCFA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23712E46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480909E6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1DCD878F" w14:textId="77777777" w:rsidR="00ED3F0A" w:rsidRPr="00C0460D" w:rsidRDefault="00ED3F0A" w:rsidP="00ED3F0A">
      <w:pPr>
        <w:rPr>
          <w:rFonts w:ascii="Times New Roman" w:hAnsi="Times New Roman"/>
          <w:lang w:val="en-GB"/>
        </w:rPr>
      </w:pPr>
    </w:p>
    <w:p w14:paraId="598E4B14" w14:textId="77777777" w:rsidR="00ED3F0A" w:rsidRPr="00C0460D" w:rsidRDefault="00ED3F0A" w:rsidP="00ED3F0A">
      <w:pPr>
        <w:rPr>
          <w:rFonts w:ascii="Times New Roman" w:hAnsi="Times New Roman"/>
          <w:lang w:val="en-US"/>
        </w:rPr>
      </w:pPr>
    </w:p>
    <w:p w14:paraId="4215FC6D" w14:textId="77777777" w:rsidR="00354E97" w:rsidRPr="00C0460D" w:rsidRDefault="00324331" w:rsidP="00354E97">
      <w:pPr>
        <w:keepNext/>
        <w:keepLines/>
        <w:spacing w:line="240" w:lineRule="auto"/>
        <w:rPr>
          <w:rFonts w:ascii="Times New Roman" w:hAnsi="Times New Roman"/>
          <w:color w:val="000000"/>
          <w:sz w:val="24"/>
          <w:lang w:val="en-GB"/>
        </w:rPr>
      </w:pPr>
      <w:r w:rsidRPr="00C0460D">
        <w:rPr>
          <w:rFonts w:ascii="Times New Roman" w:hAnsi="Times New Roman"/>
          <w:color w:val="000000"/>
          <w:sz w:val="24"/>
          <w:lang w:val="en-GB"/>
        </w:rPr>
        <w:lastRenderedPageBreak/>
        <w:t>Appendix B</w:t>
      </w:r>
      <w:r w:rsidR="00354E97" w:rsidRPr="00C0460D">
        <w:rPr>
          <w:rFonts w:ascii="Times New Roman" w:hAnsi="Times New Roman"/>
          <w:color w:val="000000"/>
          <w:sz w:val="24"/>
          <w:lang w:val="en-GB"/>
        </w:rPr>
        <w:t xml:space="preserve">. Dosage regimen of included </w:t>
      </w:r>
      <w:r w:rsidRPr="00C0460D">
        <w:rPr>
          <w:rFonts w:ascii="Times New Roman" w:hAnsi="Times New Roman"/>
          <w:color w:val="000000"/>
          <w:sz w:val="24"/>
          <w:szCs w:val="20"/>
          <w:lang w:val="en-GB"/>
        </w:rPr>
        <w:t>BTs</w:t>
      </w:r>
    </w:p>
    <w:p w14:paraId="6081C0FB" w14:textId="77777777" w:rsidR="00354E97" w:rsidRPr="00C0460D" w:rsidRDefault="00354E97" w:rsidP="00354E97">
      <w:pPr>
        <w:keepNext/>
        <w:keepLines/>
        <w:spacing w:line="240" w:lineRule="auto"/>
        <w:rPr>
          <w:rFonts w:ascii="Times New Roman" w:hAnsi="Times New Roman"/>
          <w:color w:val="000000"/>
          <w:sz w:val="24"/>
          <w:lang w:val="en-GB"/>
        </w:rPr>
      </w:pPr>
    </w:p>
    <w:tbl>
      <w:tblPr>
        <w:tblW w:w="9468" w:type="dxa"/>
        <w:tblBorders>
          <w:top w:val="single" w:sz="4" w:space="0" w:color="auto"/>
          <w:bottom w:val="single" w:sz="4" w:space="0" w:color="auto"/>
        </w:tblBorders>
        <w:tblLook w:val="0420" w:firstRow="1" w:lastRow="0" w:firstColumn="0" w:lastColumn="0" w:noHBand="0" w:noVBand="1"/>
      </w:tblPr>
      <w:tblGrid>
        <w:gridCol w:w="1514"/>
        <w:gridCol w:w="2542"/>
        <w:gridCol w:w="1360"/>
        <w:gridCol w:w="4052"/>
      </w:tblGrid>
      <w:tr w:rsidR="00354E97" w:rsidRPr="001A0425" w14:paraId="2D127CA9" w14:textId="77777777" w:rsidTr="00D960C1">
        <w:trPr>
          <w:trHeight w:val="494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D53FC9" w14:textId="77777777" w:rsidR="00354E97" w:rsidRPr="0067102C" w:rsidRDefault="00324331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GB"/>
              </w:rPr>
              <w:t>BT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GB"/>
              </w:rPr>
              <w:t>s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FD03B8" w14:textId="77777777" w:rsidR="00354E97" w:rsidRPr="0067102C" w:rsidRDefault="00354E9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Recommended dose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8493DE" w14:textId="77777777" w:rsidR="00354E97" w:rsidRPr="0067102C" w:rsidRDefault="00354E9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DDD</w:t>
            </w:r>
            <w:r w:rsidR="00E945B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(maintenance)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298650" w14:textId="77777777" w:rsidR="00354E97" w:rsidRPr="0067102C" w:rsidRDefault="00354E9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Available strength/ SKU in Japan market</w:t>
            </w:r>
          </w:p>
        </w:tc>
      </w:tr>
      <w:tr w:rsidR="00354E97" w:rsidRPr="001A0425" w14:paraId="18CD8540" w14:textId="77777777" w:rsidTr="00D960C1">
        <w:trPr>
          <w:trHeight w:val="2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4531D1" w14:textId="77777777" w:rsidR="00354E97" w:rsidRPr="0067102C" w:rsidRDefault="00354E9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Adalimumab (HUMIRA)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F146" w14:textId="77777777" w:rsidR="00E945B7" w:rsidRPr="0067102C" w:rsidRDefault="00E945B7" w:rsidP="00E945B7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Induction: </w:t>
            </w:r>
            <w:r w:rsidR="00324331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8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0 mg </w:t>
            </w:r>
            <w:r w:rsidR="00324331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at 0 week, </w:t>
            </w:r>
          </w:p>
          <w:p w14:paraId="22F8D5CF" w14:textId="77777777" w:rsidR="00354E97" w:rsidRPr="0067102C" w:rsidRDefault="00E945B7" w:rsidP="00E945B7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Maintenance: </w:t>
            </w:r>
            <w:r w:rsidR="00324331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40 mg every other week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2F35B3" w14:textId="77777777" w:rsidR="00354E97" w:rsidRPr="0067102C" w:rsidRDefault="00354E9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2.9 mg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2BE328" w14:textId="77777777" w:rsidR="00354E97" w:rsidRPr="0067102C" w:rsidRDefault="00324331" w:rsidP="00354E97">
            <w:pPr>
              <w:keepNext/>
              <w:keepLines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Humira SC injection 4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0 mg Syringe 0.4 mL</w:t>
            </w:r>
          </w:p>
          <w:p w14:paraId="5BB621D0" w14:textId="77777777" w:rsidR="00354E97" w:rsidRPr="0067102C" w:rsidRDefault="00354E97" w:rsidP="00354E97">
            <w:pPr>
              <w:keepNext/>
              <w:keepLines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Humira SC injection 40 mg Syringe 0.8 mL</w:t>
            </w:r>
          </w:p>
          <w:p w14:paraId="753C0FD0" w14:textId="77777777" w:rsidR="00324331" w:rsidRPr="0067102C" w:rsidRDefault="00324331" w:rsidP="00354E97">
            <w:pPr>
              <w:keepNext/>
              <w:keepLines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Humira SC injection 80 mg Syringe 0.8 mL</w:t>
            </w:r>
          </w:p>
          <w:p w14:paraId="1C3783F1" w14:textId="77777777" w:rsidR="00324331" w:rsidRPr="0067102C" w:rsidRDefault="00324331" w:rsidP="00324331">
            <w:pPr>
              <w:keepNext/>
              <w:keepLines/>
              <w:numPr>
                <w:ilvl w:val="0"/>
                <w:numId w:val="2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Humira SC injection 40 mg Pen 0.4 mL</w:t>
            </w:r>
          </w:p>
        </w:tc>
      </w:tr>
      <w:tr w:rsidR="00354E97" w:rsidRPr="0067102C" w14:paraId="1DA79D2B" w14:textId="77777777" w:rsidTr="00D960C1">
        <w:trPr>
          <w:trHeight w:val="2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DB3C8" w14:textId="77777777" w:rsidR="00354E97" w:rsidRPr="0067102C" w:rsidRDefault="00354E9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Infiximab (REMICADE)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66B6BB" w14:textId="77777777" w:rsidR="00E945B7" w:rsidRPr="0067102C" w:rsidRDefault="00E945B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Induction: 5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mg/kg at 0, 2, and 6 weeks, </w:t>
            </w:r>
          </w:p>
          <w:p w14:paraId="637CEAD0" w14:textId="77777777" w:rsidR="00354E97" w:rsidRPr="0067102C" w:rsidRDefault="00E945B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Maintenance: 5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 mg/kg every 8 weeks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492752" w14:textId="77777777" w:rsidR="00354E97" w:rsidRPr="0067102C" w:rsidRDefault="00E945B7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6.25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mg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7654FF" w14:textId="09D0F74E" w:rsidR="00354E97" w:rsidRPr="0067102C" w:rsidRDefault="00354E97" w:rsidP="00354E97">
            <w:pPr>
              <w:keepNext/>
              <w:keepLines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Remicade </w:t>
            </w:r>
            <w:r w:rsidR="0067102C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intravenous </w:t>
            </w: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infusion 100 mg</w:t>
            </w:r>
          </w:p>
        </w:tc>
      </w:tr>
      <w:tr w:rsidR="00354E97" w:rsidRPr="001A0425" w14:paraId="114966E1" w14:textId="77777777" w:rsidTr="00D960C1">
        <w:trPr>
          <w:trHeight w:val="2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54F11" w14:textId="30AC1213" w:rsidR="00354E97" w:rsidRPr="0067102C" w:rsidRDefault="00A060FE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Ustekinumab (</w:t>
            </w:r>
            <w:r w:rsidR="0067102C"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STELARA</w:t>
            </w:r>
            <w:r w:rsidR="00354E97"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F70DD9" w14:textId="77777777" w:rsidR="00A060FE" w:rsidRPr="0067102C" w:rsidRDefault="00A060FE" w:rsidP="00A060FE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Induction: 45 mg at 0, 4 weeks, </w:t>
            </w:r>
          </w:p>
          <w:p w14:paraId="5BDB3365" w14:textId="77777777" w:rsidR="00354E97" w:rsidRPr="0067102C" w:rsidRDefault="00A060FE" w:rsidP="00A060FE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Maintenance: 45 mg every 12 weeks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4F8362" w14:textId="77777777" w:rsidR="00354E97" w:rsidRPr="0067102C" w:rsidRDefault="00A060FE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0.54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mg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700A57" w14:textId="543E3938" w:rsidR="00354E97" w:rsidRPr="0067102C" w:rsidRDefault="0067102C" w:rsidP="00354E97">
            <w:pPr>
              <w:keepNext/>
              <w:keepLines/>
              <w:numPr>
                <w:ilvl w:val="0"/>
                <w:numId w:val="4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Stelara </w:t>
            </w:r>
            <w:r w:rsidR="00A060FE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SC injection 45 mg Syringe</w:t>
            </w:r>
          </w:p>
        </w:tc>
      </w:tr>
      <w:tr w:rsidR="00354E97" w:rsidRPr="001A0425" w14:paraId="6E3D6D60" w14:textId="77777777" w:rsidTr="00D960C1">
        <w:trPr>
          <w:trHeight w:val="20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C83DB" w14:textId="66B799A0" w:rsidR="00354E97" w:rsidRPr="0067102C" w:rsidRDefault="00A060FE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Secukinumab (</w:t>
            </w:r>
            <w:r w:rsidR="0067102C"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COSENTYX</w:t>
            </w:r>
            <w:r w:rsidR="00354E97" w:rsidRPr="0067102C">
              <w:rPr>
                <w:rFonts w:ascii="Times New Roman" w:hAnsi="Times New Roman"/>
                <w:bCs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5B324A" w14:textId="77777777" w:rsidR="00354E97" w:rsidRPr="0067102C" w:rsidRDefault="00A060FE" w:rsidP="00D960C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Induction: 300 mg at 0-4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weeks, Maintenance: </w:t>
            </w:r>
            <w:r w:rsidR="00D960C1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300 mg every 4 weeks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A51087" w14:textId="77777777" w:rsidR="00354E97" w:rsidRPr="0067102C" w:rsidRDefault="00D960C1" w:rsidP="00324331">
            <w:pPr>
              <w:keepNext/>
              <w:keepLines/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10.71</w:t>
            </w:r>
            <w:r w:rsidR="00354E97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 mg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80E77" w14:textId="4A87604E" w:rsidR="00354E97" w:rsidRPr="0067102C" w:rsidRDefault="0067102C" w:rsidP="00354E97">
            <w:pPr>
              <w:keepNext/>
              <w:keepLines/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Cosentyx </w:t>
            </w:r>
            <w:r w:rsidR="00D960C1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SC injection 150 mg Syringe</w:t>
            </w:r>
          </w:p>
          <w:p w14:paraId="11CFDC27" w14:textId="2C98BE0C" w:rsidR="00D960C1" w:rsidRPr="0067102C" w:rsidRDefault="0067102C" w:rsidP="00D960C1">
            <w:pPr>
              <w:keepNext/>
              <w:keepLines/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 xml:space="preserve">Cosentyx </w:t>
            </w:r>
            <w:r w:rsidR="00D960C1" w:rsidRPr="0067102C">
              <w:rPr>
                <w:rFonts w:ascii="Times New Roman" w:hAnsi="Times New Roman"/>
                <w:color w:val="000000"/>
                <w:szCs w:val="20"/>
                <w:lang w:val="en-US"/>
              </w:rPr>
              <w:t>SC injection 150mg Pen</w:t>
            </w:r>
          </w:p>
        </w:tc>
      </w:tr>
    </w:tbl>
    <w:p w14:paraId="4599F855" w14:textId="0D03AA43" w:rsidR="00354E97" w:rsidRPr="00C0460D" w:rsidRDefault="00D960C1" w:rsidP="00354E97">
      <w:pPr>
        <w:rPr>
          <w:rFonts w:ascii="Times New Roman" w:hAnsi="Times New Roman"/>
          <w:color w:val="000000"/>
          <w:sz w:val="18"/>
          <w:szCs w:val="18"/>
          <w:lang w:val="en-US"/>
        </w:rPr>
      </w:pPr>
      <w:r w:rsidRPr="00C0460D">
        <w:rPr>
          <w:rFonts w:ascii="Times New Roman" w:hAnsi="Times New Roman"/>
          <w:color w:val="000000"/>
          <w:sz w:val="18"/>
          <w:szCs w:val="18"/>
          <w:lang w:val="en-US"/>
        </w:rPr>
        <w:t>BT</w:t>
      </w:r>
      <w:r w:rsidR="00354E97" w:rsidRPr="00C0460D">
        <w:rPr>
          <w:rFonts w:ascii="Times New Roman" w:hAnsi="Times New Roman"/>
          <w:color w:val="000000"/>
          <w:sz w:val="18"/>
          <w:szCs w:val="18"/>
          <w:lang w:val="en-US"/>
        </w:rPr>
        <w:t xml:space="preserve">s: Biological </w:t>
      </w:r>
      <w:r w:rsidRPr="00C0460D">
        <w:rPr>
          <w:rFonts w:ascii="Times New Roman" w:hAnsi="Times New Roman"/>
          <w:color w:val="000000"/>
          <w:sz w:val="18"/>
          <w:szCs w:val="18"/>
          <w:lang w:val="en-US"/>
        </w:rPr>
        <w:t>therapie</w:t>
      </w:r>
      <w:r w:rsidR="00354E97" w:rsidRPr="00C0460D">
        <w:rPr>
          <w:rFonts w:ascii="Times New Roman" w:hAnsi="Times New Roman"/>
          <w:color w:val="000000"/>
          <w:sz w:val="18"/>
          <w:szCs w:val="18"/>
          <w:lang w:val="en-US"/>
        </w:rPr>
        <w:t xml:space="preserve">s, </w:t>
      </w:r>
      <w:r w:rsidR="0067102C">
        <w:rPr>
          <w:rFonts w:ascii="Times New Roman" w:hAnsi="Times New Roman"/>
          <w:color w:val="000000"/>
          <w:sz w:val="18"/>
          <w:szCs w:val="18"/>
          <w:lang w:val="en-US"/>
        </w:rPr>
        <w:t xml:space="preserve">SKU: stock-keeping unit, </w:t>
      </w:r>
      <w:r w:rsidR="00354E97" w:rsidRPr="00C0460D">
        <w:rPr>
          <w:rFonts w:ascii="Times New Roman" w:hAnsi="Times New Roman"/>
          <w:color w:val="000000"/>
          <w:sz w:val="18"/>
          <w:szCs w:val="18"/>
          <w:lang w:val="en-US"/>
        </w:rPr>
        <w:t>SC: Subcutaneous, mg: Milligrams, kg: Kilograms, ml: Milli-litre </w:t>
      </w:r>
    </w:p>
    <w:p w14:paraId="3ED8A37B" w14:textId="77777777" w:rsidR="00354E97" w:rsidRPr="00C0460D" w:rsidRDefault="00354E97" w:rsidP="00354E97">
      <w:pPr>
        <w:tabs>
          <w:tab w:val="left" w:pos="5130"/>
        </w:tabs>
        <w:spacing w:line="240" w:lineRule="auto"/>
        <w:rPr>
          <w:rFonts w:ascii="Times New Roman" w:hAnsi="Times New Roman"/>
          <w:color w:val="000000"/>
          <w:sz w:val="24"/>
          <w:lang w:val="en-GB"/>
        </w:rPr>
      </w:pPr>
    </w:p>
    <w:p w14:paraId="18046DEB" w14:textId="77777777" w:rsidR="0040436D" w:rsidRPr="00C0460D" w:rsidRDefault="0040436D">
      <w:pPr>
        <w:rPr>
          <w:rFonts w:ascii="Times New Roman" w:hAnsi="Times New Roman"/>
          <w:lang w:val="en-US"/>
        </w:rPr>
      </w:pPr>
    </w:p>
    <w:p w14:paraId="386B05EF" w14:textId="1E158691" w:rsidR="006A0FA4" w:rsidRPr="00C0460D" w:rsidRDefault="006A0FA4" w:rsidP="006A0FA4">
      <w:pPr>
        <w:keepNext/>
        <w:keepLines/>
        <w:spacing w:line="240" w:lineRule="auto"/>
        <w:rPr>
          <w:rFonts w:ascii="Times New Roman" w:hAnsi="Times New Roman"/>
          <w:color w:val="000000"/>
          <w:sz w:val="24"/>
          <w:lang w:val="en-GB"/>
        </w:rPr>
      </w:pPr>
      <w:r w:rsidRPr="00C0460D">
        <w:rPr>
          <w:rFonts w:ascii="Times New Roman" w:hAnsi="Times New Roman"/>
          <w:color w:val="000000"/>
          <w:sz w:val="24"/>
          <w:lang w:val="en-GB"/>
        </w:rPr>
        <w:t xml:space="preserve">Appendix C. Gap definition (days) of included </w:t>
      </w:r>
      <w:r w:rsidRPr="00C0460D">
        <w:rPr>
          <w:rFonts w:ascii="Times New Roman" w:hAnsi="Times New Roman"/>
          <w:color w:val="000000"/>
          <w:sz w:val="24"/>
          <w:szCs w:val="20"/>
          <w:lang w:val="en-GB"/>
        </w:rPr>
        <w:t>BTs in base case and sensitivity analysis (SA) 1 and 2</w:t>
      </w:r>
    </w:p>
    <w:p w14:paraId="48DB5CF6" w14:textId="77777777" w:rsidR="006A0FA4" w:rsidRPr="00C0460D" w:rsidRDefault="006A0FA4">
      <w:pPr>
        <w:rPr>
          <w:rFonts w:ascii="Times New Roman" w:hAnsi="Times New Roman"/>
          <w:lang w:val="en-US"/>
        </w:rPr>
      </w:pPr>
    </w:p>
    <w:tbl>
      <w:tblPr>
        <w:tblW w:w="6428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275"/>
        <w:gridCol w:w="1310"/>
      </w:tblGrid>
      <w:tr w:rsidR="006A0FA4" w:rsidRPr="00C0460D" w14:paraId="76B39B68" w14:textId="77777777" w:rsidTr="00C0460D">
        <w:trPr>
          <w:trHeight w:val="4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EA67" w14:textId="77777777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3F3" w14:textId="4983957F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Base case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65A6" w14:textId="77777777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SA1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5904" w14:textId="77777777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SA2</w:t>
            </w:r>
          </w:p>
        </w:tc>
      </w:tr>
      <w:tr w:rsidR="006A0FA4" w:rsidRPr="00C0460D" w14:paraId="041B17BC" w14:textId="77777777" w:rsidTr="00C0460D">
        <w:trPr>
          <w:trHeight w:val="4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E462" w14:textId="1ECF606F" w:rsidR="006A0FA4" w:rsidRPr="00C0460D" w:rsidRDefault="00C0460D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ADL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142" w14:textId="0481BFD3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8BE9" w14:textId="596232B9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F55" w14:textId="304C06AF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90</w:t>
            </w:r>
          </w:p>
        </w:tc>
      </w:tr>
      <w:tr w:rsidR="006A0FA4" w:rsidRPr="00C0460D" w14:paraId="2E31F9E1" w14:textId="77777777" w:rsidTr="00C0460D">
        <w:trPr>
          <w:trHeight w:val="4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856" w14:textId="3D31A7F8" w:rsidR="006A0FA4" w:rsidRPr="00C0460D" w:rsidRDefault="00C0460D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IFX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D831" w14:textId="6541CD40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BE8B" w14:textId="7E4A315C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C651" w14:textId="47347FBD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90</w:t>
            </w:r>
          </w:p>
        </w:tc>
      </w:tr>
      <w:tr w:rsidR="006A0FA4" w:rsidRPr="00C0460D" w14:paraId="29B75874" w14:textId="77777777" w:rsidTr="00C0460D">
        <w:trPr>
          <w:trHeight w:val="4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84E" w14:textId="34C1A7C2" w:rsidR="006A0FA4" w:rsidRPr="00C0460D" w:rsidRDefault="00C0460D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SCK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E1AF" w14:textId="52224D69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DF40" w14:textId="67BC50FB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A92" w14:textId="7EA9496A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90</w:t>
            </w:r>
          </w:p>
        </w:tc>
      </w:tr>
      <w:tr w:rsidR="006A0FA4" w:rsidRPr="00C0460D" w14:paraId="0FE924C5" w14:textId="77777777" w:rsidTr="00C0460D">
        <w:trPr>
          <w:trHeight w:val="4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25D1" w14:textId="2DC46658" w:rsidR="006A0FA4" w:rsidRPr="00C0460D" w:rsidRDefault="00C0460D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UST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AE4D" w14:textId="746077E4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7EB0" w14:textId="27111F29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10E" w14:textId="1FEDE64D" w:rsidR="006A0FA4" w:rsidRPr="00C0460D" w:rsidRDefault="006A0FA4" w:rsidP="006A0FA4">
            <w:pPr>
              <w:spacing w:line="240" w:lineRule="auto"/>
              <w:jc w:val="center"/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</w:pPr>
            <w:r w:rsidRPr="00C0460D">
              <w:rPr>
                <w:rFonts w:ascii="Times New Roman" w:eastAsia="HGPGothicM" w:hAnsi="Times New Roman"/>
                <w:color w:val="000000"/>
                <w:sz w:val="24"/>
                <w:lang w:val="en-US" w:eastAsia="ja-JP"/>
              </w:rPr>
              <w:t>150</w:t>
            </w:r>
          </w:p>
        </w:tc>
      </w:tr>
    </w:tbl>
    <w:p w14:paraId="228A2202" w14:textId="47C305C3" w:rsidR="006A0FA4" w:rsidRPr="001A0425" w:rsidRDefault="006A0FA4">
      <w:pPr>
        <w:rPr>
          <w:rFonts w:ascii="Times New Roman" w:hAnsi="Times New Roman"/>
          <w:sz w:val="18"/>
          <w:szCs w:val="18"/>
        </w:rPr>
      </w:pPr>
      <w:r w:rsidRPr="001A0425">
        <w:rPr>
          <w:rFonts w:ascii="Times New Roman" w:eastAsia="HGPGothicM" w:hAnsi="Times New Roman"/>
          <w:color w:val="000000"/>
          <w:sz w:val="18"/>
          <w:szCs w:val="18"/>
          <w:lang w:eastAsia="ja-JP"/>
        </w:rPr>
        <w:t>Adalimumab: ADL, Infliximab: IFX, Secukinumab: SCK, Ustekinumab: UST</w:t>
      </w:r>
    </w:p>
    <w:p w14:paraId="3AD8181B" w14:textId="77777777" w:rsidR="006A0FA4" w:rsidRPr="001A0425" w:rsidRDefault="006A0FA4">
      <w:pPr>
        <w:rPr>
          <w:rFonts w:ascii="Times New Roman" w:hAnsi="Times New Roman"/>
        </w:rPr>
      </w:pPr>
    </w:p>
    <w:p w14:paraId="3437530D" w14:textId="77777777" w:rsidR="006A0FA4" w:rsidRPr="001A0425" w:rsidRDefault="006A0FA4">
      <w:pPr>
        <w:rPr>
          <w:rFonts w:ascii="Times New Roman" w:hAnsi="Times New Roman"/>
        </w:rPr>
      </w:pPr>
    </w:p>
    <w:p w14:paraId="4979F163" w14:textId="77777777" w:rsidR="006A0FA4" w:rsidRPr="001A0425" w:rsidRDefault="006A0FA4">
      <w:pPr>
        <w:rPr>
          <w:rFonts w:ascii="Times New Roman" w:hAnsi="Times New Roman"/>
        </w:rPr>
      </w:pPr>
    </w:p>
    <w:p w14:paraId="662E50BC" w14:textId="77777777" w:rsidR="006A0FA4" w:rsidRPr="001A0425" w:rsidRDefault="006A0FA4">
      <w:pPr>
        <w:rPr>
          <w:rFonts w:ascii="Times New Roman" w:hAnsi="Times New Roman"/>
        </w:rPr>
      </w:pPr>
    </w:p>
    <w:p w14:paraId="0F219CD4" w14:textId="0811D792" w:rsidR="006A0FA4" w:rsidRPr="00C0460D" w:rsidRDefault="006A0FA4" w:rsidP="006A0FA4">
      <w:pPr>
        <w:pStyle w:val="Heading1"/>
        <w:rPr>
          <w:rFonts w:ascii="Times New Roman" w:hAnsi="Times New Roman" w:cs="Times New Roman"/>
          <w:lang w:val="en-US"/>
        </w:rPr>
      </w:pPr>
      <w:r w:rsidRPr="00C0460D">
        <w:rPr>
          <w:rFonts w:ascii="Times New Roman" w:hAnsi="Times New Roman" w:cs="Times New Roman"/>
          <w:lang w:val="en-GB"/>
        </w:rPr>
        <w:lastRenderedPageBreak/>
        <w:t xml:space="preserve">Appendix D. </w:t>
      </w:r>
      <w:r w:rsidRPr="00C0460D">
        <w:rPr>
          <w:rFonts w:ascii="Times New Roman" w:hAnsi="Times New Roman" w:cs="Times New Roman"/>
          <w:lang w:val="en-US"/>
        </w:rPr>
        <w:t>The rates of (number of persistent patients during the 12-month period after BT initiation/number of total patients) calculated in the base case and sensitivity analysis (SA) 1 and 2</w:t>
      </w:r>
    </w:p>
    <w:p w14:paraId="04A8E29B" w14:textId="77777777" w:rsidR="006A0FA4" w:rsidRPr="00C0460D" w:rsidRDefault="006A0FA4">
      <w:pPr>
        <w:rPr>
          <w:rFonts w:ascii="Times New Roman" w:hAnsi="Times New Roman"/>
          <w:color w:val="000000"/>
          <w:sz w:val="24"/>
          <w:lang w:val="en-US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"/>
        <w:gridCol w:w="1017"/>
        <w:gridCol w:w="1017"/>
        <w:gridCol w:w="1220"/>
        <w:gridCol w:w="1017"/>
        <w:gridCol w:w="1017"/>
        <w:gridCol w:w="1220"/>
        <w:gridCol w:w="1017"/>
        <w:gridCol w:w="1017"/>
      </w:tblGrid>
      <w:tr w:rsidR="000011FC" w:rsidRPr="00C0460D" w14:paraId="59416709" w14:textId="77777777" w:rsidTr="000011FC">
        <w:trPr>
          <w:trHeight w:val="320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B94DEC" w14:textId="77777777" w:rsidR="000011FC" w:rsidRPr="00C0460D" w:rsidRDefault="000011FC" w:rsidP="006A0FA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 xml:space="preserve">　</w:t>
            </w:r>
          </w:p>
          <w:p w14:paraId="56245836" w14:textId="4B58E0EA" w:rsidR="000011FC" w:rsidRPr="00C0460D" w:rsidRDefault="000011FC" w:rsidP="006A0FA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 xml:space="preserve">　</w:t>
            </w:r>
          </w:p>
          <w:p w14:paraId="7EEF1333" w14:textId="77777777" w:rsidR="000011FC" w:rsidRPr="00C0460D" w:rsidRDefault="000011FC" w:rsidP="00C0460D">
            <w:pPr>
              <w:spacing w:line="240" w:lineRule="auto"/>
              <w:ind w:leftChars="-120" w:left="-240" w:firstLineChars="133" w:firstLine="239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 xml:space="preserve">　</w:t>
            </w:r>
          </w:p>
          <w:p w14:paraId="5AD24422" w14:textId="34C07BC5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 xml:space="preserve">　</w:t>
            </w:r>
          </w:p>
        </w:tc>
        <w:tc>
          <w:tcPr>
            <w:tcW w:w="2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8CADC2" w14:textId="77777777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Total</w:t>
            </w:r>
          </w:p>
        </w:tc>
        <w:tc>
          <w:tcPr>
            <w:tcW w:w="22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F2CA69" w14:textId="16E7749C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BT-naïve</w:t>
            </w:r>
          </w:p>
        </w:tc>
      </w:tr>
      <w:tr w:rsidR="000011FC" w:rsidRPr="00C0460D" w14:paraId="7AD2ECEC" w14:textId="77777777" w:rsidTr="000011FC">
        <w:trPr>
          <w:trHeight w:val="640"/>
        </w:trPr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34431EB" w14:textId="04413F41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3BE2A2" w14:textId="584926D8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ADL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227A8" w14:textId="5E80A8CA" w:rsidR="000011FC" w:rsidRPr="00C0460D" w:rsidRDefault="000011FC" w:rsidP="00C0460D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IFX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684AD2" w14:textId="6B78F86E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SCK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B3E9E" w14:textId="0E3B4152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UST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E15A2" w14:textId="00C7D0AE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ADL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40A059" w14:textId="0C4421E8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IFX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544E86" w14:textId="135BDEAF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SCK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53C80" w14:textId="66E84126" w:rsidR="000011FC" w:rsidRPr="00C0460D" w:rsidRDefault="000011FC" w:rsidP="006A0FA4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UST</w:t>
            </w:r>
          </w:p>
        </w:tc>
      </w:tr>
      <w:tr w:rsidR="000011FC" w:rsidRPr="00C0460D" w14:paraId="70A49F10" w14:textId="77777777" w:rsidTr="000011FC">
        <w:trPr>
          <w:trHeight w:val="32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483F48" w14:textId="7B84F2F2" w:rsidR="000011FC" w:rsidRPr="00C0460D" w:rsidRDefault="000011FC" w:rsidP="006A0FA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Base case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8D84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33.3%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CB0E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30.0%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CA94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50.0%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5839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78.4%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EFD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28.6%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FF0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31.6%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B496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B5A2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76.7%</w:t>
            </w:r>
          </w:p>
        </w:tc>
      </w:tr>
      <w:tr w:rsidR="000011FC" w:rsidRPr="00C0460D" w14:paraId="35AD760F" w14:textId="77777777" w:rsidTr="000011FC">
        <w:trPr>
          <w:trHeight w:val="32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203639" w14:textId="79DF004E" w:rsidR="000011FC" w:rsidRPr="00C0460D" w:rsidRDefault="000011FC" w:rsidP="006A0FA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SA1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91B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16.7%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6D3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0.0%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CA93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50.0%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2EC9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67.6%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681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21.4%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3268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7476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9192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66.7%</w:t>
            </w:r>
          </w:p>
        </w:tc>
      </w:tr>
      <w:tr w:rsidR="000011FC" w:rsidRPr="00C0460D" w14:paraId="47DAE95C" w14:textId="77777777" w:rsidTr="000011FC">
        <w:trPr>
          <w:trHeight w:val="320"/>
        </w:trPr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CE0F44" w14:textId="6CAA39FC" w:rsidR="000011FC" w:rsidRPr="00C0460D" w:rsidRDefault="000011FC" w:rsidP="006A0FA4">
            <w:pPr>
              <w:spacing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SA2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88EE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38.9%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FB82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45.0%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9D65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50.0%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E635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78.4%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7A24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35.7%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665C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42.1%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A281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0.0%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E27D" w14:textId="77777777" w:rsidR="000011FC" w:rsidRPr="00C0460D" w:rsidRDefault="000011FC" w:rsidP="006A0FA4">
            <w:pPr>
              <w:spacing w:line="240" w:lineRule="auto"/>
              <w:jc w:val="right"/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</w:pPr>
            <w:r w:rsidRPr="00C0460D">
              <w:rPr>
                <w:rFonts w:ascii="Times New Roman" w:eastAsia="Arial Unicode MS" w:hAnsi="Times New Roman"/>
                <w:color w:val="000000"/>
                <w:sz w:val="18"/>
                <w:szCs w:val="18"/>
                <w:lang w:val="en-US" w:eastAsia="ja-JP"/>
              </w:rPr>
              <w:t>76.7%</w:t>
            </w:r>
          </w:p>
        </w:tc>
      </w:tr>
    </w:tbl>
    <w:p w14:paraId="121DBB5D" w14:textId="77777777" w:rsidR="00C0460D" w:rsidRPr="001A0425" w:rsidRDefault="00C0460D" w:rsidP="00C0460D">
      <w:pPr>
        <w:rPr>
          <w:rFonts w:ascii="Times New Roman" w:hAnsi="Times New Roman"/>
          <w:sz w:val="18"/>
          <w:szCs w:val="18"/>
        </w:rPr>
      </w:pPr>
      <w:r w:rsidRPr="001A0425">
        <w:rPr>
          <w:rFonts w:ascii="Times New Roman" w:eastAsia="HGPGothicM" w:hAnsi="Times New Roman"/>
          <w:color w:val="000000"/>
          <w:sz w:val="18"/>
          <w:szCs w:val="18"/>
          <w:lang w:eastAsia="ja-JP"/>
        </w:rPr>
        <w:t>Adalimumab: ADL, Infliximab: IFX, Secukinumab: SCK, Ustekinumab: UST</w:t>
      </w:r>
    </w:p>
    <w:p w14:paraId="415B0162" w14:textId="77777777" w:rsidR="006A0FA4" w:rsidRPr="001A0425" w:rsidRDefault="006A0FA4">
      <w:pPr>
        <w:rPr>
          <w:rFonts w:ascii="Times New Roman" w:hAnsi="Times New Roman"/>
        </w:rPr>
      </w:pPr>
    </w:p>
    <w:sectPr w:rsidR="006A0FA4" w:rsidRPr="001A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8A618" w14:textId="77777777" w:rsidR="007D69E8" w:rsidRDefault="007D69E8" w:rsidP="001A0425">
      <w:pPr>
        <w:spacing w:line="240" w:lineRule="auto"/>
      </w:pPr>
      <w:r>
        <w:separator/>
      </w:r>
    </w:p>
  </w:endnote>
  <w:endnote w:type="continuationSeparator" w:id="0">
    <w:p w14:paraId="477D8B93" w14:textId="77777777" w:rsidR="007D69E8" w:rsidRDefault="007D69E8" w:rsidP="001A0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nnotate SC Regular">
    <w:charset w:val="50"/>
    <w:family w:val="auto"/>
    <w:pitch w:val="variable"/>
    <w:sig w:usb0="A00002FF" w:usb1="7ACF7CFB" w:usb2="00000016" w:usb3="00000000" w:csb0="00040001" w:csb1="00000000"/>
  </w:font>
  <w:font w:name="HGPGothicM">
    <w:altName w:val="ＭＳ 明朝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E33F" w14:textId="77777777" w:rsidR="007D69E8" w:rsidRDefault="007D69E8" w:rsidP="001A0425">
      <w:pPr>
        <w:spacing w:line="240" w:lineRule="auto"/>
      </w:pPr>
      <w:r>
        <w:separator/>
      </w:r>
    </w:p>
  </w:footnote>
  <w:footnote w:type="continuationSeparator" w:id="0">
    <w:p w14:paraId="5D7CD8A5" w14:textId="77777777" w:rsidR="007D69E8" w:rsidRDefault="007D69E8" w:rsidP="001A04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FB5"/>
    <w:multiLevelType w:val="hybridMultilevel"/>
    <w:tmpl w:val="15BE9B6E"/>
    <w:lvl w:ilvl="0" w:tplc="CB204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CAD0C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3AB3E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DF49F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DA4EB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8A0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7E611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EC91B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E860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BF3C3A"/>
    <w:multiLevelType w:val="hybridMultilevel"/>
    <w:tmpl w:val="15BE9B6E"/>
    <w:lvl w:ilvl="0" w:tplc="CB204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CAD0C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3AB3E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DF49F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DA4EB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8A0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7E611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EC91B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E860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2E65886"/>
    <w:multiLevelType w:val="hybridMultilevel"/>
    <w:tmpl w:val="15BE9B6E"/>
    <w:lvl w:ilvl="0" w:tplc="CB204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CAD0C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3AB3E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DF49F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DA4EB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8A0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7E611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EC91B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E860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2E75A0D"/>
    <w:multiLevelType w:val="hybridMultilevel"/>
    <w:tmpl w:val="15BE9B6E"/>
    <w:lvl w:ilvl="0" w:tplc="CB204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CAD0C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3AB3E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DF49F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DA4EB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8A0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7E611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EC91B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E860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E2A6D1F"/>
    <w:multiLevelType w:val="hybridMultilevel"/>
    <w:tmpl w:val="15BE9B6E"/>
    <w:lvl w:ilvl="0" w:tplc="CB204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CAD0C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3AB3E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DF49F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DA4EB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8A0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7E611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EC91B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E860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17B1120"/>
    <w:multiLevelType w:val="hybridMultilevel"/>
    <w:tmpl w:val="15BE9B6E"/>
    <w:lvl w:ilvl="0" w:tplc="CB204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CAD0C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3AB3E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DF49F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DA4EB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8A0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7E611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EC91B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E860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79B0DE9"/>
    <w:multiLevelType w:val="hybridMultilevel"/>
    <w:tmpl w:val="15BE9B6E"/>
    <w:lvl w:ilvl="0" w:tplc="CB204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6CAD0C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23AB3E0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DF49FB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B3DA4EB4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F8A0B5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7E611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4EC91B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E860FC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7"/>
    <w:rsid w:val="000011FC"/>
    <w:rsid w:val="000315B8"/>
    <w:rsid w:val="001A0425"/>
    <w:rsid w:val="00324331"/>
    <w:rsid w:val="00354E97"/>
    <w:rsid w:val="0040436D"/>
    <w:rsid w:val="0067102C"/>
    <w:rsid w:val="006A0FA4"/>
    <w:rsid w:val="007D69E8"/>
    <w:rsid w:val="00A060FE"/>
    <w:rsid w:val="00C0460D"/>
    <w:rsid w:val="00D960C1"/>
    <w:rsid w:val="00E945B7"/>
    <w:rsid w:val="00E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966C8"/>
  <w15:docId w15:val="{CFCC524E-D0D0-4BF2-B182-C65578D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E97"/>
    <w:pPr>
      <w:spacing w:after="0" w:line="280" w:lineRule="exact"/>
    </w:pPr>
    <w:rPr>
      <w:rFonts w:ascii="Arial" w:eastAsia="MS Mincho" w:hAnsi="Arial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F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F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0A"/>
    <w:rPr>
      <w:rFonts w:ascii="Lucida Grande" w:eastAsia="MS Mincho" w:hAnsi="Lucida Grande" w:cs="Lucida Grande"/>
      <w:sz w:val="18"/>
      <w:szCs w:val="1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A0FA4"/>
    <w:rPr>
      <w:rFonts w:asciiTheme="majorHAnsi" w:eastAsiaTheme="majorEastAsia" w:hAnsiTheme="majorHAnsi" w:cstheme="majorBidi"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1A0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25"/>
    <w:rPr>
      <w:rFonts w:ascii="Arial" w:eastAsia="MS Mincho" w:hAnsi="Arial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1A0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25"/>
    <w:rPr>
      <w:rFonts w:ascii="Arial" w:eastAsia="MS Mincho" w:hAnsi="Arial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F081D-47EB-4429-83A9-46B16AAF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Sruamsiri, Rosarin [JANJP]</dc:creator>
  <cp:lastModifiedBy>Mahlich, Jörg [JANJP]</cp:lastModifiedBy>
  <cp:revision>2</cp:revision>
  <dcterms:created xsi:type="dcterms:W3CDTF">2017-11-10T13:45:00Z</dcterms:created>
  <dcterms:modified xsi:type="dcterms:W3CDTF">2017-11-10T13:45:00Z</dcterms:modified>
</cp:coreProperties>
</file>