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6A" w:rsidRPr="00274EAC" w:rsidRDefault="00FC2D6A" w:rsidP="00FC2D6A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>A</w:t>
      </w:r>
      <w:r>
        <w:rPr>
          <w:rFonts w:ascii="Calibri" w:hAnsi="Calibri" w:cs="Times New Roman"/>
          <w:b/>
          <w:sz w:val="36"/>
          <w:szCs w:val="36"/>
        </w:rPr>
        <w:t>dditional File 2</w:t>
      </w:r>
    </w:p>
    <w:p w:rsidR="00FC2D6A" w:rsidRPr="004903B2" w:rsidRDefault="00FC2D6A" w:rsidP="00FC2D6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FC2D6A" w:rsidRPr="00274EAC" w:rsidRDefault="00FC2D6A" w:rsidP="00FC2D6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74EAC">
        <w:rPr>
          <w:rFonts w:ascii="Calibri" w:hAnsi="Calibri"/>
          <w:b/>
          <w:color w:val="000000"/>
          <w:sz w:val="22"/>
          <w:szCs w:val="22"/>
        </w:rPr>
        <w:t xml:space="preserve">Table 2: Most frequently reported </w:t>
      </w:r>
      <w:r>
        <w:rPr>
          <w:rFonts w:ascii="Calibri" w:hAnsi="Calibri"/>
          <w:b/>
          <w:color w:val="000000"/>
          <w:sz w:val="22"/>
          <w:szCs w:val="22"/>
        </w:rPr>
        <w:t>single- and mul</w:t>
      </w:r>
      <w:r w:rsidRPr="00274EAC">
        <w:rPr>
          <w:rFonts w:ascii="Calibri" w:hAnsi="Calibri"/>
          <w:b/>
          <w:color w:val="000000"/>
          <w:sz w:val="22"/>
          <w:szCs w:val="22"/>
        </w:rPr>
        <w:t>t</w:t>
      </w:r>
      <w:r>
        <w:rPr>
          <w:rFonts w:ascii="Calibri" w:hAnsi="Calibri"/>
          <w:b/>
          <w:color w:val="000000"/>
          <w:sz w:val="22"/>
          <w:szCs w:val="22"/>
        </w:rPr>
        <w:t>i</w:t>
      </w:r>
      <w:r w:rsidRPr="00274EAC">
        <w:rPr>
          <w:rFonts w:ascii="Calibri" w:hAnsi="Calibri"/>
          <w:b/>
          <w:color w:val="000000"/>
          <w:sz w:val="22"/>
          <w:szCs w:val="22"/>
        </w:rPr>
        <w:t xml:space="preserve">-morbidities among adults with at least one NCD. </w:t>
      </w:r>
      <w:r w:rsidRPr="00274EAC">
        <w:rPr>
          <w:rFonts w:ascii="Calibri" w:hAnsi="Calibri"/>
          <w:color w:val="000000"/>
          <w:sz w:val="22"/>
          <w:szCs w:val="22"/>
        </w:rPr>
        <w:t>(N=1,756)</w:t>
      </w:r>
    </w:p>
    <w:p w:rsidR="00FC2D6A" w:rsidRPr="00274EAC" w:rsidRDefault="00FC2D6A" w:rsidP="00FC2D6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340"/>
        <w:gridCol w:w="2000"/>
      </w:tblGrid>
      <w:tr w:rsidR="00FC2D6A" w:rsidRPr="00732B11" w:rsidTr="0060051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Single- and multi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732B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morbidities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% (95%CI)</w:t>
            </w:r>
          </w:p>
        </w:tc>
      </w:tr>
      <w:tr w:rsidR="00FC2D6A" w:rsidRPr="00732B11" w:rsidTr="0060051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2D6A" w:rsidRPr="00732B11" w:rsidRDefault="00FC2D6A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Hypertension only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399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22.7% (20.8-24.8)</w:t>
            </w:r>
          </w:p>
        </w:tc>
      </w:tr>
      <w:tr w:rsidR="00FC2D6A" w:rsidRPr="00732B11" w:rsidTr="0060051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2D6A" w:rsidRPr="00732B11" w:rsidRDefault="00FC2D6A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Diabetes &amp; hypertension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17.6% (15.9-19.5)</w:t>
            </w:r>
          </w:p>
        </w:tc>
      </w:tr>
      <w:tr w:rsidR="00FC2D6A" w:rsidRPr="00732B11" w:rsidTr="0060051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2D6A" w:rsidRPr="00732B11" w:rsidRDefault="00FC2D6A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Diabetes only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10.1% (8.7-11.8)</w:t>
            </w:r>
          </w:p>
        </w:tc>
      </w:tr>
      <w:tr w:rsidR="00FC2D6A" w:rsidRPr="00732B11" w:rsidTr="0060051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2D6A" w:rsidRPr="00732B11" w:rsidRDefault="00FC2D6A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Respiratory diseases only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9.1% (7.8-10.6)</w:t>
            </w:r>
          </w:p>
        </w:tc>
      </w:tr>
      <w:tr w:rsidR="00FC2D6A" w:rsidRPr="00732B11" w:rsidTr="0060051D">
        <w:trPr>
          <w:trHeight w:val="3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2D6A" w:rsidRPr="00732B11" w:rsidRDefault="00FC2D6A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Diabetes, hypertension &amp; CVD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8.1% (6.9-9.7)</w:t>
            </w:r>
          </w:p>
        </w:tc>
      </w:tr>
      <w:tr w:rsidR="00FC2D6A" w:rsidRPr="00732B11" w:rsidTr="0060051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2D6A" w:rsidRPr="00732B11" w:rsidRDefault="00FC2D6A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Hypertension &amp; CVD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7.1% (5.9-8.4)</w:t>
            </w:r>
          </w:p>
        </w:tc>
      </w:tr>
      <w:tr w:rsidR="00FC2D6A" w:rsidRPr="00732B11" w:rsidTr="0060051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Thyroid disease only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6.3% (5.3-7.5)</w:t>
            </w:r>
          </w:p>
        </w:tc>
      </w:tr>
      <w:tr w:rsidR="00FC2D6A" w:rsidRPr="00732B11" w:rsidTr="0060051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CVD only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5.8% (4.8-7.0)</w:t>
            </w:r>
          </w:p>
        </w:tc>
      </w:tr>
      <w:tr w:rsidR="00FC2D6A" w:rsidRPr="00732B11" w:rsidTr="0060051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Diabetes, hypertension &amp; thyroid disease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1.3% (0.9-2.0)</w:t>
            </w:r>
          </w:p>
        </w:tc>
      </w:tr>
      <w:tr w:rsidR="00FC2D6A" w:rsidRPr="00732B11" w:rsidTr="0060051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Hypertension &amp; chronic respiratory conditions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D6A" w:rsidRPr="00732B11" w:rsidRDefault="00FC2D6A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32B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1.3% (0.8-1.9)</w:t>
            </w:r>
          </w:p>
        </w:tc>
      </w:tr>
    </w:tbl>
    <w:p w:rsidR="00FC2D6A" w:rsidRDefault="00FC2D6A" w:rsidP="00FC2D6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FC2D6A" w:rsidRPr="004903B2" w:rsidRDefault="00FC2D6A" w:rsidP="00FC2D6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A02D16" w:rsidRDefault="00A02D16"/>
    <w:sectPr w:rsidR="00A0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6A"/>
    <w:rsid w:val="00895B3A"/>
    <w:rsid w:val="00A02D16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6A"/>
    <w:pPr>
      <w:spacing w:after="0" w:line="240" w:lineRule="auto"/>
    </w:pPr>
    <w:rPr>
      <w:rFonts w:eastAsiaTheme="minorEastAsia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6A"/>
    <w:pPr>
      <w:spacing w:after="0" w:line="240" w:lineRule="auto"/>
    </w:pPr>
    <w:rPr>
      <w:rFonts w:eastAsiaTheme="minorEastAsia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Artzen Zonder Grenzen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Lenglet</dc:creator>
  <cp:lastModifiedBy>Annick Lenglet</cp:lastModifiedBy>
  <cp:revision>1</cp:revision>
  <dcterms:created xsi:type="dcterms:W3CDTF">2018-04-10T06:17:00Z</dcterms:created>
  <dcterms:modified xsi:type="dcterms:W3CDTF">2018-04-10T06:19:00Z</dcterms:modified>
</cp:coreProperties>
</file>