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5" w:rsidRPr="00612BE5" w:rsidRDefault="005D295B" w:rsidP="00612BE5">
      <w:pPr>
        <w:pStyle w:val="Standard"/>
        <w:ind w:right="-542"/>
        <w:rPr>
          <w:rFonts w:ascii="Times New Roman" w:hAnsi="Times New Roman" w:cs="Times New Roman"/>
          <w:bCs/>
          <w:sz w:val="22"/>
          <w:szCs w:val="22"/>
        </w:rPr>
      </w:pPr>
      <w:r w:rsidRPr="00612BE5">
        <w:rPr>
          <w:rFonts w:ascii="Times New Roman" w:hAnsi="Times New Roman" w:cs="Times New Roman"/>
          <w:bCs/>
          <w:sz w:val="22"/>
          <w:szCs w:val="22"/>
        </w:rPr>
        <w:t xml:space="preserve">Supplemental Data: Fiedler et al. Genomic </w:t>
      </w:r>
      <w:r w:rsidR="002F72AD" w:rsidRPr="00612BE5">
        <w:rPr>
          <w:rFonts w:ascii="Times New Roman" w:hAnsi="Times New Roman" w:cs="Times New Roman"/>
          <w:bCs/>
          <w:sz w:val="22"/>
          <w:szCs w:val="22"/>
        </w:rPr>
        <w:t>Prediction</w:t>
      </w:r>
      <w:r w:rsidRPr="00612BE5">
        <w:rPr>
          <w:rFonts w:ascii="Times New Roman" w:hAnsi="Times New Roman" w:cs="Times New Roman"/>
          <w:bCs/>
          <w:sz w:val="22"/>
          <w:szCs w:val="22"/>
        </w:rPr>
        <w:t xml:space="preserve"> Accuracy for Switchgrass Traits Related to Bioenergy </w:t>
      </w:r>
      <w:proofErr w:type="gramStart"/>
      <w:r w:rsidRPr="00612BE5">
        <w:rPr>
          <w:rFonts w:ascii="Times New Roman" w:hAnsi="Times New Roman" w:cs="Times New Roman"/>
          <w:bCs/>
          <w:sz w:val="22"/>
          <w:szCs w:val="22"/>
        </w:rPr>
        <w:t>Within</w:t>
      </w:r>
      <w:proofErr w:type="gramEnd"/>
      <w:r w:rsidRPr="00612BE5">
        <w:rPr>
          <w:rFonts w:ascii="Times New Roman" w:hAnsi="Times New Roman" w:cs="Times New Roman"/>
          <w:bCs/>
          <w:sz w:val="22"/>
          <w:szCs w:val="22"/>
        </w:rPr>
        <w:t xml:space="preserve"> Differentiated Populations</w:t>
      </w: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F7B62" w:rsidRPr="00612BE5" w:rsidRDefault="000F7B62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5D295B" w:rsidP="00612BE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3657600" cy="3383280"/>
            <wp:effectExtent l="0" t="0" r="0" b="762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8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F7B62" w:rsidRPr="00612BE5" w:rsidRDefault="005D295B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sz w:val="22"/>
          <w:szCs w:val="22"/>
        </w:rPr>
        <w:t xml:space="preserve">Figure S1. </w:t>
      </w:r>
      <w:proofErr w:type="spellStart"/>
      <w:r w:rsidRPr="00612BE5">
        <w:rPr>
          <w:rFonts w:ascii="Times New Roman" w:hAnsi="Times New Roman" w:cs="Times New Roman"/>
          <w:sz w:val="22"/>
          <w:szCs w:val="22"/>
        </w:rPr>
        <w:t>Correllelogram</w:t>
      </w:r>
      <w:proofErr w:type="spellEnd"/>
      <w:r w:rsidRPr="00612BE5">
        <w:rPr>
          <w:rFonts w:ascii="Times New Roman" w:hAnsi="Times New Roman" w:cs="Times New Roman"/>
          <w:sz w:val="22"/>
          <w:szCs w:val="22"/>
        </w:rPr>
        <w:t xml:space="preserve"> depicting positive (blue) and negative (red) correlations among whole plant traits. Color scale on right indicates Pearson correlation coefficient </w:t>
      </w:r>
      <w:r w:rsidRPr="00612BE5">
        <w:rPr>
          <w:rFonts w:ascii="Times New Roman" w:hAnsi="Times New Roman" w:cs="Times New Roman"/>
          <w:i/>
          <w:iCs/>
          <w:sz w:val="22"/>
          <w:szCs w:val="22"/>
        </w:rPr>
        <w:t>r</w:t>
      </w:r>
      <w:r w:rsidRPr="00612BE5">
        <w:rPr>
          <w:rFonts w:ascii="Times New Roman" w:hAnsi="Times New Roman" w:cs="Times New Roman"/>
          <w:sz w:val="22"/>
          <w:szCs w:val="22"/>
        </w:rPr>
        <w:t>.</w:t>
      </w:r>
    </w:p>
    <w:p w:rsidR="000F7B62" w:rsidRPr="00612BE5" w:rsidRDefault="000F7B62" w:rsidP="00612BE5">
      <w:pPr>
        <w:suppressAutoHyphens w:val="0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sz w:val="22"/>
          <w:szCs w:val="22"/>
        </w:rPr>
        <w:br w:type="page"/>
      </w: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5D295B" w:rsidP="00612BE5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noProof/>
          <w:sz w:val="22"/>
          <w:szCs w:val="22"/>
          <w:lang w:eastAsia="en-US" w:bidi="ar-SA"/>
        </w:rPr>
        <w:drawing>
          <wp:inline distT="0" distB="0" distL="0" distR="0">
            <wp:extent cx="3657600" cy="3383280"/>
            <wp:effectExtent l="0" t="0" r="0" b="7620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383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82435" w:rsidRPr="00612BE5" w:rsidRDefault="005D295B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sz w:val="22"/>
          <w:szCs w:val="22"/>
        </w:rPr>
        <w:t xml:space="preserve">Figure S2. </w:t>
      </w:r>
      <w:proofErr w:type="spellStart"/>
      <w:r w:rsidRPr="00612BE5">
        <w:rPr>
          <w:rFonts w:ascii="Times New Roman" w:hAnsi="Times New Roman" w:cs="Times New Roman"/>
          <w:sz w:val="22"/>
          <w:szCs w:val="22"/>
        </w:rPr>
        <w:t>Correllelogram</w:t>
      </w:r>
      <w:proofErr w:type="spellEnd"/>
      <w:r w:rsidRPr="00612BE5">
        <w:rPr>
          <w:rFonts w:ascii="Times New Roman" w:hAnsi="Times New Roman" w:cs="Times New Roman"/>
          <w:sz w:val="22"/>
          <w:szCs w:val="22"/>
        </w:rPr>
        <w:t xml:space="preserve"> depicting positive (blue) and negative (red) correlations among wall composition traits determined by NIR.  Color scale on right indicates Pearson correlation coefficient </w:t>
      </w:r>
      <w:r w:rsidRPr="00612BE5">
        <w:rPr>
          <w:rFonts w:ascii="Times New Roman" w:hAnsi="Times New Roman" w:cs="Times New Roman"/>
          <w:i/>
          <w:iCs/>
          <w:sz w:val="22"/>
          <w:szCs w:val="22"/>
        </w:rPr>
        <w:t>r.</w:t>
      </w:r>
    </w:p>
    <w:p w:rsidR="00B82435" w:rsidRPr="00612BE5" w:rsidRDefault="005D295B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noProof/>
          <w:sz w:val="22"/>
          <w:szCs w:val="22"/>
          <w:lang w:eastAsia="en-U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743200" cy="5806440"/>
            <wp:effectExtent l="0" t="0" r="0" b="3810"/>
            <wp:wrapTopAndBottom/>
            <wp:docPr id="3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806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82435" w:rsidRPr="00612BE5" w:rsidRDefault="005D295B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612BE5">
        <w:rPr>
          <w:rFonts w:ascii="Times New Roman" w:hAnsi="Times New Roman" w:cs="Times New Roman"/>
          <w:sz w:val="22"/>
          <w:szCs w:val="22"/>
        </w:rPr>
        <w:t xml:space="preserve">Figure S3. Boxplots of (a) ANT, (b) IVDMD, and (c) </w:t>
      </w:r>
      <w:r w:rsidR="00BA37B6" w:rsidRPr="00612BE5">
        <w:rPr>
          <w:rFonts w:ascii="Times New Roman" w:hAnsi="Times New Roman" w:cs="Times New Roman"/>
          <w:sz w:val="22"/>
          <w:szCs w:val="22"/>
        </w:rPr>
        <w:t xml:space="preserve">YLD </w:t>
      </w:r>
      <w:r w:rsidRPr="00612BE5">
        <w:rPr>
          <w:rFonts w:ascii="Times New Roman" w:hAnsi="Times New Roman" w:cs="Times New Roman"/>
          <w:sz w:val="22"/>
          <w:szCs w:val="22"/>
        </w:rPr>
        <w:t>for each population. Bottom and top of each box represent the first and third quartiles. Horizontal line represents the median, whiskers extend to the most extreme data</w:t>
      </w:r>
      <w:r w:rsidR="00BA37B6" w:rsidRPr="00612BE5">
        <w:rPr>
          <w:rFonts w:ascii="Times New Roman" w:hAnsi="Times New Roman" w:cs="Times New Roman"/>
          <w:sz w:val="22"/>
          <w:szCs w:val="22"/>
        </w:rPr>
        <w:t xml:space="preserve"> </w:t>
      </w:r>
      <w:r w:rsidRPr="00612BE5">
        <w:rPr>
          <w:rFonts w:ascii="Times New Roman" w:hAnsi="Times New Roman" w:cs="Times New Roman"/>
          <w:sz w:val="22"/>
          <w:szCs w:val="22"/>
        </w:rPr>
        <w:t>point that is no more than 1.5 times the interquartile range from the box.</w:t>
      </w:r>
    </w:p>
    <w:p w:rsidR="00B82435" w:rsidRPr="00612BE5" w:rsidRDefault="00B82435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7862" w:type="dxa"/>
        <w:tblInd w:w="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2"/>
        <w:gridCol w:w="1260"/>
        <w:gridCol w:w="1350"/>
        <w:gridCol w:w="1350"/>
        <w:gridCol w:w="1350"/>
        <w:gridCol w:w="1350"/>
      </w:tblGrid>
      <w:tr w:rsidR="00B82435" w:rsidRPr="00612BE5" w:rsidTr="00612BE5">
        <w:trPr>
          <w:trHeight w:val="625"/>
        </w:trPr>
        <w:tc>
          <w:tcPr>
            <w:tcW w:w="7862" w:type="dxa"/>
            <w:gridSpan w:val="6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Table </w:t>
            </w:r>
            <w:r w:rsidR="00AD54F3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1: kin-BLUP regression statistics from 20 replicates of 5-fold CV.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TRAIT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POP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MSE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INTER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SLOPE</w:t>
            </w:r>
          </w:p>
        </w:tc>
        <w:tc>
          <w:tcPr>
            <w:tcW w:w="135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STDEV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ANT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</w:tc>
      </w:tr>
      <w:tr w:rsidR="00B82435" w:rsidRPr="00612BE5" w:rsidTr="00612BE5">
        <w:trPr>
          <w:trHeight w:val="269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ETOH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FEST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FRU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GLCS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GRN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-1.85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IVDMD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PCA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PPEN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PSOL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0.235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SUC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YLD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20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0.281</w:t>
            </w:r>
          </w:p>
        </w:tc>
      </w:tr>
      <w:tr w:rsidR="00B82435" w:rsidRPr="00612BE5" w:rsidTr="00612BE5">
        <w:trPr>
          <w:trHeight w:val="276"/>
        </w:trPr>
        <w:tc>
          <w:tcPr>
            <w:tcW w:w="7862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mean squared error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average intercept of the regression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standard deviation of the accuracy across folds and replicates</w:t>
            </w:r>
          </w:p>
        </w:tc>
      </w:tr>
    </w:tbl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</w:p>
    <w:tbl>
      <w:tblPr>
        <w:tblW w:w="8092" w:type="dxa"/>
        <w:tblInd w:w="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2"/>
        <w:gridCol w:w="1260"/>
        <w:gridCol w:w="1350"/>
        <w:gridCol w:w="1350"/>
        <w:gridCol w:w="1440"/>
        <w:gridCol w:w="1440"/>
      </w:tblGrid>
      <w:tr w:rsidR="00B82435" w:rsidRPr="00612BE5" w:rsidTr="00612BE5">
        <w:trPr>
          <w:trHeight w:val="538"/>
        </w:trPr>
        <w:tc>
          <w:tcPr>
            <w:tcW w:w="8092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Table S2: Partial Least Squares regression statistics from 20 replicates of 5-fold CV</w:t>
            </w:r>
            <w:proofErr w:type="gram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gramEnd"/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TRAIT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POP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MSE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INTER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SLOPE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SDEV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ANT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-1.47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ETOH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FEST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FRU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GLCS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GRN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3.12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-3.85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-0.59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HEXEP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IVDMD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-0.99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NSCE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PCA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PPEN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PSOL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SUC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-0.57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0.062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0.247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YLD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-0.36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0.236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0.215</w:t>
            </w:r>
          </w:p>
        </w:tc>
      </w:tr>
      <w:tr w:rsidR="00B82435" w:rsidRPr="00612BE5" w:rsidTr="00612BE5">
        <w:trPr>
          <w:trHeight w:val="276"/>
        </w:trPr>
        <w:tc>
          <w:tcPr>
            <w:tcW w:w="125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-0.93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44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</w:tr>
      <w:tr w:rsidR="00B82435" w:rsidRPr="00612BE5" w:rsidTr="00612BE5">
        <w:trPr>
          <w:trHeight w:val="276"/>
        </w:trPr>
        <w:tc>
          <w:tcPr>
            <w:tcW w:w="8092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mean squared error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average intercept of the regression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standard deviation of the accuracy across folds and replicates</w:t>
            </w:r>
          </w:p>
        </w:tc>
      </w:tr>
    </w:tbl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</w:p>
    <w:tbl>
      <w:tblPr>
        <w:tblW w:w="809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9"/>
        <w:gridCol w:w="1350"/>
        <w:gridCol w:w="1350"/>
        <w:gridCol w:w="1350"/>
        <w:gridCol w:w="1350"/>
        <w:gridCol w:w="1350"/>
      </w:tblGrid>
      <w:tr w:rsidR="00B82435" w:rsidRPr="00612BE5" w:rsidTr="00612BE5">
        <w:trPr>
          <w:trHeight w:val="449"/>
        </w:trPr>
        <w:tc>
          <w:tcPr>
            <w:tcW w:w="8099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Table S3: Sparse Partial Least Squares Regression statistics from 20 replicates of 5-fold CV</w:t>
            </w:r>
            <w:proofErr w:type="gram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gramEnd"/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TRAIT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POP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MSE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INTER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SLOPE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SDEV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ANT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3.05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3.02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ETOH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-0.55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FEST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FRU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-0.58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GLCS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GRN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HEXEP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IVDMD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PCA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PPEN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PSOL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SUC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0.237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-0.74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0.218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-1.03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0.232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YLD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4.25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-1.34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0.204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0.206</w:t>
            </w:r>
          </w:p>
        </w:tc>
      </w:tr>
      <w:tr w:rsidR="00B82435" w:rsidRPr="00612BE5" w:rsidTr="00612BE5">
        <w:trPr>
          <w:trHeight w:val="276"/>
        </w:trPr>
        <w:tc>
          <w:tcPr>
            <w:tcW w:w="1349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35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0.309</w:t>
            </w:r>
          </w:p>
        </w:tc>
      </w:tr>
      <w:tr w:rsidR="00B82435" w:rsidRPr="00612BE5" w:rsidTr="00612BE5">
        <w:trPr>
          <w:trHeight w:val="276"/>
        </w:trPr>
        <w:tc>
          <w:tcPr>
            <w:tcW w:w="8099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mean squared error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average intercept of the regression</w:t>
            </w:r>
          </w:p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standard deviation of the accuracy across folds and replicates</w:t>
            </w:r>
          </w:p>
        </w:tc>
      </w:tr>
    </w:tbl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</w:p>
    <w:tbl>
      <w:tblPr>
        <w:tblW w:w="7680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4"/>
        <w:gridCol w:w="1275"/>
        <w:gridCol w:w="1275"/>
        <w:gridCol w:w="1275"/>
        <w:gridCol w:w="1275"/>
        <w:gridCol w:w="1276"/>
      </w:tblGrid>
      <w:tr w:rsidR="00B82435" w:rsidRPr="00612BE5" w:rsidTr="00612BE5">
        <w:trPr>
          <w:trHeight w:val="449"/>
        </w:trPr>
        <w:tc>
          <w:tcPr>
            <w:tcW w:w="7680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Table S4: </w:t>
            </w: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BayesB</w:t>
            </w:r>
            <w:proofErr w:type="spellEnd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 Regression statistics from 5-fold CV</w:t>
            </w:r>
            <w:proofErr w:type="gram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proofErr w:type="gramEnd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Using 5000 iterations and a 1500 </w:t>
            </w:r>
            <w:proofErr w:type="gram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iteration  burn</w:t>
            </w:r>
            <w:proofErr w:type="gramEnd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-in period (see Methods Section).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TRAIT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POP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MSE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INTER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SLOPE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SDEV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YLD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0.309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ANT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GRN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-0.64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IVDMD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PCA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1.87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FEST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2.17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SUC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GLCS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1.65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FRU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-0.11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0.271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ETOH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0.286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0.325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PPEN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0.124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HEXEP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0.178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1.41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0.163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-0.27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0.155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1.50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0.228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-1.04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PSOL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0.68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0.85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0.073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0.292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0.127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0.182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B82435" w:rsidRPr="00612BE5" w:rsidTr="00612BE5">
        <w:trPr>
          <w:trHeight w:val="276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NSCE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all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Low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KxS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-0.33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1.35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K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0.76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0.46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0.191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N1EM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0.55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0.266</w:t>
            </w:r>
          </w:p>
        </w:tc>
      </w:tr>
      <w:tr w:rsidR="00B82435" w:rsidRPr="00612BE5">
        <w:trPr>
          <w:trHeight w:val="276"/>
        </w:trPr>
        <w:tc>
          <w:tcPr>
            <w:tcW w:w="1304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B82435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0.63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-0.81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0.58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0.291</w:t>
            </w:r>
          </w:p>
        </w:tc>
      </w:tr>
      <w:tr w:rsidR="00B82435" w:rsidRPr="00612BE5">
        <w:trPr>
          <w:trHeight w:val="276"/>
        </w:trPr>
        <w:tc>
          <w:tcPr>
            <w:tcW w:w="7680" w:type="dxa"/>
            <w:gridSpan w:val="6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mean squared error</w:t>
            </w:r>
          </w:p>
        </w:tc>
      </w:tr>
      <w:tr w:rsidR="00B82435" w:rsidRPr="00612BE5">
        <w:trPr>
          <w:trHeight w:val="276"/>
        </w:trPr>
        <w:tc>
          <w:tcPr>
            <w:tcW w:w="7680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average intercept of the regression</w:t>
            </w:r>
          </w:p>
        </w:tc>
      </w:tr>
      <w:tr w:rsidR="00B82435" w:rsidRPr="00612BE5">
        <w:trPr>
          <w:trHeight w:val="276"/>
        </w:trPr>
        <w:tc>
          <w:tcPr>
            <w:tcW w:w="7680" w:type="dxa"/>
            <w:gridSpan w:val="6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standard deviation of the accuracy across folds and replicates</w:t>
            </w:r>
          </w:p>
        </w:tc>
      </w:tr>
    </w:tbl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pageBreakBefore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5985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3"/>
        <w:gridCol w:w="861"/>
        <w:gridCol w:w="1273"/>
        <w:gridCol w:w="1274"/>
        <w:gridCol w:w="1274"/>
      </w:tblGrid>
      <w:tr w:rsidR="00B82435" w:rsidRPr="00612BE5" w:rsidTr="00616511">
        <w:trPr>
          <w:trHeight w:val="276"/>
        </w:trPr>
        <w:tc>
          <w:tcPr>
            <w:tcW w:w="598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Table S5: Variance components for selected traits after partitioning based on dominant pr</w:t>
            </w:r>
            <w:r w:rsidR="00616511" w:rsidRPr="00612BE5">
              <w:rPr>
                <w:rFonts w:ascii="Times New Roman" w:hAnsi="Times New Roman" w:cs="Times New Roman"/>
                <w:sz w:val="22"/>
                <w:szCs w:val="22"/>
              </w:rPr>
              <w:t>incipal components 1-3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82435" w:rsidRPr="00612BE5" w:rsidTr="00616511">
        <w:trPr>
          <w:trHeight w:val="276"/>
        </w:trPr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Trait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616511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a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g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e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gA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gW</w:t>
            </w:r>
            <w:r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B82435" w:rsidRPr="00612BE5" w:rsidTr="00616511">
        <w:trPr>
          <w:trHeight w:val="276"/>
        </w:trPr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ANT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0.172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ASH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AX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0.144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0.039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ETOH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0.222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0.109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FAT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0.074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FEST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0.193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0.068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FRU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0.189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GLCS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0.119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0.071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GRN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0.225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0.020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0.148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0.097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0.043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HEXEP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0.111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IVDMD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0.121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0.245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0.135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NSCE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0.126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PCA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0.151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0.107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0.063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PPEN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0.207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0.058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0.14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0.067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PSOL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0.234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0.045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0.106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0.128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SC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0.238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0.122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0.116</w:t>
            </w:r>
          </w:p>
        </w:tc>
      </w:tr>
      <w:tr w:rsidR="00B82435" w:rsidRPr="00612BE5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SUC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0.197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0.061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0.117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</w:tr>
      <w:tr w:rsidR="00B82435" w:rsidRPr="00612BE5" w:rsidTr="00616511">
        <w:trPr>
          <w:trHeight w:val="276"/>
        </w:trPr>
        <w:tc>
          <w:tcPr>
            <w:tcW w:w="130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UA</w:t>
            </w:r>
          </w:p>
        </w:tc>
        <w:tc>
          <w:tcPr>
            <w:tcW w:w="861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0.096</w:t>
            </w:r>
          </w:p>
        </w:tc>
        <w:tc>
          <w:tcPr>
            <w:tcW w:w="1273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0.066</w:t>
            </w:r>
          </w:p>
        </w:tc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0.03</w:t>
            </w:r>
          </w:p>
        </w:tc>
      </w:tr>
      <w:tr w:rsidR="00B82435" w:rsidRPr="00612BE5" w:rsidTr="00616511">
        <w:trPr>
          <w:trHeight w:val="276"/>
        </w:trPr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YLD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0.077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0.021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0.072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5D295B" w:rsidP="00612BE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0.006</w:t>
            </w:r>
          </w:p>
        </w:tc>
      </w:tr>
      <w:tr w:rsidR="00B82435" w:rsidRPr="00612BE5" w:rsidTr="00616511">
        <w:trPr>
          <w:trHeight w:val="276"/>
        </w:trPr>
        <w:tc>
          <w:tcPr>
            <w:tcW w:w="5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B82435" w:rsidRPr="00612BE5" w:rsidRDefault="00616511" w:rsidP="00612BE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>Genetic</w:t>
            </w:r>
            <w:proofErr w:type="spellEnd"/>
            <w:proofErr w:type="gramEnd"/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 variance, </w:t>
            </w:r>
            <w:r w:rsidR="005D295B"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σ</w:t>
            </w:r>
            <w:r w:rsidR="005D295B"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bscript"/>
              </w:rPr>
              <w:t>g</w:t>
            </w:r>
            <w:r w:rsidR="005D295B"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; residual variance, 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e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; across-population </w:t>
            </w:r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genetic variance, 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gA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; within-population genetic variance 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</w:rPr>
              <w:t>σ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gW</w:t>
            </w:r>
            <w:r w:rsidR="005D295B" w:rsidRPr="00612BE5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="005D295B" w:rsidRPr="00612BE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616511" w:rsidRPr="00612BE5" w:rsidRDefault="00616511" w:rsidP="00612BE5">
      <w:pPr>
        <w:pageBreakBefore/>
        <w:rPr>
          <w:rFonts w:ascii="Times New Roman" w:hAnsi="Times New Roman" w:cs="Times New Roman"/>
          <w:sz w:val="22"/>
          <w:szCs w:val="22"/>
        </w:rPr>
      </w:pPr>
    </w:p>
    <w:tbl>
      <w:tblPr>
        <w:tblW w:w="6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8"/>
        <w:gridCol w:w="1712"/>
        <w:gridCol w:w="1888"/>
      </w:tblGrid>
      <w:tr w:rsidR="00616511" w:rsidRPr="00612BE5" w:rsidTr="00616511">
        <w:tc>
          <w:tcPr>
            <w:tcW w:w="638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511" w:rsidRPr="00612BE5" w:rsidRDefault="00616511" w:rsidP="00612BE5">
            <w:pPr>
              <w:pStyle w:val="TableContents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Table</w:t>
            </w:r>
            <w:bookmarkEnd w:id="0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 S6: ANOVA of factors influencing prediction accuracy.</w:t>
            </w:r>
          </w:p>
        </w:tc>
      </w:tr>
      <w:tr w:rsidR="00B82435" w:rsidRPr="00612BE5" w:rsidTr="00616511"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Source of variation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616511" w:rsidP="00612BE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a</w:t>
            </w:r>
            <w:r w:rsidR="005D295B"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p-values</w:t>
            </w:r>
          </w:p>
        </w:tc>
      </w:tr>
      <w:tr w:rsidR="00B82435" w:rsidRPr="00612BE5" w:rsidTr="00616511"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Population</w:t>
            </w: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B82435" w:rsidRPr="00612BE5" w:rsidTr="00616511">
        <w:tc>
          <w:tcPr>
            <w:tcW w:w="2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Trait</w:t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B82435" w:rsidRPr="00612BE5" w:rsidTr="00616511">
        <w:tc>
          <w:tcPr>
            <w:tcW w:w="2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Method</w:t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0.01</w:t>
            </w:r>
          </w:p>
        </w:tc>
      </w:tr>
      <w:tr w:rsidR="00B82435" w:rsidRPr="00612BE5" w:rsidTr="00616511">
        <w:tc>
          <w:tcPr>
            <w:tcW w:w="2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Population x Trait</w:t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B82435" w:rsidRPr="00612BE5" w:rsidTr="00616511">
        <w:tc>
          <w:tcPr>
            <w:tcW w:w="2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Population x method</w:t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B82435" w:rsidRPr="00612BE5" w:rsidTr="00616511">
        <w:tc>
          <w:tcPr>
            <w:tcW w:w="27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Trait x Method</w:t>
            </w:r>
          </w:p>
        </w:tc>
        <w:tc>
          <w:tcPr>
            <w:tcW w:w="17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8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&lt;0.0001</w:t>
            </w:r>
          </w:p>
        </w:tc>
      </w:tr>
      <w:tr w:rsidR="00B82435" w:rsidRPr="00612BE5" w:rsidTr="00616511"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Residuals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5D295B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378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435" w:rsidRPr="00612BE5" w:rsidRDefault="00B82435" w:rsidP="00612BE5">
            <w:pPr>
              <w:pStyle w:val="TableContents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11" w:rsidRPr="00612BE5" w:rsidTr="000F7B62">
        <w:tc>
          <w:tcPr>
            <w:tcW w:w="638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511" w:rsidRPr="00612BE5" w:rsidRDefault="00616511" w:rsidP="00612BE5">
            <w:pPr>
              <w:pStyle w:val="TableContents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2BE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a</w:t>
            </w:r>
            <w:r w:rsidRPr="00612BE5">
              <w:rPr>
                <w:rFonts w:ascii="Times New Roman" w:hAnsi="Times New Roman" w:cs="Times New Roman"/>
                <w:sz w:val="22"/>
                <w:szCs w:val="22"/>
              </w:rPr>
              <w:t>Degrees</w:t>
            </w:r>
            <w:proofErr w:type="spellEnd"/>
            <w:r w:rsidRPr="00612BE5">
              <w:rPr>
                <w:rFonts w:ascii="Times New Roman" w:hAnsi="Times New Roman" w:cs="Times New Roman"/>
                <w:sz w:val="22"/>
                <w:szCs w:val="22"/>
              </w:rPr>
              <w:t xml:space="preserve"> of Freedom</w:t>
            </w:r>
          </w:p>
        </w:tc>
      </w:tr>
    </w:tbl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82435" w:rsidRPr="00612BE5" w:rsidRDefault="00B82435" w:rsidP="00612BE5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B82435" w:rsidRPr="00612BE5" w:rsidSect="000F7B62">
      <w:headerReference w:type="default" r:id="rId10"/>
      <w:footerReference w:type="default" r:id="rId11"/>
      <w:pgSz w:w="12240" w:h="15840"/>
      <w:pgMar w:top="1134" w:right="1710" w:bottom="1134" w:left="19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A0A" w:rsidRDefault="00E56A0A">
      <w:r>
        <w:separator/>
      </w:r>
    </w:p>
  </w:endnote>
  <w:endnote w:type="continuationSeparator" w:id="0">
    <w:p w:rsidR="00E56A0A" w:rsidRDefault="00E5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2" w:rsidRDefault="000F7B62">
    <w:pPr>
      <w:pStyle w:val="Footer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AD54F3">
      <w:rPr>
        <w:noProof/>
        <w:sz w:val="22"/>
        <w:szCs w:val="22"/>
      </w:rPr>
      <w:t>21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A0A" w:rsidRDefault="00E56A0A">
      <w:r>
        <w:rPr>
          <w:color w:val="000000"/>
        </w:rPr>
        <w:separator/>
      </w:r>
    </w:p>
  </w:footnote>
  <w:footnote w:type="continuationSeparator" w:id="0">
    <w:p w:rsidR="00E56A0A" w:rsidRDefault="00E5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B62" w:rsidRDefault="000F7B6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otal_Editing_Time" w:val="29"/>
  </w:docVars>
  <w:rsids>
    <w:rsidRoot w:val="00B82435"/>
    <w:rsid w:val="000F7B62"/>
    <w:rsid w:val="002F72AD"/>
    <w:rsid w:val="005D295B"/>
    <w:rsid w:val="00612BE5"/>
    <w:rsid w:val="00616511"/>
    <w:rsid w:val="00AC0928"/>
    <w:rsid w:val="00AD54F3"/>
    <w:rsid w:val="00B82435"/>
    <w:rsid w:val="00BA37B6"/>
    <w:rsid w:val="00E549A5"/>
    <w:rsid w:val="00E5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PreformattedText">
    <w:name w:val="Preformatted Text"/>
    <w:basedOn w:val="Standard"/>
  </w:style>
  <w:style w:type="paragraph" w:styleId="BalloonText">
    <w:name w:val="Balloon Text"/>
    <w:basedOn w:val="Normal"/>
    <w:link w:val="BalloonTextChar"/>
    <w:uiPriority w:val="99"/>
    <w:semiHidden/>
    <w:unhideWhenUsed/>
    <w:rsid w:val="00AC092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2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PreformattedText">
    <w:name w:val="Preformatted Text"/>
    <w:basedOn w:val="Standard"/>
  </w:style>
  <w:style w:type="paragraph" w:styleId="BalloonText">
    <w:name w:val="Balloon Text"/>
    <w:basedOn w:val="Normal"/>
    <w:link w:val="BalloonTextChar"/>
    <w:uiPriority w:val="99"/>
    <w:semiHidden/>
    <w:unhideWhenUsed/>
    <w:rsid w:val="00AC0928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92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21</Pages>
  <Words>3857</Words>
  <Characters>15623</Characters>
  <Application>Microsoft Office Word</Application>
  <DocSecurity>0</DocSecurity>
  <Lines>5207</Lines>
  <Paragraphs>3895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LAWID</cp:lastModifiedBy>
  <cp:revision>6</cp:revision>
  <dcterms:created xsi:type="dcterms:W3CDTF">2017-12-12T21:55:00Z</dcterms:created>
  <dcterms:modified xsi:type="dcterms:W3CDTF">2018-07-04T10:53:00Z</dcterms:modified>
</cp:coreProperties>
</file>