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A1175" w14:textId="6DF90FC3" w:rsidR="002C4A3D" w:rsidRDefault="00BF4089" w:rsidP="00AB73AF">
      <w:pPr>
        <w:pStyle w:val="Heading1"/>
      </w:pPr>
      <w:r>
        <w:t>Additional file</w:t>
      </w:r>
      <w:bookmarkStart w:id="0" w:name="_GoBack"/>
      <w:bookmarkEnd w:id="0"/>
      <w:r w:rsidR="00AB73AF">
        <w:t xml:space="preserve"> </w:t>
      </w:r>
      <w:r w:rsidR="007F64D3">
        <w:t>3</w:t>
      </w:r>
      <w:r w:rsidR="00AB73AF">
        <w:t xml:space="preserve">: </w:t>
      </w:r>
      <w:r w:rsidR="00141D8C">
        <w:t>Explanatory information of presented headline indicators per HSPA domain</w:t>
      </w:r>
    </w:p>
    <w:tbl>
      <w:tblPr>
        <w:tblW w:w="5000" w:type="pct"/>
        <w:tblLook w:val="04A0" w:firstRow="1" w:lastRow="0" w:firstColumn="1" w:lastColumn="0" w:noHBand="0" w:noVBand="1"/>
      </w:tblPr>
      <w:tblGrid>
        <w:gridCol w:w="825"/>
        <w:gridCol w:w="2733"/>
        <w:gridCol w:w="10617"/>
      </w:tblGrid>
      <w:tr w:rsidR="00AB73AF" w:rsidRPr="00AB73AF" w14:paraId="5004A785" w14:textId="77777777" w:rsidTr="00AB73AF">
        <w:trPr>
          <w:trHeight w:val="240"/>
          <w:tblHeader/>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2B6E" w14:textId="77777777" w:rsidR="00AB73AF" w:rsidRPr="00AB73AF" w:rsidRDefault="00AB73AF" w:rsidP="00AB73AF">
            <w:pPr>
              <w:spacing w:line="240" w:lineRule="auto"/>
              <w:jc w:val="center"/>
              <w:rPr>
                <w:rFonts w:ascii="Calibri" w:eastAsia="Times New Roman" w:hAnsi="Calibri" w:cs="Times New Roman"/>
                <w:b/>
                <w:bCs/>
                <w:sz w:val="18"/>
                <w:szCs w:val="18"/>
              </w:rPr>
            </w:pPr>
            <w:r w:rsidRPr="00AB73AF">
              <w:rPr>
                <w:rFonts w:ascii="Calibri" w:eastAsia="Times New Roman" w:hAnsi="Calibri" w:cs="Times New Roman"/>
                <w:b/>
                <w:bCs/>
                <w:sz w:val="18"/>
                <w:szCs w:val="18"/>
              </w:rPr>
              <w:t>Domain</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498E1698" w14:textId="77777777" w:rsidR="00AB73AF" w:rsidRPr="00AB73AF" w:rsidRDefault="00AB73AF" w:rsidP="00AB73AF">
            <w:pPr>
              <w:spacing w:line="240" w:lineRule="auto"/>
              <w:jc w:val="left"/>
              <w:rPr>
                <w:rFonts w:ascii="Calibri" w:eastAsia="Times New Roman" w:hAnsi="Calibri" w:cs="Times New Roman"/>
                <w:b/>
                <w:bCs/>
                <w:sz w:val="18"/>
                <w:szCs w:val="18"/>
              </w:rPr>
            </w:pPr>
            <w:r w:rsidRPr="00AB73AF">
              <w:rPr>
                <w:rFonts w:ascii="Calibri" w:eastAsia="Times New Roman" w:hAnsi="Calibri" w:cs="Times New Roman"/>
                <w:b/>
                <w:bCs/>
                <w:sz w:val="18"/>
                <w:szCs w:val="18"/>
              </w:rPr>
              <w:t>Name of indicator</w:t>
            </w:r>
          </w:p>
        </w:tc>
        <w:tc>
          <w:tcPr>
            <w:tcW w:w="3745" w:type="pct"/>
            <w:tcBorders>
              <w:top w:val="single" w:sz="4" w:space="0" w:color="auto"/>
              <w:left w:val="nil"/>
              <w:bottom w:val="single" w:sz="4" w:space="0" w:color="auto"/>
              <w:right w:val="single" w:sz="4" w:space="0" w:color="auto"/>
            </w:tcBorders>
            <w:shd w:val="clear" w:color="auto" w:fill="auto"/>
            <w:vAlign w:val="center"/>
            <w:hideMark/>
          </w:tcPr>
          <w:p w14:paraId="6B0593D1" w14:textId="77777777" w:rsidR="00AB73AF" w:rsidRPr="00AB73AF" w:rsidRDefault="00AB73AF" w:rsidP="00AB73AF">
            <w:pPr>
              <w:spacing w:line="240" w:lineRule="auto"/>
              <w:jc w:val="left"/>
              <w:rPr>
                <w:rFonts w:ascii="Calibri" w:eastAsia="Times New Roman" w:hAnsi="Calibri" w:cs="Times New Roman"/>
                <w:b/>
                <w:bCs/>
                <w:sz w:val="18"/>
                <w:szCs w:val="18"/>
              </w:rPr>
            </w:pPr>
            <w:r w:rsidRPr="00AB73AF">
              <w:rPr>
                <w:rFonts w:ascii="Calibri" w:eastAsia="Times New Roman" w:hAnsi="Calibri" w:cs="Times New Roman"/>
                <w:b/>
                <w:bCs/>
                <w:sz w:val="18"/>
                <w:szCs w:val="18"/>
              </w:rPr>
              <w:t>Explanatory info for survey</w:t>
            </w:r>
          </w:p>
        </w:tc>
      </w:tr>
      <w:tr w:rsidR="00AB73AF" w:rsidRPr="00AB73AF" w14:paraId="11A605EE" w14:textId="77777777" w:rsidTr="00AB73AF">
        <w:trPr>
          <w:trHeight w:val="480"/>
        </w:trPr>
        <w:tc>
          <w:tcPr>
            <w:tcW w:w="29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D9B770D" w14:textId="77777777" w:rsidR="00AB73AF" w:rsidRPr="00AB73AF" w:rsidRDefault="00AB73AF" w:rsidP="00AB73AF">
            <w:pPr>
              <w:spacing w:line="240" w:lineRule="auto"/>
              <w:jc w:val="center"/>
              <w:rPr>
                <w:rFonts w:ascii="Calibri" w:eastAsia="Times New Roman" w:hAnsi="Calibri" w:cs="Times New Roman"/>
                <w:b/>
                <w:bCs/>
                <w:sz w:val="18"/>
                <w:szCs w:val="18"/>
              </w:rPr>
            </w:pPr>
            <w:r w:rsidRPr="00AB73AF">
              <w:rPr>
                <w:rFonts w:ascii="Calibri" w:eastAsia="Times New Roman" w:hAnsi="Calibri" w:cs="Times New Roman"/>
                <w:b/>
                <w:bCs/>
                <w:sz w:val="18"/>
                <w:szCs w:val="18"/>
              </w:rPr>
              <w:t>Access</w:t>
            </w:r>
          </w:p>
        </w:tc>
        <w:tc>
          <w:tcPr>
            <w:tcW w:w="964" w:type="pct"/>
            <w:tcBorders>
              <w:top w:val="nil"/>
              <w:left w:val="nil"/>
              <w:bottom w:val="single" w:sz="4" w:space="0" w:color="auto"/>
              <w:right w:val="single" w:sz="4" w:space="0" w:color="auto"/>
            </w:tcBorders>
            <w:shd w:val="clear" w:color="auto" w:fill="auto"/>
            <w:vAlign w:val="center"/>
            <w:hideMark/>
          </w:tcPr>
          <w:p w14:paraId="3033107B"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Share of population covered by health insurance *</w:t>
            </w:r>
          </w:p>
        </w:tc>
        <w:tc>
          <w:tcPr>
            <w:tcW w:w="3745" w:type="pct"/>
            <w:tcBorders>
              <w:top w:val="nil"/>
              <w:left w:val="nil"/>
              <w:bottom w:val="single" w:sz="4" w:space="0" w:color="auto"/>
              <w:right w:val="single" w:sz="4" w:space="0" w:color="auto"/>
            </w:tcBorders>
            <w:shd w:val="clear" w:color="auto" w:fill="auto"/>
            <w:vAlign w:val="center"/>
            <w:hideMark/>
          </w:tcPr>
          <w:p w14:paraId="320C0199"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Percentage of population covered by i) Government/ social health insurance, ii) private health insurance.</w:t>
            </w:r>
          </w:p>
        </w:tc>
      </w:tr>
      <w:tr w:rsidR="00AB73AF" w:rsidRPr="00AB73AF" w14:paraId="3B6917B0" w14:textId="77777777" w:rsidTr="00AB73AF">
        <w:trPr>
          <w:trHeight w:val="240"/>
        </w:trPr>
        <w:tc>
          <w:tcPr>
            <w:tcW w:w="291" w:type="pct"/>
            <w:vMerge/>
            <w:tcBorders>
              <w:top w:val="nil"/>
              <w:left w:val="single" w:sz="4" w:space="0" w:color="auto"/>
              <w:bottom w:val="single" w:sz="4" w:space="0" w:color="auto"/>
              <w:right w:val="single" w:sz="4" w:space="0" w:color="auto"/>
            </w:tcBorders>
            <w:vAlign w:val="center"/>
            <w:hideMark/>
          </w:tcPr>
          <w:p w14:paraId="293E298B"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50CC882C" w14:textId="48B112D3"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Access</w:t>
            </w:r>
            <w:r w:rsidR="007F64D3">
              <w:rPr>
                <w:rFonts w:ascii="Calibri" w:eastAsia="Times New Roman" w:hAnsi="Calibri" w:cs="Times New Roman"/>
                <w:sz w:val="18"/>
                <w:szCs w:val="18"/>
              </w:rPr>
              <w:t>ibility</w:t>
            </w:r>
            <w:r w:rsidRPr="00AB73AF">
              <w:rPr>
                <w:rFonts w:ascii="Calibri" w:eastAsia="Times New Roman" w:hAnsi="Calibri" w:cs="Times New Roman"/>
                <w:sz w:val="18"/>
                <w:szCs w:val="18"/>
              </w:rPr>
              <w:t xml:space="preserve"> to acute care *</w:t>
            </w:r>
          </w:p>
        </w:tc>
        <w:tc>
          <w:tcPr>
            <w:tcW w:w="3745" w:type="pct"/>
            <w:tcBorders>
              <w:top w:val="nil"/>
              <w:left w:val="nil"/>
              <w:bottom w:val="single" w:sz="4" w:space="0" w:color="auto"/>
              <w:right w:val="single" w:sz="4" w:space="0" w:color="auto"/>
            </w:tcBorders>
            <w:shd w:val="clear" w:color="auto" w:fill="auto"/>
            <w:vAlign w:val="center"/>
            <w:hideMark/>
          </w:tcPr>
          <w:p w14:paraId="5190CF2F"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Percentage of people who can REACH primary, emergency and materinity care services within 15/30 minutes</w:t>
            </w:r>
          </w:p>
        </w:tc>
      </w:tr>
      <w:tr w:rsidR="00AB73AF" w:rsidRPr="00AB73AF" w14:paraId="381D74A1" w14:textId="77777777" w:rsidTr="00AB73AF">
        <w:trPr>
          <w:trHeight w:val="720"/>
        </w:trPr>
        <w:tc>
          <w:tcPr>
            <w:tcW w:w="291" w:type="pct"/>
            <w:vMerge/>
            <w:tcBorders>
              <w:top w:val="nil"/>
              <w:left w:val="single" w:sz="4" w:space="0" w:color="auto"/>
              <w:bottom w:val="single" w:sz="4" w:space="0" w:color="auto"/>
              <w:right w:val="single" w:sz="4" w:space="0" w:color="auto"/>
            </w:tcBorders>
            <w:vAlign w:val="center"/>
            <w:hideMark/>
          </w:tcPr>
          <w:p w14:paraId="49BE9E11"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30C2D7EE"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Self-reported unmet need for medical care (total by reason: cost, waiting time, distance) *</w:t>
            </w:r>
          </w:p>
        </w:tc>
        <w:tc>
          <w:tcPr>
            <w:tcW w:w="3745" w:type="pct"/>
            <w:tcBorders>
              <w:top w:val="nil"/>
              <w:left w:val="nil"/>
              <w:bottom w:val="single" w:sz="4" w:space="0" w:color="auto"/>
              <w:right w:val="single" w:sz="4" w:space="0" w:color="auto"/>
            </w:tcBorders>
            <w:shd w:val="clear" w:color="auto" w:fill="auto"/>
            <w:vAlign w:val="center"/>
            <w:hideMark/>
          </w:tcPr>
          <w:p w14:paraId="3DE29290"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Disaggregated by sex, by age group (total, 18-64, 65+), by education level (ISCED 0-1, 2, 3-4, 5-6) and by income quintile.</w:t>
            </w:r>
            <w:r w:rsidRPr="00AB73AF">
              <w:rPr>
                <w:rFonts w:ascii="Calibri" w:eastAsia="Times New Roman" w:hAnsi="Calibri" w:cs="Times New Roman"/>
                <w:sz w:val="18"/>
                <w:szCs w:val="18"/>
              </w:rPr>
              <w:br/>
              <w:t>Proportion of persons with self-declared unmet needs for medical care services due to either financial barriers, waiting times or traveling distances.</w:t>
            </w:r>
          </w:p>
        </w:tc>
      </w:tr>
      <w:tr w:rsidR="00AB73AF" w:rsidRPr="00AB73AF" w14:paraId="54938D32" w14:textId="77777777" w:rsidTr="00AB73AF">
        <w:trPr>
          <w:trHeight w:val="1920"/>
        </w:trPr>
        <w:tc>
          <w:tcPr>
            <w:tcW w:w="291" w:type="pct"/>
            <w:vMerge/>
            <w:tcBorders>
              <w:top w:val="nil"/>
              <w:left w:val="single" w:sz="4" w:space="0" w:color="auto"/>
              <w:bottom w:val="single" w:sz="4" w:space="0" w:color="auto"/>
              <w:right w:val="single" w:sz="4" w:space="0" w:color="auto"/>
            </w:tcBorders>
            <w:vAlign w:val="center"/>
            <w:hideMark/>
          </w:tcPr>
          <w:p w14:paraId="5D1027EB"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4FD83DA2"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Reported waiting times for access to specialist (care)</w:t>
            </w:r>
          </w:p>
        </w:tc>
        <w:tc>
          <w:tcPr>
            <w:tcW w:w="3745" w:type="pct"/>
            <w:tcBorders>
              <w:top w:val="nil"/>
              <w:left w:val="nil"/>
              <w:bottom w:val="single" w:sz="4" w:space="0" w:color="auto"/>
              <w:right w:val="single" w:sz="4" w:space="0" w:color="auto"/>
            </w:tcBorders>
            <w:shd w:val="clear" w:color="auto" w:fill="auto"/>
            <w:vAlign w:val="center"/>
            <w:hideMark/>
          </w:tcPr>
          <w:p w14:paraId="35C152D5"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No attempt was made to provide a single definition; instead following definitions are considered as examples: </w:t>
            </w:r>
            <w:r w:rsidRPr="00AB73AF">
              <w:rPr>
                <w:rFonts w:ascii="Calibri" w:eastAsia="Times New Roman" w:hAnsi="Calibri" w:cs="Times New Roman"/>
                <w:sz w:val="18"/>
                <w:szCs w:val="18"/>
              </w:rPr>
              <w:br/>
              <w:t xml:space="preserve">Waiting time of more than two weeks to get an appointment with a specialist (% of population asking an appointment). </w:t>
            </w:r>
            <w:r w:rsidRPr="00AB73AF">
              <w:rPr>
                <w:rFonts w:ascii="Calibri" w:eastAsia="Times New Roman" w:hAnsi="Calibri" w:cs="Times New Roman"/>
                <w:sz w:val="18"/>
                <w:szCs w:val="18"/>
              </w:rPr>
              <w:br/>
              <w:t>Waited 2 months or longer for specialist appointment (base: needed to see specialist in past 2 years) (by two income categories).</w:t>
            </w:r>
            <w:r w:rsidRPr="00AB73AF">
              <w:rPr>
                <w:rFonts w:ascii="Calibri" w:eastAsia="Times New Roman" w:hAnsi="Calibri" w:cs="Times New Roman"/>
                <w:sz w:val="18"/>
                <w:szCs w:val="18"/>
              </w:rPr>
              <w:br/>
              <w:t>Waiting time longer than 1 month for first contact in ambulatory mental health centre (% of pop with contact in ambulatory mental health centre).</w:t>
            </w:r>
            <w:r w:rsidRPr="00AB73AF">
              <w:rPr>
                <w:rFonts w:ascii="Calibri" w:eastAsia="Times New Roman" w:hAnsi="Calibri" w:cs="Times New Roman"/>
                <w:sz w:val="18"/>
                <w:szCs w:val="18"/>
              </w:rPr>
              <w:br/>
              <w:t xml:space="preserve">Waiting time, referral to treatment: Doctors report patients often experience long wait times to receive treatment after diagnosis (e.g. cancer treatment delays). Percentage of patients treated within 18 weeks. </w:t>
            </w:r>
          </w:p>
        </w:tc>
      </w:tr>
      <w:tr w:rsidR="00AB73AF" w:rsidRPr="00AB73AF" w14:paraId="1B750C88" w14:textId="77777777" w:rsidTr="00AB73AF">
        <w:trPr>
          <w:trHeight w:val="720"/>
        </w:trPr>
        <w:tc>
          <w:tcPr>
            <w:tcW w:w="291" w:type="pct"/>
            <w:vMerge/>
            <w:tcBorders>
              <w:top w:val="nil"/>
              <w:left w:val="single" w:sz="4" w:space="0" w:color="auto"/>
              <w:bottom w:val="single" w:sz="4" w:space="0" w:color="auto"/>
              <w:right w:val="single" w:sz="4" w:space="0" w:color="auto"/>
            </w:tcBorders>
            <w:vAlign w:val="center"/>
            <w:hideMark/>
          </w:tcPr>
          <w:p w14:paraId="3B9C8C82"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7FC72CCB"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Waiting times for elective surgeries</w:t>
            </w:r>
          </w:p>
        </w:tc>
        <w:tc>
          <w:tcPr>
            <w:tcW w:w="3745" w:type="pct"/>
            <w:tcBorders>
              <w:top w:val="nil"/>
              <w:left w:val="nil"/>
              <w:bottom w:val="single" w:sz="4" w:space="0" w:color="auto"/>
              <w:right w:val="single" w:sz="4" w:space="0" w:color="auto"/>
            </w:tcBorders>
            <w:shd w:val="clear" w:color="auto" w:fill="auto"/>
            <w:vAlign w:val="center"/>
            <w:hideMark/>
          </w:tcPr>
          <w:p w14:paraId="170E5239"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Average inpatient waiting time for elective (i.e. non-urgent) surgeries of Percutanerous Transluminal Coronary Angioplasty (PTCA), hip replacement and cataract operation, measured in number of days. Elective surgery is defined as when surgery is necessary, but the timing of the procedure can be scheduled and the patient can be sent home.</w:t>
            </w:r>
          </w:p>
        </w:tc>
      </w:tr>
      <w:tr w:rsidR="00AB73AF" w:rsidRPr="00AB73AF" w14:paraId="26FE9158" w14:textId="77777777" w:rsidTr="00AB73AF">
        <w:trPr>
          <w:trHeight w:val="1680"/>
        </w:trPr>
        <w:tc>
          <w:tcPr>
            <w:tcW w:w="29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46E7D3E" w14:textId="77777777" w:rsidR="00AB73AF" w:rsidRPr="00AB73AF" w:rsidRDefault="00AB73AF" w:rsidP="00AB73AF">
            <w:pPr>
              <w:spacing w:line="240" w:lineRule="auto"/>
              <w:jc w:val="center"/>
              <w:rPr>
                <w:rFonts w:ascii="Calibri" w:eastAsia="Times New Roman" w:hAnsi="Calibri" w:cs="Times New Roman"/>
                <w:b/>
                <w:bCs/>
                <w:sz w:val="18"/>
                <w:szCs w:val="18"/>
              </w:rPr>
            </w:pPr>
            <w:r w:rsidRPr="00AB73AF">
              <w:rPr>
                <w:rFonts w:ascii="Calibri" w:eastAsia="Times New Roman" w:hAnsi="Calibri" w:cs="Times New Roman"/>
                <w:b/>
                <w:bCs/>
                <w:sz w:val="18"/>
                <w:szCs w:val="18"/>
              </w:rPr>
              <w:t>Efficiency</w:t>
            </w:r>
          </w:p>
        </w:tc>
        <w:tc>
          <w:tcPr>
            <w:tcW w:w="964" w:type="pct"/>
            <w:tcBorders>
              <w:top w:val="nil"/>
              <w:left w:val="nil"/>
              <w:bottom w:val="single" w:sz="4" w:space="0" w:color="auto"/>
              <w:right w:val="single" w:sz="4" w:space="0" w:color="auto"/>
            </w:tcBorders>
            <w:shd w:val="clear" w:color="auto" w:fill="auto"/>
            <w:vAlign w:val="center"/>
            <w:hideMark/>
          </w:tcPr>
          <w:p w14:paraId="4DC7AA6F"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Total health care expenditure by all financing agents (total, public and private sectors)</w:t>
            </w:r>
          </w:p>
        </w:tc>
        <w:tc>
          <w:tcPr>
            <w:tcW w:w="3745" w:type="pct"/>
            <w:tcBorders>
              <w:top w:val="nil"/>
              <w:left w:val="nil"/>
              <w:bottom w:val="single" w:sz="4" w:space="0" w:color="auto"/>
              <w:right w:val="single" w:sz="4" w:space="0" w:color="auto"/>
            </w:tcBorders>
            <w:shd w:val="clear" w:color="auto" w:fill="auto"/>
            <w:vAlign w:val="center"/>
            <w:hideMark/>
          </w:tcPr>
          <w:p w14:paraId="7FE2485A"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Total health expenditure for total, public, and private sectors expressed in following units: i) in Purchasing Power Standard (PPS) per capita, ii) as percentage of gross domestic product (GDP), iii) in millions of Purchasing Power Standard (PPS). </w:t>
            </w:r>
            <w:r w:rsidRPr="00AB73AF">
              <w:rPr>
                <w:rFonts w:ascii="Calibri" w:eastAsia="Times New Roman" w:hAnsi="Calibri" w:cs="Times New Roman"/>
                <w:sz w:val="18"/>
                <w:szCs w:val="18"/>
              </w:rPr>
              <w:br/>
              <w:t>‘Total expenditure on health measures the final consumption of health goods and services (i.e. current health expenditure, CHE) plus capital investment in health care infrastructure. This includes spending by both public and private sources on medical services and goods, public health and prevention programmes and administration. To compare spending levels between countries, per capita health expenditures are converted to a common currency (US dollar) and adjusted to take account of the different purchasing power of the national currencies, in order to compare spending levels’.</w:t>
            </w:r>
          </w:p>
        </w:tc>
      </w:tr>
      <w:tr w:rsidR="00AB73AF" w:rsidRPr="00AB73AF" w14:paraId="4EEE8591" w14:textId="77777777" w:rsidTr="00AB73AF">
        <w:trPr>
          <w:trHeight w:val="240"/>
        </w:trPr>
        <w:tc>
          <w:tcPr>
            <w:tcW w:w="291" w:type="pct"/>
            <w:vMerge/>
            <w:tcBorders>
              <w:top w:val="nil"/>
              <w:left w:val="single" w:sz="4" w:space="0" w:color="auto"/>
              <w:bottom w:val="single" w:sz="4" w:space="0" w:color="auto"/>
              <w:right w:val="single" w:sz="4" w:space="0" w:color="auto"/>
            </w:tcBorders>
            <w:vAlign w:val="center"/>
            <w:hideMark/>
          </w:tcPr>
          <w:p w14:paraId="0F1A9F22"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0B579DBE"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Hospital beds *</w:t>
            </w:r>
          </w:p>
        </w:tc>
        <w:tc>
          <w:tcPr>
            <w:tcW w:w="3745" w:type="pct"/>
            <w:tcBorders>
              <w:top w:val="nil"/>
              <w:left w:val="nil"/>
              <w:bottom w:val="single" w:sz="4" w:space="0" w:color="auto"/>
              <w:right w:val="single" w:sz="4" w:space="0" w:color="auto"/>
            </w:tcBorders>
            <w:shd w:val="clear" w:color="auto" w:fill="auto"/>
            <w:vAlign w:val="center"/>
            <w:hideMark/>
          </w:tcPr>
          <w:p w14:paraId="3B4B32F4"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The total number of hospital beds per 100,000 inhabitants. (total number, acute care, psychiatric care, long-term care)</w:t>
            </w:r>
          </w:p>
        </w:tc>
      </w:tr>
      <w:tr w:rsidR="00AB73AF" w:rsidRPr="00AB73AF" w14:paraId="3CB199B0" w14:textId="77777777" w:rsidTr="00AB73AF">
        <w:trPr>
          <w:trHeight w:val="720"/>
        </w:trPr>
        <w:tc>
          <w:tcPr>
            <w:tcW w:w="291" w:type="pct"/>
            <w:vMerge/>
            <w:tcBorders>
              <w:top w:val="nil"/>
              <w:left w:val="single" w:sz="4" w:space="0" w:color="auto"/>
              <w:bottom w:val="single" w:sz="4" w:space="0" w:color="auto"/>
              <w:right w:val="single" w:sz="4" w:space="0" w:color="auto"/>
            </w:tcBorders>
            <w:vAlign w:val="center"/>
            <w:hideMark/>
          </w:tcPr>
          <w:p w14:paraId="2F86FE18"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68CEA034"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Vaccination coverage in children</w:t>
            </w:r>
          </w:p>
        </w:tc>
        <w:tc>
          <w:tcPr>
            <w:tcW w:w="3745" w:type="pct"/>
            <w:tcBorders>
              <w:top w:val="nil"/>
              <w:left w:val="nil"/>
              <w:bottom w:val="single" w:sz="4" w:space="0" w:color="auto"/>
              <w:right w:val="single" w:sz="4" w:space="0" w:color="auto"/>
            </w:tcBorders>
            <w:shd w:val="clear" w:color="auto" w:fill="auto"/>
            <w:vAlign w:val="center"/>
            <w:hideMark/>
          </w:tcPr>
          <w:p w14:paraId="59E4E1A7"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Disaggregated by age.  </w:t>
            </w:r>
            <w:r w:rsidRPr="00AB73AF">
              <w:rPr>
                <w:rFonts w:ascii="Calibri" w:eastAsia="Times New Roman" w:hAnsi="Calibri" w:cs="Times New Roman"/>
                <w:sz w:val="18"/>
                <w:szCs w:val="18"/>
              </w:rPr>
              <w:br/>
              <w:t>Percentage of infants who have been fully vaccinated against important infectious childhood diseases according to national vaccination schemes.</w:t>
            </w:r>
          </w:p>
        </w:tc>
      </w:tr>
      <w:tr w:rsidR="00AB73AF" w:rsidRPr="00AB73AF" w14:paraId="72EA4C02" w14:textId="77777777" w:rsidTr="00AB73AF">
        <w:trPr>
          <w:trHeight w:val="1680"/>
        </w:trPr>
        <w:tc>
          <w:tcPr>
            <w:tcW w:w="291" w:type="pct"/>
            <w:vMerge/>
            <w:tcBorders>
              <w:top w:val="nil"/>
              <w:left w:val="single" w:sz="4" w:space="0" w:color="auto"/>
              <w:bottom w:val="single" w:sz="4" w:space="0" w:color="auto"/>
              <w:right w:val="single" w:sz="4" w:space="0" w:color="auto"/>
            </w:tcBorders>
            <w:vAlign w:val="center"/>
            <w:hideMark/>
          </w:tcPr>
          <w:p w14:paraId="0461BC7F"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34891985"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Current health care expenditure (CHE) by all financing agents (total, public and private sectors)</w:t>
            </w:r>
          </w:p>
        </w:tc>
        <w:tc>
          <w:tcPr>
            <w:tcW w:w="3745" w:type="pct"/>
            <w:tcBorders>
              <w:top w:val="nil"/>
              <w:left w:val="nil"/>
              <w:bottom w:val="single" w:sz="4" w:space="0" w:color="auto"/>
              <w:right w:val="single" w:sz="4" w:space="0" w:color="auto"/>
            </w:tcBorders>
            <w:shd w:val="clear" w:color="auto" w:fill="auto"/>
            <w:vAlign w:val="center"/>
            <w:hideMark/>
          </w:tcPr>
          <w:p w14:paraId="0AA4E4CD"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Current health expenditure (CHE) for total, public, and private sectors, expressed in following units: i) in Purchasing Power Standard (PPS) per capita, ii) as percentage of gross domestic product (GDP), iii) in millions of Purchasing Power Standard (PPS). </w:t>
            </w:r>
            <w:r w:rsidRPr="00AB73AF">
              <w:rPr>
                <w:rFonts w:ascii="Calibri" w:eastAsia="Times New Roman" w:hAnsi="Calibri" w:cs="Times New Roman"/>
                <w:sz w:val="18"/>
                <w:szCs w:val="18"/>
              </w:rPr>
              <w:br/>
              <w:t>Current health expenditure measures the final consumption of health goods and services without capital investment in health care infrastructure. This includes spending by both public and private sources on medical services and goods, public health and prevention programmes and administration. To compare spending levels between countries, per capita health expenditures are converted to a common currency (US dollar) and adjusted to take account of the different purchasing power of the national currencies, in order to compare spending levels’.</w:t>
            </w:r>
          </w:p>
        </w:tc>
      </w:tr>
      <w:tr w:rsidR="00AB73AF" w:rsidRPr="00AB73AF" w14:paraId="0A9B2563" w14:textId="77777777" w:rsidTr="00AB73AF">
        <w:trPr>
          <w:trHeight w:val="2640"/>
        </w:trPr>
        <w:tc>
          <w:tcPr>
            <w:tcW w:w="291" w:type="pct"/>
            <w:vMerge/>
            <w:tcBorders>
              <w:top w:val="nil"/>
              <w:left w:val="single" w:sz="4" w:space="0" w:color="auto"/>
              <w:bottom w:val="single" w:sz="4" w:space="0" w:color="auto"/>
              <w:right w:val="single" w:sz="4" w:space="0" w:color="auto"/>
            </w:tcBorders>
            <w:vAlign w:val="center"/>
            <w:hideMark/>
          </w:tcPr>
          <w:p w14:paraId="2172EA21"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508CC223"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Average length of stay (ALOS), total and selected diagnoses</w:t>
            </w:r>
          </w:p>
        </w:tc>
        <w:tc>
          <w:tcPr>
            <w:tcW w:w="3745" w:type="pct"/>
            <w:tcBorders>
              <w:top w:val="nil"/>
              <w:left w:val="nil"/>
              <w:bottom w:val="single" w:sz="4" w:space="0" w:color="auto"/>
              <w:right w:val="single" w:sz="4" w:space="0" w:color="auto"/>
            </w:tcBorders>
            <w:shd w:val="clear" w:color="auto" w:fill="auto"/>
            <w:vAlign w:val="center"/>
            <w:hideMark/>
          </w:tcPr>
          <w:p w14:paraId="4300A3DD"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Total population age-standardized, for selected diagnoses; by type of care (acute, mental and rehabilitation hospitals) disaggregated by age group (0-64, 65+), by sex.</w:t>
            </w:r>
            <w:r w:rsidRPr="00AB73AF">
              <w:rPr>
                <w:rFonts w:ascii="Calibri" w:eastAsia="Times New Roman" w:hAnsi="Calibri" w:cs="Times New Roman"/>
                <w:sz w:val="18"/>
                <w:szCs w:val="18"/>
              </w:rPr>
              <w:br/>
              <w:t xml:space="preserve">In-patient average length of stay (in days) , for selected diagnose (ISHMT code 0000 = ICD-10 codes A00-Z99 excluding V,W,X &amp; Y codes and healthy newborns Z38, e.g. cancers, AMI, normal delivery, ). </w:t>
            </w:r>
            <w:r w:rsidRPr="00AB73AF">
              <w:rPr>
                <w:rFonts w:ascii="Calibri" w:eastAsia="Times New Roman" w:hAnsi="Calibri" w:cs="Times New Roman"/>
                <w:sz w:val="18"/>
                <w:szCs w:val="18"/>
              </w:rPr>
              <w:br/>
              <w:t>Average length of stay (ALOS) is computed by dividing the total number of in-patient hospital days , in all hospitals, counted from the date of admission to the date of discharge by the total number of discharges (including deaths) in all hospitals during a given year. A hospital day (or bed-day or in-patient day) is a day, during which a person admitted as an in-patient, is confined to a bed and stays overnight in a hospital.</w:t>
            </w:r>
            <w:r w:rsidRPr="00AB73AF">
              <w:rPr>
                <w:rFonts w:ascii="Calibri" w:eastAsia="Times New Roman" w:hAnsi="Calibri" w:cs="Times New Roman"/>
                <w:sz w:val="18"/>
                <w:szCs w:val="18"/>
              </w:rPr>
              <w:br/>
              <w:t>Day-cases (patients formally admitted for a medical procedure or surgery in the morning and discharged before the evening) are excluded. Patients admitted with the intention of discharge on the same day, but who subsequently stay in hospital overnight, are included.</w:t>
            </w:r>
          </w:p>
        </w:tc>
      </w:tr>
      <w:tr w:rsidR="00AB73AF" w:rsidRPr="00AB73AF" w14:paraId="4F5129B9" w14:textId="77777777" w:rsidTr="00AB73AF">
        <w:trPr>
          <w:trHeight w:val="1680"/>
        </w:trPr>
        <w:tc>
          <w:tcPr>
            <w:tcW w:w="291" w:type="pct"/>
            <w:vMerge/>
            <w:tcBorders>
              <w:top w:val="nil"/>
              <w:left w:val="single" w:sz="4" w:space="0" w:color="auto"/>
              <w:bottom w:val="single" w:sz="4" w:space="0" w:color="auto"/>
              <w:right w:val="single" w:sz="4" w:space="0" w:color="auto"/>
            </w:tcBorders>
            <w:vAlign w:val="center"/>
            <w:hideMark/>
          </w:tcPr>
          <w:p w14:paraId="7CF6011B"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04956737"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Health expenditure per capita in PPP (purchasing power parities) in relation to life expectancy at birth</w:t>
            </w:r>
          </w:p>
        </w:tc>
        <w:tc>
          <w:tcPr>
            <w:tcW w:w="3745" w:type="pct"/>
            <w:tcBorders>
              <w:top w:val="nil"/>
              <w:left w:val="nil"/>
              <w:bottom w:val="single" w:sz="4" w:space="0" w:color="auto"/>
              <w:right w:val="single" w:sz="4" w:space="0" w:color="auto"/>
            </w:tcBorders>
            <w:shd w:val="clear" w:color="auto" w:fill="auto"/>
            <w:vAlign w:val="center"/>
            <w:hideMark/>
          </w:tcPr>
          <w:p w14:paraId="72A56CF0"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Total health care expenditure by all financing agents (total, public and private sectors) per capita in PPP defined as the final consumption of health goods and services (i.e. current health expenditure, CHE) plus capital investment in health care infrastructure. This includes spending by both public and private sources on medical services and goods, public health and prevention programmes and administration </w:t>
            </w:r>
            <w:r w:rsidRPr="00AB73AF">
              <w:rPr>
                <w:rFonts w:ascii="Calibri" w:eastAsia="Times New Roman" w:hAnsi="Calibri" w:cs="Times New Roman"/>
                <w:sz w:val="18"/>
                <w:szCs w:val="18"/>
              </w:rPr>
              <w:br/>
              <w:t xml:space="preserve">IN RELATION to </w:t>
            </w:r>
            <w:r w:rsidRPr="00AB73AF">
              <w:rPr>
                <w:rFonts w:ascii="Calibri" w:eastAsia="Times New Roman" w:hAnsi="Calibri" w:cs="Times New Roman"/>
                <w:sz w:val="18"/>
                <w:szCs w:val="18"/>
              </w:rPr>
              <w:br/>
              <w:t>Life expectancy at birth defined the average number of years of life remaining if a group of persons at that age were to experience the mortality rates for a particular year over the course of their remaining life.</w:t>
            </w:r>
          </w:p>
        </w:tc>
      </w:tr>
      <w:tr w:rsidR="00AB73AF" w:rsidRPr="00AB73AF" w14:paraId="3B5E58E3" w14:textId="77777777" w:rsidTr="00AB73AF">
        <w:trPr>
          <w:trHeight w:val="1680"/>
        </w:trPr>
        <w:tc>
          <w:tcPr>
            <w:tcW w:w="291" w:type="pct"/>
            <w:vMerge/>
            <w:tcBorders>
              <w:top w:val="nil"/>
              <w:left w:val="single" w:sz="4" w:space="0" w:color="auto"/>
              <w:bottom w:val="single" w:sz="4" w:space="0" w:color="auto"/>
              <w:right w:val="single" w:sz="4" w:space="0" w:color="auto"/>
            </w:tcBorders>
            <w:vAlign w:val="center"/>
            <w:hideMark/>
          </w:tcPr>
          <w:p w14:paraId="77BA85D4"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49AD1E3C"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Number of surgical operations and procedures</w:t>
            </w:r>
          </w:p>
        </w:tc>
        <w:tc>
          <w:tcPr>
            <w:tcW w:w="3745" w:type="pct"/>
            <w:tcBorders>
              <w:top w:val="nil"/>
              <w:left w:val="nil"/>
              <w:bottom w:val="single" w:sz="4" w:space="0" w:color="auto"/>
              <w:right w:val="single" w:sz="4" w:space="0" w:color="auto"/>
            </w:tcBorders>
            <w:shd w:val="clear" w:color="auto" w:fill="auto"/>
            <w:vAlign w:val="center"/>
            <w:hideMark/>
          </w:tcPr>
          <w:p w14:paraId="116DC655"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The number of surgical operations and procedures performed in hospitals, inpatient surgery, age-standardized per 100,000 population, by sex, </w:t>
            </w:r>
            <w:r w:rsidRPr="00AB73AF">
              <w:rPr>
                <w:rFonts w:ascii="Calibri" w:eastAsia="Times New Roman" w:hAnsi="Calibri" w:cs="Times New Roman"/>
                <w:sz w:val="18"/>
                <w:szCs w:val="18"/>
              </w:rPr>
              <w:br/>
              <w:t>For following categories: PTCA (Percutaneous transluminal coronary angioplasty); Hip Replacement, Cataract, Tonsillectomy, Coronary Artery Bypass Graft, Laparoscopic Cholecystectomy, Repair of Inguinal Hernia, Caesarean Section, Total Knee Replacement, Partial Excision of Mammary Gland, Total Mastectomy, non-conservative breast surgery, Hysterectomy in uterine cancer, Hysterectomy without uterus cancer diagnosis, Adenoidectomy and/or tonsillectomy, Prostatectomy with prostate cancer/benign prostatic hyperplasia, Kidney transplants</w:t>
            </w:r>
          </w:p>
        </w:tc>
      </w:tr>
      <w:tr w:rsidR="00AB73AF" w:rsidRPr="00AB73AF" w14:paraId="2D588A0E" w14:textId="77777777" w:rsidTr="00AB73AF">
        <w:trPr>
          <w:trHeight w:val="720"/>
        </w:trPr>
        <w:tc>
          <w:tcPr>
            <w:tcW w:w="29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D84C42C" w14:textId="77777777" w:rsidR="00AB73AF" w:rsidRPr="00AB73AF" w:rsidRDefault="00AB73AF" w:rsidP="00AB73AF">
            <w:pPr>
              <w:spacing w:line="240" w:lineRule="auto"/>
              <w:jc w:val="center"/>
              <w:rPr>
                <w:rFonts w:ascii="Calibri" w:eastAsia="Times New Roman" w:hAnsi="Calibri" w:cs="Times New Roman"/>
                <w:b/>
                <w:bCs/>
                <w:sz w:val="18"/>
                <w:szCs w:val="18"/>
              </w:rPr>
            </w:pPr>
            <w:r w:rsidRPr="00AB73AF">
              <w:rPr>
                <w:rFonts w:ascii="Calibri" w:eastAsia="Times New Roman" w:hAnsi="Calibri" w:cs="Times New Roman"/>
                <w:b/>
                <w:bCs/>
                <w:sz w:val="18"/>
                <w:szCs w:val="18"/>
              </w:rPr>
              <w:t>Quality of Care</w:t>
            </w:r>
          </w:p>
        </w:tc>
        <w:tc>
          <w:tcPr>
            <w:tcW w:w="964" w:type="pct"/>
            <w:tcBorders>
              <w:top w:val="nil"/>
              <w:left w:val="nil"/>
              <w:bottom w:val="single" w:sz="4" w:space="0" w:color="auto"/>
              <w:right w:val="single" w:sz="4" w:space="0" w:color="auto"/>
            </w:tcBorders>
            <w:shd w:val="clear" w:color="auto" w:fill="auto"/>
            <w:vAlign w:val="center"/>
            <w:hideMark/>
          </w:tcPr>
          <w:p w14:paraId="59669F4E"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Vaccination coverage in children *</w:t>
            </w:r>
          </w:p>
        </w:tc>
        <w:tc>
          <w:tcPr>
            <w:tcW w:w="3745" w:type="pct"/>
            <w:tcBorders>
              <w:top w:val="nil"/>
              <w:left w:val="nil"/>
              <w:bottom w:val="single" w:sz="4" w:space="0" w:color="auto"/>
              <w:right w:val="single" w:sz="4" w:space="0" w:color="auto"/>
            </w:tcBorders>
            <w:shd w:val="clear" w:color="auto" w:fill="auto"/>
            <w:vAlign w:val="center"/>
            <w:hideMark/>
          </w:tcPr>
          <w:p w14:paraId="50FA4C93"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Disaggregated by age.  </w:t>
            </w:r>
            <w:r w:rsidRPr="00AB73AF">
              <w:rPr>
                <w:rFonts w:ascii="Calibri" w:eastAsia="Times New Roman" w:hAnsi="Calibri" w:cs="Times New Roman"/>
                <w:sz w:val="18"/>
                <w:szCs w:val="18"/>
              </w:rPr>
              <w:br/>
              <w:t>Percentage of infants who have been fully vaccinated against important infectious childhood diseases according to national vaccination schemes.</w:t>
            </w:r>
          </w:p>
        </w:tc>
      </w:tr>
      <w:tr w:rsidR="00AB73AF" w:rsidRPr="00AB73AF" w14:paraId="44265C6A" w14:textId="77777777" w:rsidTr="00AB73AF">
        <w:trPr>
          <w:trHeight w:val="480"/>
        </w:trPr>
        <w:tc>
          <w:tcPr>
            <w:tcW w:w="291" w:type="pct"/>
            <w:vMerge/>
            <w:tcBorders>
              <w:top w:val="nil"/>
              <w:left w:val="single" w:sz="4" w:space="0" w:color="auto"/>
              <w:bottom w:val="single" w:sz="4" w:space="0" w:color="000000"/>
              <w:right w:val="single" w:sz="4" w:space="0" w:color="auto"/>
            </w:tcBorders>
            <w:vAlign w:val="center"/>
            <w:hideMark/>
          </w:tcPr>
          <w:p w14:paraId="38B50F15"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151063DC"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Infant mortality rate</w:t>
            </w:r>
          </w:p>
        </w:tc>
        <w:tc>
          <w:tcPr>
            <w:tcW w:w="3745" w:type="pct"/>
            <w:tcBorders>
              <w:top w:val="nil"/>
              <w:left w:val="nil"/>
              <w:bottom w:val="single" w:sz="4" w:space="0" w:color="auto"/>
              <w:right w:val="single" w:sz="4" w:space="0" w:color="auto"/>
            </w:tcBorders>
            <w:shd w:val="clear" w:color="auto" w:fill="auto"/>
            <w:vAlign w:val="center"/>
            <w:hideMark/>
          </w:tcPr>
          <w:p w14:paraId="30D3B07C"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The ratio of number of deaths of children under one year of age to the number of live births. The value is expressed per 1000 live births.</w:t>
            </w:r>
          </w:p>
        </w:tc>
      </w:tr>
      <w:tr w:rsidR="00AB73AF" w:rsidRPr="00AB73AF" w14:paraId="6EF957D8" w14:textId="77777777" w:rsidTr="00AB73AF">
        <w:trPr>
          <w:trHeight w:val="720"/>
        </w:trPr>
        <w:tc>
          <w:tcPr>
            <w:tcW w:w="291" w:type="pct"/>
            <w:vMerge/>
            <w:tcBorders>
              <w:top w:val="nil"/>
              <w:left w:val="single" w:sz="4" w:space="0" w:color="auto"/>
              <w:bottom w:val="single" w:sz="4" w:space="0" w:color="000000"/>
              <w:right w:val="single" w:sz="4" w:space="0" w:color="auto"/>
            </w:tcBorders>
            <w:vAlign w:val="center"/>
            <w:hideMark/>
          </w:tcPr>
          <w:p w14:paraId="0EB42068"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2F4BFDB7"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Maternal mortality rate</w:t>
            </w:r>
          </w:p>
        </w:tc>
        <w:tc>
          <w:tcPr>
            <w:tcW w:w="3745" w:type="pct"/>
            <w:tcBorders>
              <w:top w:val="nil"/>
              <w:left w:val="nil"/>
              <w:bottom w:val="single" w:sz="4" w:space="0" w:color="auto"/>
              <w:right w:val="single" w:sz="4" w:space="0" w:color="auto"/>
            </w:tcBorders>
            <w:shd w:val="clear" w:color="auto" w:fill="auto"/>
            <w:vAlign w:val="center"/>
            <w:hideMark/>
          </w:tcPr>
          <w:p w14:paraId="11511758"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The maternal mortality ratio is the annual number of female deaths from any cause related to or aggravated by pregnancy or its management (excluding accidental or incidental causes), during pregnancy and childbirth or within 42 days of termination of pregnancy, irrespective of the duration and site of the pregnancy, per 100 000 live births, for a specified year.</w:t>
            </w:r>
          </w:p>
        </w:tc>
      </w:tr>
      <w:tr w:rsidR="00AB73AF" w:rsidRPr="00AB73AF" w14:paraId="6E76A39E" w14:textId="77777777" w:rsidTr="00AB73AF">
        <w:trPr>
          <w:trHeight w:val="720"/>
        </w:trPr>
        <w:tc>
          <w:tcPr>
            <w:tcW w:w="291" w:type="pct"/>
            <w:vMerge/>
            <w:tcBorders>
              <w:top w:val="nil"/>
              <w:left w:val="single" w:sz="4" w:space="0" w:color="auto"/>
              <w:bottom w:val="single" w:sz="4" w:space="0" w:color="000000"/>
              <w:right w:val="single" w:sz="4" w:space="0" w:color="auto"/>
            </w:tcBorders>
            <w:vAlign w:val="center"/>
            <w:hideMark/>
          </w:tcPr>
          <w:p w14:paraId="6EABE13E"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52ECF764"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Hospital Standardized Mortality Ratio (HSMR)</w:t>
            </w:r>
          </w:p>
        </w:tc>
        <w:tc>
          <w:tcPr>
            <w:tcW w:w="3745" w:type="pct"/>
            <w:tcBorders>
              <w:top w:val="nil"/>
              <w:left w:val="nil"/>
              <w:bottom w:val="single" w:sz="4" w:space="0" w:color="auto"/>
              <w:right w:val="single" w:sz="4" w:space="0" w:color="auto"/>
            </w:tcBorders>
            <w:shd w:val="clear" w:color="auto" w:fill="auto"/>
            <w:vAlign w:val="center"/>
            <w:hideMark/>
          </w:tcPr>
          <w:p w14:paraId="67DB9882"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This indicator examines the ratio of the actual number of in-hospital deaths in a region or hospital to the number that would have been expected based on the types of patients a region or hospital treats. The HSMR is calculated by dividing the actual number of in-hospital deaths by the expected number of in-hospital deaths, for conditions accounting for about 80% of inpatient mortality.</w:t>
            </w:r>
          </w:p>
        </w:tc>
      </w:tr>
      <w:tr w:rsidR="00AB73AF" w:rsidRPr="00AB73AF" w14:paraId="7DE2F488" w14:textId="77777777" w:rsidTr="00AB73AF">
        <w:trPr>
          <w:trHeight w:val="2400"/>
        </w:trPr>
        <w:tc>
          <w:tcPr>
            <w:tcW w:w="291" w:type="pct"/>
            <w:vMerge/>
            <w:tcBorders>
              <w:top w:val="nil"/>
              <w:left w:val="single" w:sz="4" w:space="0" w:color="auto"/>
              <w:bottom w:val="single" w:sz="4" w:space="0" w:color="000000"/>
              <w:right w:val="single" w:sz="4" w:space="0" w:color="auto"/>
            </w:tcBorders>
            <w:vAlign w:val="center"/>
            <w:hideMark/>
          </w:tcPr>
          <w:p w14:paraId="586FCFEB"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54885D63"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Ambulatory Care Sensitive Conditions (ACSC) Hospitalization Rate </w:t>
            </w:r>
          </w:p>
        </w:tc>
        <w:tc>
          <w:tcPr>
            <w:tcW w:w="3745" w:type="pct"/>
            <w:tcBorders>
              <w:top w:val="nil"/>
              <w:left w:val="nil"/>
              <w:bottom w:val="single" w:sz="4" w:space="0" w:color="auto"/>
              <w:right w:val="single" w:sz="4" w:space="0" w:color="auto"/>
            </w:tcBorders>
            <w:shd w:val="clear" w:color="auto" w:fill="auto"/>
            <w:vAlign w:val="center"/>
            <w:hideMark/>
          </w:tcPr>
          <w:p w14:paraId="0E7371D7"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Disaggregated by sex, age, condition. </w:t>
            </w:r>
            <w:r w:rsidRPr="00AB73AF">
              <w:rPr>
                <w:rFonts w:ascii="Calibri" w:eastAsia="Times New Roman" w:hAnsi="Calibri" w:cs="Times New Roman"/>
                <w:sz w:val="18"/>
                <w:szCs w:val="18"/>
              </w:rPr>
              <w:br/>
              <w:t xml:space="preserve">Avoidable hospitalization rate / Emergency admissions to hospital (indirectly standardised rate per 100,000 population) of persons with an ambulator care sensitive condition (ACSC). </w:t>
            </w:r>
            <w:r w:rsidRPr="00AB73AF">
              <w:rPr>
                <w:rFonts w:ascii="Calibri" w:eastAsia="Times New Roman" w:hAnsi="Calibri" w:cs="Times New Roman"/>
                <w:sz w:val="18"/>
                <w:szCs w:val="18"/>
              </w:rPr>
              <w:br/>
              <w:t xml:space="preserve">ACSCs are conditions for which effective management and treatment should prevent admission to hospital. They can be classified as: chronic conditions (e.g. asthma, COPD, Congestive heart failure, diabetes, etc.), where effective care can prevent flare-ups; acute conditions  (ear/nose/throat infections, kidney/urinary tract infections, heart failure, among others), where early intervention can prevent more serious progression; and preventable conditions, where immunisation and other interventions can prevent illness (Ham et al 2010). </w:t>
            </w:r>
            <w:r w:rsidRPr="00AB73AF">
              <w:rPr>
                <w:rFonts w:ascii="Calibri" w:eastAsia="Times New Roman" w:hAnsi="Calibri" w:cs="Times New Roman"/>
                <w:sz w:val="18"/>
                <w:szCs w:val="18"/>
              </w:rPr>
              <w:br/>
              <w:t>Source: http://www.kingsfund.org.uk/sites/files/kf/field/field_publication_file/data-briefing-emergency-hospital-admissions-for-ambulatory-care-sensitive-conditions-apr-2012.pdf</w:t>
            </w:r>
          </w:p>
        </w:tc>
      </w:tr>
      <w:tr w:rsidR="00AB73AF" w:rsidRPr="00AB73AF" w14:paraId="27D7C56B" w14:textId="77777777" w:rsidTr="00AB73AF">
        <w:trPr>
          <w:trHeight w:val="1680"/>
        </w:trPr>
        <w:tc>
          <w:tcPr>
            <w:tcW w:w="291" w:type="pct"/>
            <w:vMerge/>
            <w:tcBorders>
              <w:top w:val="nil"/>
              <w:left w:val="single" w:sz="4" w:space="0" w:color="auto"/>
              <w:bottom w:val="single" w:sz="4" w:space="0" w:color="000000"/>
              <w:right w:val="single" w:sz="4" w:space="0" w:color="auto"/>
            </w:tcBorders>
            <w:vAlign w:val="center"/>
            <w:hideMark/>
          </w:tcPr>
          <w:p w14:paraId="06CC04CA"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5BE064C4"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Prevalence and incidence rate of hospital-acquired infections (% of patients hospitalised) *</w:t>
            </w:r>
          </w:p>
        </w:tc>
        <w:tc>
          <w:tcPr>
            <w:tcW w:w="3745" w:type="pct"/>
            <w:tcBorders>
              <w:top w:val="nil"/>
              <w:left w:val="nil"/>
              <w:bottom w:val="single" w:sz="4" w:space="0" w:color="auto"/>
              <w:right w:val="single" w:sz="4" w:space="0" w:color="auto"/>
            </w:tcBorders>
            <w:shd w:val="clear" w:color="auto" w:fill="auto"/>
            <w:vAlign w:val="center"/>
            <w:hideMark/>
          </w:tcPr>
          <w:p w14:paraId="4A869390"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Incidence of hospital-acquired MRSA infections (/1000 hospital stays). </w:t>
            </w:r>
            <w:r w:rsidRPr="00AB73AF">
              <w:rPr>
                <w:rFonts w:ascii="Calibri" w:eastAsia="Times New Roman" w:hAnsi="Calibri" w:cs="Times New Roman"/>
                <w:sz w:val="18"/>
                <w:szCs w:val="18"/>
              </w:rPr>
              <w:br/>
              <w:t xml:space="preserve">Incidence of healthcare associated infection (HSAI) – C. difficile. </w:t>
            </w:r>
            <w:r w:rsidRPr="00AB73AF">
              <w:rPr>
                <w:rFonts w:ascii="Calibri" w:eastAsia="Times New Roman" w:hAnsi="Calibri" w:cs="Times New Roman"/>
                <w:sz w:val="18"/>
                <w:szCs w:val="18"/>
              </w:rPr>
              <w:br/>
              <w:t>An infection is considered an HAI if all elements of a CDC/NHSN (Centers for Disease Control and Prevention/National Healthcare Safety Networks) site-specific infection criterion were first present together on or after the 3rd hospital day (day of hospital admission is day 1). For an HAI, an element of the infection criterion may be present during the first 2 hospital days as long as it is also present on or after day 3. All elements used to meet the infection criterion must occur within a timeframe that does not exceed a gap of 1 calendar day between elements’</w:t>
            </w:r>
          </w:p>
        </w:tc>
      </w:tr>
      <w:tr w:rsidR="00AB73AF" w:rsidRPr="00AB73AF" w14:paraId="6EBB590C" w14:textId="77777777" w:rsidTr="00AB73AF">
        <w:trPr>
          <w:trHeight w:val="480"/>
        </w:trPr>
        <w:tc>
          <w:tcPr>
            <w:tcW w:w="29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BBD6600" w14:textId="77777777" w:rsidR="00AB73AF" w:rsidRPr="00AB73AF" w:rsidRDefault="00AB73AF" w:rsidP="00AB73AF">
            <w:pPr>
              <w:spacing w:line="240" w:lineRule="auto"/>
              <w:jc w:val="center"/>
              <w:rPr>
                <w:rFonts w:ascii="Calibri" w:eastAsia="Times New Roman" w:hAnsi="Calibri" w:cs="Times New Roman"/>
                <w:b/>
                <w:bCs/>
                <w:sz w:val="18"/>
                <w:szCs w:val="18"/>
              </w:rPr>
            </w:pPr>
            <w:r w:rsidRPr="00AB73AF">
              <w:rPr>
                <w:rFonts w:ascii="Calibri" w:eastAsia="Times New Roman" w:hAnsi="Calibri" w:cs="Times New Roman"/>
                <w:b/>
                <w:bCs/>
                <w:sz w:val="18"/>
                <w:szCs w:val="18"/>
              </w:rPr>
              <w:t>Equity</w:t>
            </w:r>
          </w:p>
        </w:tc>
        <w:tc>
          <w:tcPr>
            <w:tcW w:w="964" w:type="pct"/>
            <w:tcBorders>
              <w:top w:val="nil"/>
              <w:left w:val="nil"/>
              <w:bottom w:val="single" w:sz="4" w:space="0" w:color="auto"/>
              <w:right w:val="single" w:sz="4" w:space="0" w:color="auto"/>
            </w:tcBorders>
            <w:shd w:val="clear" w:color="auto" w:fill="auto"/>
            <w:vAlign w:val="center"/>
            <w:hideMark/>
          </w:tcPr>
          <w:p w14:paraId="4BFED675"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Share of population covered by health insurance</w:t>
            </w:r>
          </w:p>
        </w:tc>
        <w:tc>
          <w:tcPr>
            <w:tcW w:w="3745" w:type="pct"/>
            <w:tcBorders>
              <w:top w:val="nil"/>
              <w:left w:val="nil"/>
              <w:bottom w:val="single" w:sz="4" w:space="0" w:color="auto"/>
              <w:right w:val="single" w:sz="4" w:space="0" w:color="auto"/>
            </w:tcBorders>
            <w:shd w:val="clear" w:color="auto" w:fill="auto"/>
            <w:vAlign w:val="center"/>
            <w:hideMark/>
          </w:tcPr>
          <w:p w14:paraId="0A7612C9"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Percentage of population covered by i) Government/ social health insurance, ii) private health insurance.</w:t>
            </w:r>
          </w:p>
        </w:tc>
      </w:tr>
      <w:tr w:rsidR="00AB73AF" w:rsidRPr="00AB73AF" w14:paraId="6FFB3868" w14:textId="77777777" w:rsidTr="00AB73AF">
        <w:trPr>
          <w:trHeight w:val="720"/>
        </w:trPr>
        <w:tc>
          <w:tcPr>
            <w:tcW w:w="291" w:type="pct"/>
            <w:vMerge/>
            <w:tcBorders>
              <w:top w:val="nil"/>
              <w:left w:val="single" w:sz="4" w:space="0" w:color="auto"/>
              <w:bottom w:val="single" w:sz="4" w:space="0" w:color="000000"/>
              <w:right w:val="single" w:sz="4" w:space="0" w:color="auto"/>
            </w:tcBorders>
            <w:vAlign w:val="center"/>
            <w:hideMark/>
          </w:tcPr>
          <w:p w14:paraId="24540BC2"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4753E89E"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Self-reported unmet need for medical care (total by reason: cost, waiting time, distance) *</w:t>
            </w:r>
          </w:p>
        </w:tc>
        <w:tc>
          <w:tcPr>
            <w:tcW w:w="3745" w:type="pct"/>
            <w:tcBorders>
              <w:top w:val="nil"/>
              <w:left w:val="nil"/>
              <w:bottom w:val="single" w:sz="4" w:space="0" w:color="auto"/>
              <w:right w:val="single" w:sz="4" w:space="0" w:color="auto"/>
            </w:tcBorders>
            <w:shd w:val="clear" w:color="auto" w:fill="auto"/>
            <w:vAlign w:val="center"/>
            <w:hideMark/>
          </w:tcPr>
          <w:p w14:paraId="790FD8C0"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Disaggregated by sex, by age group (total, 18-64, 65+), by education level (ISCED 0-1, 2, 3-4, 5-6) and by income quintile.</w:t>
            </w:r>
            <w:r w:rsidRPr="00AB73AF">
              <w:rPr>
                <w:rFonts w:ascii="Calibri" w:eastAsia="Times New Roman" w:hAnsi="Calibri" w:cs="Times New Roman"/>
                <w:sz w:val="18"/>
                <w:szCs w:val="18"/>
              </w:rPr>
              <w:br/>
              <w:t>Proportion of persons with self-declared unmet needs for medical care services due to either financial barriers, waiting times or traveling distances.</w:t>
            </w:r>
          </w:p>
        </w:tc>
      </w:tr>
      <w:tr w:rsidR="00AB73AF" w:rsidRPr="00AB73AF" w14:paraId="41F387B0" w14:textId="77777777" w:rsidTr="00AB73AF">
        <w:trPr>
          <w:trHeight w:val="240"/>
        </w:trPr>
        <w:tc>
          <w:tcPr>
            <w:tcW w:w="291" w:type="pct"/>
            <w:vMerge/>
            <w:tcBorders>
              <w:top w:val="nil"/>
              <w:left w:val="single" w:sz="4" w:space="0" w:color="auto"/>
              <w:bottom w:val="single" w:sz="4" w:space="0" w:color="000000"/>
              <w:right w:val="single" w:sz="4" w:space="0" w:color="auto"/>
            </w:tcBorders>
            <w:vAlign w:val="center"/>
            <w:hideMark/>
          </w:tcPr>
          <w:p w14:paraId="13AFD4F6"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5B89997D" w14:textId="13646269"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Access</w:t>
            </w:r>
            <w:r w:rsidR="007F64D3">
              <w:rPr>
                <w:rFonts w:ascii="Calibri" w:eastAsia="Times New Roman" w:hAnsi="Calibri" w:cs="Times New Roman"/>
                <w:sz w:val="18"/>
                <w:szCs w:val="18"/>
              </w:rPr>
              <w:t>ibility</w:t>
            </w:r>
            <w:r w:rsidRPr="00AB73AF">
              <w:rPr>
                <w:rFonts w:ascii="Calibri" w:eastAsia="Times New Roman" w:hAnsi="Calibri" w:cs="Times New Roman"/>
                <w:sz w:val="18"/>
                <w:szCs w:val="18"/>
              </w:rPr>
              <w:t xml:space="preserve"> to acute care</w:t>
            </w:r>
          </w:p>
        </w:tc>
        <w:tc>
          <w:tcPr>
            <w:tcW w:w="3745" w:type="pct"/>
            <w:tcBorders>
              <w:top w:val="nil"/>
              <w:left w:val="nil"/>
              <w:bottom w:val="single" w:sz="4" w:space="0" w:color="auto"/>
              <w:right w:val="single" w:sz="4" w:space="0" w:color="auto"/>
            </w:tcBorders>
            <w:shd w:val="clear" w:color="auto" w:fill="auto"/>
            <w:vAlign w:val="center"/>
            <w:hideMark/>
          </w:tcPr>
          <w:p w14:paraId="48D22C1F"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Percentage of people who can REACH primary, emergency and materinity care services within 15/30 minutes</w:t>
            </w:r>
          </w:p>
        </w:tc>
      </w:tr>
      <w:tr w:rsidR="00AB73AF" w:rsidRPr="00AB73AF" w14:paraId="28709AEB" w14:textId="77777777" w:rsidTr="00AB73AF">
        <w:trPr>
          <w:trHeight w:val="1200"/>
        </w:trPr>
        <w:tc>
          <w:tcPr>
            <w:tcW w:w="291" w:type="pct"/>
            <w:vMerge/>
            <w:tcBorders>
              <w:top w:val="nil"/>
              <w:left w:val="single" w:sz="4" w:space="0" w:color="auto"/>
              <w:bottom w:val="single" w:sz="4" w:space="0" w:color="000000"/>
              <w:right w:val="single" w:sz="4" w:space="0" w:color="auto"/>
            </w:tcBorders>
            <w:vAlign w:val="center"/>
            <w:hideMark/>
          </w:tcPr>
          <w:p w14:paraId="36A95064"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187DE3EC"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GINI coefficient (income distribution)</w:t>
            </w:r>
          </w:p>
        </w:tc>
        <w:tc>
          <w:tcPr>
            <w:tcW w:w="3745" w:type="pct"/>
            <w:tcBorders>
              <w:top w:val="nil"/>
              <w:left w:val="nil"/>
              <w:bottom w:val="single" w:sz="4" w:space="0" w:color="auto"/>
              <w:right w:val="single" w:sz="4" w:space="0" w:color="auto"/>
            </w:tcBorders>
            <w:shd w:val="clear" w:color="auto" w:fill="auto"/>
            <w:vAlign w:val="center"/>
            <w:hideMark/>
          </w:tcPr>
          <w:p w14:paraId="309D952D"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Gini index measures the extent to which the distribution of income (or, in some cases, consumption expenditure) among individuals or households within an economy deviates from a perfectly equal distribution. A Lorenz curve plots the cumulative percentages of total income received against the cumulative number of recipients, starting with the poorest individual or household. The Gini index measures the area between the Lorenz curve and a hypothetical line of absolute equality, expressed as a percentage of the maximum area under the line. Thus a Gini index of 0 represents perfect equality, while an index of 100 implies perfect inequality.</w:t>
            </w:r>
          </w:p>
        </w:tc>
      </w:tr>
      <w:tr w:rsidR="00AB73AF" w:rsidRPr="00AB73AF" w14:paraId="470A04D0" w14:textId="77777777" w:rsidTr="00AB73AF">
        <w:trPr>
          <w:trHeight w:val="960"/>
        </w:trPr>
        <w:tc>
          <w:tcPr>
            <w:tcW w:w="291" w:type="pct"/>
            <w:vMerge/>
            <w:tcBorders>
              <w:top w:val="nil"/>
              <w:left w:val="single" w:sz="4" w:space="0" w:color="auto"/>
              <w:bottom w:val="single" w:sz="4" w:space="0" w:color="000000"/>
              <w:right w:val="single" w:sz="4" w:space="0" w:color="auto"/>
            </w:tcBorders>
            <w:vAlign w:val="center"/>
            <w:hideMark/>
          </w:tcPr>
          <w:p w14:paraId="02F3EC5C"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62BF47BB"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Geographic distribution of doctors: Physicians density in predominantly urban and rural regions</w:t>
            </w:r>
          </w:p>
        </w:tc>
        <w:tc>
          <w:tcPr>
            <w:tcW w:w="3745" w:type="pct"/>
            <w:tcBorders>
              <w:top w:val="nil"/>
              <w:left w:val="nil"/>
              <w:bottom w:val="single" w:sz="4" w:space="0" w:color="auto"/>
              <w:right w:val="single" w:sz="4" w:space="0" w:color="auto"/>
            </w:tcBorders>
            <w:shd w:val="clear" w:color="auto" w:fill="auto"/>
            <w:vAlign w:val="center"/>
            <w:hideMark/>
          </w:tcPr>
          <w:p w14:paraId="5F2FC79F"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Density per 1 000 population</w:t>
            </w:r>
          </w:p>
        </w:tc>
      </w:tr>
      <w:tr w:rsidR="00AB73AF" w:rsidRPr="00AB73AF" w14:paraId="2B275B93" w14:textId="77777777" w:rsidTr="00AB73AF">
        <w:trPr>
          <w:trHeight w:val="960"/>
        </w:trPr>
        <w:tc>
          <w:tcPr>
            <w:tcW w:w="291" w:type="pct"/>
            <w:vMerge/>
            <w:tcBorders>
              <w:top w:val="nil"/>
              <w:left w:val="single" w:sz="4" w:space="0" w:color="auto"/>
              <w:bottom w:val="single" w:sz="4" w:space="0" w:color="000000"/>
              <w:right w:val="single" w:sz="4" w:space="0" w:color="auto"/>
            </w:tcBorders>
            <w:vAlign w:val="center"/>
            <w:hideMark/>
          </w:tcPr>
          <w:p w14:paraId="66678889"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2CEDDBF8"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Percentage of households experiencing high levels/catastrophic of out-of-pocket health expenditures *</w:t>
            </w:r>
          </w:p>
        </w:tc>
        <w:tc>
          <w:tcPr>
            <w:tcW w:w="3745" w:type="pct"/>
            <w:tcBorders>
              <w:top w:val="nil"/>
              <w:left w:val="nil"/>
              <w:bottom w:val="single" w:sz="4" w:space="0" w:color="auto"/>
              <w:right w:val="single" w:sz="4" w:space="0" w:color="auto"/>
            </w:tcBorders>
            <w:shd w:val="clear" w:color="auto" w:fill="auto"/>
            <w:vAlign w:val="center"/>
            <w:hideMark/>
          </w:tcPr>
          <w:p w14:paraId="3C1C77A9"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nA (Percentage of households experiencing high levels of/ catastrophic out-of-pocket health expenditures using different thresholds by age and income quintiles). </w:t>
            </w:r>
          </w:p>
        </w:tc>
      </w:tr>
      <w:tr w:rsidR="00AB73AF" w:rsidRPr="00AB73AF" w14:paraId="1BC25E66" w14:textId="77777777" w:rsidTr="00AB73AF">
        <w:trPr>
          <w:trHeight w:val="480"/>
        </w:trPr>
        <w:tc>
          <w:tcPr>
            <w:tcW w:w="291" w:type="pct"/>
            <w:vMerge/>
            <w:tcBorders>
              <w:top w:val="nil"/>
              <w:left w:val="single" w:sz="4" w:space="0" w:color="auto"/>
              <w:bottom w:val="single" w:sz="4" w:space="0" w:color="000000"/>
              <w:right w:val="single" w:sz="4" w:space="0" w:color="auto"/>
            </w:tcBorders>
            <w:vAlign w:val="center"/>
            <w:hideMark/>
          </w:tcPr>
          <w:p w14:paraId="1FF0CD54"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7401C875"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Self-reported/perceived general health</w:t>
            </w:r>
          </w:p>
        </w:tc>
        <w:tc>
          <w:tcPr>
            <w:tcW w:w="3745" w:type="pct"/>
            <w:tcBorders>
              <w:top w:val="nil"/>
              <w:left w:val="nil"/>
              <w:bottom w:val="single" w:sz="4" w:space="0" w:color="auto"/>
              <w:right w:val="single" w:sz="4" w:space="0" w:color="auto"/>
            </w:tcBorders>
            <w:shd w:val="clear" w:color="auto" w:fill="auto"/>
            <w:vAlign w:val="center"/>
            <w:hideMark/>
          </w:tcPr>
          <w:p w14:paraId="03743282"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Disaggregated by by sex, age-group (15-64, 65+), educational level (ISCED 0-1, 2, 3-4, 5-6), by income quintile (gap q1/q5). </w:t>
            </w:r>
            <w:r w:rsidRPr="00AB73AF">
              <w:rPr>
                <w:rFonts w:ascii="Calibri" w:eastAsia="Times New Roman" w:hAnsi="Calibri" w:cs="Times New Roman"/>
                <w:sz w:val="18"/>
                <w:szCs w:val="18"/>
              </w:rPr>
              <w:br/>
              <w:t xml:space="preserve">Proportion of persons who assess their health to be very good or good. </w:t>
            </w:r>
          </w:p>
        </w:tc>
      </w:tr>
      <w:tr w:rsidR="00AB73AF" w:rsidRPr="00AB73AF" w14:paraId="43EF15B2" w14:textId="77777777" w:rsidTr="00AB73AF">
        <w:trPr>
          <w:trHeight w:val="480"/>
        </w:trPr>
        <w:tc>
          <w:tcPr>
            <w:tcW w:w="29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AAC393D" w14:textId="77777777" w:rsidR="00AB73AF" w:rsidRPr="00AB73AF" w:rsidRDefault="00AB73AF" w:rsidP="00AB73AF">
            <w:pPr>
              <w:spacing w:line="240" w:lineRule="auto"/>
              <w:jc w:val="center"/>
              <w:rPr>
                <w:rFonts w:ascii="Calibri" w:eastAsia="Times New Roman" w:hAnsi="Calibri" w:cs="Times New Roman"/>
                <w:b/>
                <w:bCs/>
                <w:sz w:val="18"/>
                <w:szCs w:val="18"/>
              </w:rPr>
            </w:pPr>
            <w:r w:rsidRPr="00AB73AF">
              <w:rPr>
                <w:rFonts w:ascii="Calibri" w:eastAsia="Times New Roman" w:hAnsi="Calibri" w:cs="Times New Roman"/>
                <w:b/>
                <w:bCs/>
                <w:sz w:val="18"/>
                <w:szCs w:val="18"/>
              </w:rPr>
              <w:t>Health Status</w:t>
            </w:r>
          </w:p>
        </w:tc>
        <w:tc>
          <w:tcPr>
            <w:tcW w:w="964" w:type="pct"/>
            <w:tcBorders>
              <w:top w:val="nil"/>
              <w:left w:val="nil"/>
              <w:bottom w:val="single" w:sz="4" w:space="0" w:color="auto"/>
              <w:right w:val="single" w:sz="4" w:space="0" w:color="auto"/>
            </w:tcBorders>
            <w:shd w:val="clear" w:color="auto" w:fill="auto"/>
            <w:vAlign w:val="center"/>
            <w:hideMark/>
          </w:tcPr>
          <w:p w14:paraId="0C1C85E5"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Infant mortality rate *</w:t>
            </w:r>
          </w:p>
        </w:tc>
        <w:tc>
          <w:tcPr>
            <w:tcW w:w="3745" w:type="pct"/>
            <w:tcBorders>
              <w:top w:val="nil"/>
              <w:left w:val="nil"/>
              <w:bottom w:val="single" w:sz="4" w:space="0" w:color="auto"/>
              <w:right w:val="single" w:sz="4" w:space="0" w:color="auto"/>
            </w:tcBorders>
            <w:shd w:val="clear" w:color="auto" w:fill="auto"/>
            <w:vAlign w:val="center"/>
            <w:hideMark/>
          </w:tcPr>
          <w:p w14:paraId="3D496687"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The ratio of number of deaths of children under one year of age to the number of live births. The value is expressed per 1000 live births.</w:t>
            </w:r>
          </w:p>
        </w:tc>
      </w:tr>
      <w:tr w:rsidR="00AB73AF" w:rsidRPr="00AB73AF" w14:paraId="3C44A643" w14:textId="77777777" w:rsidTr="00AB73AF">
        <w:trPr>
          <w:trHeight w:val="720"/>
        </w:trPr>
        <w:tc>
          <w:tcPr>
            <w:tcW w:w="291" w:type="pct"/>
            <w:vMerge/>
            <w:tcBorders>
              <w:top w:val="nil"/>
              <w:left w:val="single" w:sz="4" w:space="0" w:color="auto"/>
              <w:bottom w:val="single" w:sz="4" w:space="0" w:color="000000"/>
              <w:right w:val="single" w:sz="4" w:space="0" w:color="auto"/>
            </w:tcBorders>
            <w:vAlign w:val="center"/>
            <w:hideMark/>
          </w:tcPr>
          <w:p w14:paraId="46202089"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598CFD90"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Life expectancy *</w:t>
            </w:r>
          </w:p>
        </w:tc>
        <w:tc>
          <w:tcPr>
            <w:tcW w:w="3745" w:type="pct"/>
            <w:tcBorders>
              <w:top w:val="nil"/>
              <w:left w:val="nil"/>
              <w:bottom w:val="single" w:sz="4" w:space="0" w:color="auto"/>
              <w:right w:val="single" w:sz="4" w:space="0" w:color="auto"/>
            </w:tcBorders>
            <w:shd w:val="clear" w:color="auto" w:fill="auto"/>
            <w:vAlign w:val="center"/>
            <w:hideMark/>
          </w:tcPr>
          <w:p w14:paraId="10E85655"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Total population, disaggregated by sex and by educational attainment. </w:t>
            </w:r>
            <w:r w:rsidRPr="00AB73AF">
              <w:rPr>
                <w:rFonts w:ascii="Calibri" w:eastAsia="Times New Roman" w:hAnsi="Calibri" w:cs="Times New Roman"/>
                <w:sz w:val="18"/>
                <w:szCs w:val="18"/>
              </w:rPr>
              <w:br/>
              <w:t>Life expectancy at birth, ages 1, 15, 45 and 65 years represents the average number of years of life remaining if a group of persons at that age were to experience the mortality rates for a particular year over the course of their remaining life.</w:t>
            </w:r>
          </w:p>
        </w:tc>
      </w:tr>
      <w:tr w:rsidR="00AB73AF" w:rsidRPr="00AB73AF" w14:paraId="2B926824" w14:textId="77777777" w:rsidTr="00AB73AF">
        <w:trPr>
          <w:trHeight w:val="1680"/>
        </w:trPr>
        <w:tc>
          <w:tcPr>
            <w:tcW w:w="291" w:type="pct"/>
            <w:vMerge/>
            <w:tcBorders>
              <w:top w:val="nil"/>
              <w:left w:val="single" w:sz="4" w:space="0" w:color="auto"/>
              <w:bottom w:val="single" w:sz="4" w:space="0" w:color="000000"/>
              <w:right w:val="single" w:sz="4" w:space="0" w:color="auto"/>
            </w:tcBorders>
            <w:vAlign w:val="center"/>
            <w:hideMark/>
          </w:tcPr>
          <w:p w14:paraId="30AB38B3"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33AAF522"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Healthy Life Years (HLY) *</w:t>
            </w:r>
          </w:p>
        </w:tc>
        <w:tc>
          <w:tcPr>
            <w:tcW w:w="3745" w:type="pct"/>
            <w:tcBorders>
              <w:top w:val="nil"/>
              <w:left w:val="nil"/>
              <w:bottom w:val="single" w:sz="4" w:space="0" w:color="auto"/>
              <w:right w:val="single" w:sz="4" w:space="0" w:color="auto"/>
            </w:tcBorders>
            <w:shd w:val="clear" w:color="auto" w:fill="auto"/>
            <w:vAlign w:val="center"/>
            <w:hideMark/>
          </w:tcPr>
          <w:p w14:paraId="408AE57B"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Total population, at birth and at age 65 disaggregated by sex.</w:t>
            </w:r>
            <w:r w:rsidRPr="00AB73AF">
              <w:rPr>
                <w:rFonts w:ascii="Calibri" w:eastAsia="Times New Roman" w:hAnsi="Calibri" w:cs="Times New Roman"/>
                <w:sz w:val="18"/>
                <w:szCs w:val="18"/>
              </w:rPr>
              <w:br/>
              <w:t>The indicator of healthy life years (HLY) measures the number of remaining years that a person of specific age is expected to live without any severe or moderate health problems. The notion of health problem for Eurostat's HLY is reflecting a disability dimension and is based on a self-perceived question which aims to measure the extent of any limitations, for at least six months, because of a health problem that may have affected respondents as regards activities they usually do (the so-called GALI - Global Activity Limitation Instrument foreseen in the annual EU-SILC survey). The indicator is therefor also called disability-free life expectancy (DFLE). So, HLY is a composite indicator that combines mortality data with health status data.</w:t>
            </w:r>
          </w:p>
        </w:tc>
      </w:tr>
      <w:tr w:rsidR="00AB73AF" w:rsidRPr="00AB73AF" w14:paraId="23CB417E" w14:textId="77777777" w:rsidTr="00AB73AF">
        <w:trPr>
          <w:trHeight w:val="1920"/>
        </w:trPr>
        <w:tc>
          <w:tcPr>
            <w:tcW w:w="291" w:type="pct"/>
            <w:vMerge/>
            <w:tcBorders>
              <w:top w:val="nil"/>
              <w:left w:val="single" w:sz="4" w:space="0" w:color="auto"/>
              <w:bottom w:val="single" w:sz="4" w:space="0" w:color="000000"/>
              <w:right w:val="single" w:sz="4" w:space="0" w:color="auto"/>
            </w:tcBorders>
            <w:vAlign w:val="center"/>
            <w:hideMark/>
          </w:tcPr>
          <w:p w14:paraId="2AB1F95B"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08B7EE74"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Avoidable mortality rate: amenable and preventable deaths</w:t>
            </w:r>
          </w:p>
        </w:tc>
        <w:tc>
          <w:tcPr>
            <w:tcW w:w="3745" w:type="pct"/>
            <w:tcBorders>
              <w:top w:val="nil"/>
              <w:left w:val="nil"/>
              <w:bottom w:val="single" w:sz="4" w:space="0" w:color="auto"/>
              <w:right w:val="single" w:sz="4" w:space="0" w:color="auto"/>
            </w:tcBorders>
            <w:shd w:val="clear" w:color="auto" w:fill="auto"/>
            <w:vAlign w:val="center"/>
            <w:hideMark/>
          </w:tcPr>
          <w:p w14:paraId="13439C2E"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Avoidable mortality: A death is considered avoidable if, in the light of medical knowledge and technology or in the light of understanding of the determinants of health at the time of death, all or most deaths from that cause (subject to age limits if appropriate) could be avoided through good quality healthcare (amenable mortality) or by public health interventions in the broadest sense (preventable mortality). More precisely: </w:t>
            </w:r>
            <w:r w:rsidRPr="00AB73AF">
              <w:rPr>
                <w:rFonts w:ascii="Calibri" w:eastAsia="Times New Roman" w:hAnsi="Calibri" w:cs="Times New Roman"/>
                <w:sz w:val="18"/>
                <w:szCs w:val="18"/>
              </w:rPr>
              <w:br/>
              <w:t xml:space="preserve">A death is amenable if, in the light of medical knowledge and technology at the time of death, all or most deaths from that cause could be avoided through good quality health care. </w:t>
            </w:r>
            <w:r w:rsidRPr="00AB73AF">
              <w:rPr>
                <w:rFonts w:ascii="Calibri" w:eastAsia="Times New Roman" w:hAnsi="Calibri" w:cs="Times New Roman"/>
                <w:sz w:val="18"/>
                <w:szCs w:val="18"/>
              </w:rPr>
              <w:br/>
              <w:t>A death is preventable if, in the light of understanding of the determinants of health at the time of death, all or most deaths from that cause could be avoided by public health interventions in the broadest sense.</w:t>
            </w:r>
          </w:p>
        </w:tc>
      </w:tr>
      <w:tr w:rsidR="00AB73AF" w:rsidRPr="00AB73AF" w14:paraId="5118009A" w14:textId="77777777" w:rsidTr="00AB73AF">
        <w:trPr>
          <w:trHeight w:val="480"/>
        </w:trPr>
        <w:tc>
          <w:tcPr>
            <w:tcW w:w="29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79C3BC4" w14:textId="77777777" w:rsidR="00AB73AF" w:rsidRPr="00AB73AF" w:rsidRDefault="00AB73AF" w:rsidP="00AB73AF">
            <w:pPr>
              <w:spacing w:line="240" w:lineRule="auto"/>
              <w:jc w:val="center"/>
              <w:rPr>
                <w:rFonts w:ascii="Calibri" w:eastAsia="Times New Roman" w:hAnsi="Calibri" w:cs="Times New Roman"/>
                <w:b/>
                <w:bCs/>
                <w:sz w:val="18"/>
                <w:szCs w:val="18"/>
              </w:rPr>
            </w:pPr>
            <w:r w:rsidRPr="00AB73AF">
              <w:rPr>
                <w:rFonts w:ascii="Calibri" w:eastAsia="Times New Roman" w:hAnsi="Calibri" w:cs="Times New Roman"/>
                <w:b/>
                <w:bCs/>
                <w:sz w:val="18"/>
                <w:szCs w:val="18"/>
              </w:rPr>
              <w:t>Health Determinants</w:t>
            </w:r>
          </w:p>
        </w:tc>
        <w:tc>
          <w:tcPr>
            <w:tcW w:w="964" w:type="pct"/>
            <w:tcBorders>
              <w:top w:val="nil"/>
              <w:left w:val="nil"/>
              <w:bottom w:val="single" w:sz="4" w:space="0" w:color="auto"/>
              <w:right w:val="single" w:sz="4" w:space="0" w:color="auto"/>
            </w:tcBorders>
            <w:shd w:val="clear" w:color="auto" w:fill="auto"/>
            <w:vAlign w:val="center"/>
            <w:hideMark/>
          </w:tcPr>
          <w:p w14:paraId="4FADA27F"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Share of population covered by health insurance</w:t>
            </w:r>
          </w:p>
        </w:tc>
        <w:tc>
          <w:tcPr>
            <w:tcW w:w="3745" w:type="pct"/>
            <w:tcBorders>
              <w:top w:val="nil"/>
              <w:left w:val="nil"/>
              <w:bottom w:val="single" w:sz="4" w:space="0" w:color="auto"/>
              <w:right w:val="single" w:sz="4" w:space="0" w:color="auto"/>
            </w:tcBorders>
            <w:shd w:val="clear" w:color="auto" w:fill="auto"/>
            <w:vAlign w:val="center"/>
            <w:hideMark/>
          </w:tcPr>
          <w:p w14:paraId="533FC93D"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Percentage of population covered by i) Government/ social health insurance, ii) private health insurance.</w:t>
            </w:r>
          </w:p>
        </w:tc>
      </w:tr>
      <w:tr w:rsidR="00AB73AF" w:rsidRPr="00AB73AF" w14:paraId="0A08D5E5" w14:textId="77777777" w:rsidTr="00AB73AF">
        <w:trPr>
          <w:trHeight w:val="720"/>
        </w:trPr>
        <w:tc>
          <w:tcPr>
            <w:tcW w:w="291" w:type="pct"/>
            <w:vMerge/>
            <w:tcBorders>
              <w:top w:val="nil"/>
              <w:left w:val="single" w:sz="4" w:space="0" w:color="auto"/>
              <w:bottom w:val="single" w:sz="4" w:space="0" w:color="000000"/>
              <w:right w:val="single" w:sz="4" w:space="0" w:color="auto"/>
            </w:tcBorders>
            <w:vAlign w:val="center"/>
            <w:hideMark/>
          </w:tcPr>
          <w:p w14:paraId="20DBECD0"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3018AB60"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Life expectancy</w:t>
            </w:r>
          </w:p>
        </w:tc>
        <w:tc>
          <w:tcPr>
            <w:tcW w:w="3745" w:type="pct"/>
            <w:tcBorders>
              <w:top w:val="nil"/>
              <w:left w:val="nil"/>
              <w:bottom w:val="single" w:sz="4" w:space="0" w:color="auto"/>
              <w:right w:val="single" w:sz="4" w:space="0" w:color="auto"/>
            </w:tcBorders>
            <w:shd w:val="clear" w:color="auto" w:fill="auto"/>
            <w:vAlign w:val="center"/>
            <w:hideMark/>
          </w:tcPr>
          <w:p w14:paraId="3D73441D"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Total population, disaggregated by sex and by educational attainment. </w:t>
            </w:r>
            <w:r w:rsidRPr="00AB73AF">
              <w:rPr>
                <w:rFonts w:ascii="Calibri" w:eastAsia="Times New Roman" w:hAnsi="Calibri" w:cs="Times New Roman"/>
                <w:sz w:val="18"/>
                <w:szCs w:val="18"/>
              </w:rPr>
              <w:br/>
              <w:t>Life expectancy at birth, ages 1, 15, 45 and 65 years represents the average number of years of life remaining if a group of persons at that age were to experience the mortality rates for a particular year over the course of their remaining life.</w:t>
            </w:r>
          </w:p>
        </w:tc>
      </w:tr>
      <w:tr w:rsidR="00AB73AF" w:rsidRPr="00AB73AF" w14:paraId="300FEDE5" w14:textId="77777777" w:rsidTr="00AB73AF">
        <w:trPr>
          <w:trHeight w:val="720"/>
        </w:trPr>
        <w:tc>
          <w:tcPr>
            <w:tcW w:w="291" w:type="pct"/>
            <w:vMerge/>
            <w:tcBorders>
              <w:top w:val="nil"/>
              <w:left w:val="single" w:sz="4" w:space="0" w:color="auto"/>
              <w:bottom w:val="single" w:sz="4" w:space="0" w:color="000000"/>
              <w:right w:val="single" w:sz="4" w:space="0" w:color="auto"/>
            </w:tcBorders>
            <w:vAlign w:val="center"/>
            <w:hideMark/>
          </w:tcPr>
          <w:p w14:paraId="10025F00"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46034E4E"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Body Mass Index *</w:t>
            </w:r>
          </w:p>
        </w:tc>
        <w:tc>
          <w:tcPr>
            <w:tcW w:w="3745" w:type="pct"/>
            <w:tcBorders>
              <w:top w:val="nil"/>
              <w:left w:val="nil"/>
              <w:bottom w:val="single" w:sz="4" w:space="0" w:color="auto"/>
              <w:right w:val="single" w:sz="4" w:space="0" w:color="auto"/>
            </w:tcBorders>
            <w:shd w:val="clear" w:color="auto" w:fill="auto"/>
            <w:vAlign w:val="center"/>
            <w:hideMark/>
          </w:tcPr>
          <w:p w14:paraId="07DFCEDF"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Disaggregated by age-group, by sex and by educational level (ISCED class 0-2, 3-4, 5-6), by income quintile gap q1/q5. </w:t>
            </w:r>
            <w:r w:rsidRPr="00AB73AF">
              <w:rPr>
                <w:rFonts w:ascii="Calibri" w:eastAsia="Times New Roman" w:hAnsi="Calibri" w:cs="Times New Roman"/>
                <w:sz w:val="18"/>
                <w:szCs w:val="18"/>
              </w:rPr>
              <w:br/>
              <w:t xml:space="preserve">Proportion of persons who are underweight, normal weight, obese, i.e. whose body mass index (BMI) is  &lt;20 kg/m2 for underweight, &lt;25 kg/m2 for normal weight, ≥25 kg/m2  for overweight and ≥30 kg/m2 for obesity. </w:t>
            </w:r>
          </w:p>
        </w:tc>
      </w:tr>
      <w:tr w:rsidR="00AB73AF" w:rsidRPr="00AB73AF" w14:paraId="07920B27" w14:textId="77777777" w:rsidTr="00AB73AF">
        <w:trPr>
          <w:trHeight w:val="480"/>
        </w:trPr>
        <w:tc>
          <w:tcPr>
            <w:tcW w:w="291" w:type="pct"/>
            <w:vMerge/>
            <w:tcBorders>
              <w:top w:val="nil"/>
              <w:left w:val="single" w:sz="4" w:space="0" w:color="auto"/>
              <w:bottom w:val="single" w:sz="4" w:space="0" w:color="000000"/>
              <w:right w:val="single" w:sz="4" w:space="0" w:color="auto"/>
            </w:tcBorders>
            <w:vAlign w:val="center"/>
            <w:hideMark/>
          </w:tcPr>
          <w:p w14:paraId="6E263C76"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4BEA65A4"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Prevalence of different smoking status, self-reported</w:t>
            </w:r>
          </w:p>
        </w:tc>
        <w:tc>
          <w:tcPr>
            <w:tcW w:w="3745" w:type="pct"/>
            <w:tcBorders>
              <w:top w:val="nil"/>
              <w:left w:val="nil"/>
              <w:bottom w:val="single" w:sz="4" w:space="0" w:color="auto"/>
              <w:right w:val="single" w:sz="4" w:space="0" w:color="auto"/>
            </w:tcBorders>
            <w:shd w:val="clear" w:color="auto" w:fill="auto"/>
            <w:vAlign w:val="center"/>
            <w:hideMark/>
          </w:tcPr>
          <w:p w14:paraId="7A4A1845"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Diaggregated by sex, age-group (15+, 15-26, 25-64, 65+), educational level (ISCED class 0-2, 3-4, 5-6) and by income quintile gap q1/q5.</w:t>
            </w:r>
            <w:r w:rsidRPr="00AB73AF">
              <w:rPr>
                <w:rFonts w:ascii="Calibri" w:eastAsia="Times New Roman" w:hAnsi="Calibri" w:cs="Times New Roman"/>
                <w:sz w:val="18"/>
                <w:szCs w:val="18"/>
              </w:rPr>
              <w:br/>
              <w:t>Proportion of people reporting to i) smoke cigarettes daily, ii) be ex-smokers, iii) have never smoked.</w:t>
            </w:r>
          </w:p>
        </w:tc>
      </w:tr>
      <w:tr w:rsidR="00AB73AF" w:rsidRPr="00AB73AF" w14:paraId="294943BD" w14:textId="77777777" w:rsidTr="00AB73AF">
        <w:trPr>
          <w:trHeight w:val="720"/>
        </w:trPr>
        <w:tc>
          <w:tcPr>
            <w:tcW w:w="291" w:type="pct"/>
            <w:vMerge/>
            <w:tcBorders>
              <w:top w:val="nil"/>
              <w:left w:val="single" w:sz="4" w:space="0" w:color="auto"/>
              <w:bottom w:val="single" w:sz="4" w:space="0" w:color="000000"/>
              <w:right w:val="single" w:sz="4" w:space="0" w:color="auto"/>
            </w:tcBorders>
            <w:vAlign w:val="center"/>
            <w:hideMark/>
          </w:tcPr>
          <w:p w14:paraId="08C282DB"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2922BB11"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Opportunities for education: Participation in early childhood education</w:t>
            </w:r>
          </w:p>
        </w:tc>
        <w:tc>
          <w:tcPr>
            <w:tcW w:w="3745" w:type="pct"/>
            <w:tcBorders>
              <w:top w:val="nil"/>
              <w:left w:val="nil"/>
              <w:bottom w:val="single" w:sz="4" w:space="0" w:color="auto"/>
              <w:right w:val="single" w:sz="4" w:space="0" w:color="auto"/>
            </w:tcBorders>
            <w:shd w:val="clear" w:color="auto" w:fill="auto"/>
            <w:vAlign w:val="center"/>
            <w:hideMark/>
          </w:tcPr>
          <w:p w14:paraId="346F34CC"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Enrolment rate in ISCED 0-1 for 4 years old pupils</w:t>
            </w:r>
          </w:p>
        </w:tc>
      </w:tr>
      <w:tr w:rsidR="00AB73AF" w:rsidRPr="00AB73AF" w14:paraId="5BD5F7AE" w14:textId="77777777" w:rsidTr="00AB73AF">
        <w:trPr>
          <w:trHeight w:val="5280"/>
        </w:trPr>
        <w:tc>
          <w:tcPr>
            <w:tcW w:w="291" w:type="pct"/>
            <w:vMerge/>
            <w:tcBorders>
              <w:top w:val="nil"/>
              <w:left w:val="single" w:sz="4" w:space="0" w:color="auto"/>
              <w:bottom w:val="single" w:sz="4" w:space="0" w:color="000000"/>
              <w:right w:val="single" w:sz="4" w:space="0" w:color="auto"/>
            </w:tcBorders>
            <w:vAlign w:val="center"/>
            <w:hideMark/>
          </w:tcPr>
          <w:p w14:paraId="7AB86407" w14:textId="77777777" w:rsidR="00AB73AF" w:rsidRPr="00AB73AF" w:rsidRDefault="00AB73AF" w:rsidP="00AB73AF">
            <w:pPr>
              <w:spacing w:line="240" w:lineRule="auto"/>
              <w:jc w:val="left"/>
              <w:rPr>
                <w:rFonts w:ascii="Calibri" w:eastAsia="Times New Roman" w:hAnsi="Calibri" w:cs="Times New Roman"/>
                <w:b/>
                <w:bCs/>
                <w:sz w:val="18"/>
                <w:szCs w:val="18"/>
              </w:rPr>
            </w:pPr>
          </w:p>
        </w:tc>
        <w:tc>
          <w:tcPr>
            <w:tcW w:w="964" w:type="pct"/>
            <w:tcBorders>
              <w:top w:val="nil"/>
              <w:left w:val="nil"/>
              <w:bottom w:val="single" w:sz="4" w:space="0" w:color="auto"/>
              <w:right w:val="single" w:sz="4" w:space="0" w:color="auto"/>
            </w:tcBorders>
            <w:shd w:val="clear" w:color="auto" w:fill="auto"/>
            <w:vAlign w:val="center"/>
            <w:hideMark/>
          </w:tcPr>
          <w:p w14:paraId="0EE24D7E"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Overall experience of life: Life satisfaction</w:t>
            </w:r>
          </w:p>
        </w:tc>
        <w:tc>
          <w:tcPr>
            <w:tcW w:w="3745" w:type="pct"/>
            <w:tcBorders>
              <w:top w:val="nil"/>
              <w:left w:val="nil"/>
              <w:bottom w:val="single" w:sz="4" w:space="0" w:color="auto"/>
              <w:right w:val="single" w:sz="4" w:space="0" w:color="auto"/>
            </w:tcBorders>
            <w:shd w:val="clear" w:color="auto" w:fill="auto"/>
            <w:vAlign w:val="center"/>
            <w:hideMark/>
          </w:tcPr>
          <w:p w14:paraId="1AC39273" w14:textId="77777777" w:rsidR="00AB73AF" w:rsidRPr="00AB73AF" w:rsidRDefault="00AB73AF" w:rsidP="00AB73AF">
            <w:pPr>
              <w:spacing w:line="240" w:lineRule="auto"/>
              <w:jc w:val="left"/>
              <w:rPr>
                <w:rFonts w:ascii="Calibri" w:eastAsia="Times New Roman" w:hAnsi="Calibri" w:cs="Times New Roman"/>
                <w:sz w:val="18"/>
                <w:szCs w:val="18"/>
              </w:rPr>
            </w:pPr>
            <w:r w:rsidRPr="00AB73AF">
              <w:rPr>
                <w:rFonts w:ascii="Calibri" w:eastAsia="Times New Roman" w:hAnsi="Calibri" w:cs="Times New Roman"/>
                <w:sz w:val="18"/>
                <w:szCs w:val="18"/>
              </w:rPr>
              <w:t xml:space="preserve">Disaggregated by sex, age, income quintile. </w:t>
            </w:r>
            <w:r w:rsidRPr="00AB73AF">
              <w:rPr>
                <w:rFonts w:ascii="Calibri" w:eastAsia="Times New Roman" w:hAnsi="Calibri" w:cs="Times New Roman"/>
                <w:sz w:val="18"/>
                <w:szCs w:val="18"/>
              </w:rPr>
              <w:br/>
              <w:t>Subjective well-being encompasses three distinct but complementary sub-dimensions: life satisfaction, based on an overall cognitive assessment; affects, or the presence of positive feelings and absence of negative feelings; and eudaimonics, the feeling that one’s life has a meaning.</w:t>
            </w:r>
            <w:r w:rsidRPr="00AB73AF">
              <w:rPr>
                <w:rFonts w:ascii="Calibri" w:eastAsia="Times New Roman" w:hAnsi="Calibri" w:cs="Times New Roman"/>
                <w:sz w:val="18"/>
                <w:szCs w:val="18"/>
              </w:rPr>
              <w:br/>
              <w:t>Life satisfaction represents how a person evaluates or appraises his or her life taken as a whole. It is intended to cover a broad, reflective appraisal the person makes of his or her life. The term «life» is intended here as all areas of a person’s existence. The variable therefore refers to the respondent’s opinion/feeling about the degree of satisfaction with his/her life. It focuses on how people are feeling "these days" rather than specifying a longer or shorter time period. The intent is not to obtain the current emotional state of the respondent but to receive a reflective judgement on their level of satisfaction.</w:t>
            </w:r>
            <w:r w:rsidRPr="00AB73AF">
              <w:rPr>
                <w:rFonts w:ascii="Calibri" w:eastAsia="Times New Roman" w:hAnsi="Calibri" w:cs="Times New Roman"/>
                <w:sz w:val="18"/>
                <w:szCs w:val="18"/>
              </w:rPr>
              <w:br/>
              <w:t>Satisfaction with particular life domains (financial situation, housing, job, commuting time, living environment, green and recreational areas, time use and personal relationships) also represent a broad subjective assessment of the respetive area taking into account individual situations and preferences.</w:t>
            </w:r>
            <w:r w:rsidRPr="00AB73AF">
              <w:rPr>
                <w:rFonts w:ascii="Calibri" w:eastAsia="Times New Roman" w:hAnsi="Calibri" w:cs="Times New Roman"/>
                <w:sz w:val="18"/>
                <w:szCs w:val="18"/>
              </w:rPr>
              <w:br/>
              <w:t>"Meaning of life" represents the eudaimonic aspect of well-being, whether or not the inviduals deem their life as being worthwhile. It is not related to any specific area of life, focuses rather on life in general.</w:t>
            </w:r>
            <w:r w:rsidRPr="00AB73AF">
              <w:rPr>
                <w:rFonts w:ascii="Calibri" w:eastAsia="Times New Roman" w:hAnsi="Calibri" w:cs="Times New Roman"/>
                <w:sz w:val="18"/>
                <w:szCs w:val="18"/>
              </w:rPr>
              <w:br/>
              <w:t>The frequency of positive emotions (happiness) in the last four weeks represents the affects dimension of well-being.</w:t>
            </w:r>
            <w:r w:rsidRPr="00AB73AF">
              <w:rPr>
                <w:rFonts w:ascii="Calibri" w:eastAsia="Times New Roman" w:hAnsi="Calibri" w:cs="Times New Roman"/>
                <w:sz w:val="18"/>
                <w:szCs w:val="18"/>
              </w:rPr>
              <w:br/>
              <w:t>Trust in others and in institutions (legal system, political system and the police) is of a general nature and it should not apply to a specific group of people or institution. The legal and political system encompass all institutions in the respective categories, whether local, national or transnational.</w:t>
            </w:r>
            <w:r w:rsidRPr="00AB73AF">
              <w:rPr>
                <w:rFonts w:ascii="Calibri" w:eastAsia="Times New Roman" w:hAnsi="Calibri" w:cs="Times New Roman"/>
                <w:sz w:val="18"/>
                <w:szCs w:val="18"/>
              </w:rPr>
              <w:br/>
              <w:t>The availability of social support refers to the one's possibility to ask for help (any kind of help: moral, material or financial) from any relatives, friends or neighbours, whether thethe person needs it or not. Only relatives and friends (or neighbours) who don't live in the same household are considered.</w:t>
            </w:r>
          </w:p>
        </w:tc>
      </w:tr>
    </w:tbl>
    <w:p w14:paraId="43E3169B" w14:textId="28429B12" w:rsidR="00AB73AF" w:rsidRPr="00AB73AF" w:rsidRDefault="00AB73AF" w:rsidP="00AB73AF"/>
    <w:sectPr w:rsidR="00AB73AF" w:rsidRPr="00AB73AF" w:rsidSect="00AB73AF">
      <w:headerReference w:type="default" r:id="rId9"/>
      <w:footerReference w:type="default" r:id="rId10"/>
      <w:pgSz w:w="16839" w:h="11907" w:orient="landscape"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3ED17" w14:textId="77777777" w:rsidR="00C4084B" w:rsidRDefault="00C4084B" w:rsidP="007E0176">
      <w:pPr>
        <w:spacing w:line="240" w:lineRule="auto"/>
      </w:pPr>
      <w:r>
        <w:separator/>
      </w:r>
    </w:p>
  </w:endnote>
  <w:endnote w:type="continuationSeparator" w:id="0">
    <w:p w14:paraId="5F7C36CE" w14:textId="77777777" w:rsidR="00C4084B" w:rsidRDefault="00C4084B" w:rsidP="007E0176">
      <w:pPr>
        <w:spacing w:line="240" w:lineRule="auto"/>
      </w:pPr>
      <w:r>
        <w:continuationSeparator/>
      </w:r>
    </w:p>
  </w:endnote>
  <w:endnote w:type="continuationNotice" w:id="1">
    <w:p w14:paraId="6E2D1779" w14:textId="77777777" w:rsidR="00C4084B" w:rsidRDefault="00C408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306753"/>
      <w:docPartObj>
        <w:docPartGallery w:val="Page Numbers (Bottom of Page)"/>
        <w:docPartUnique/>
      </w:docPartObj>
    </w:sdtPr>
    <w:sdtEndPr>
      <w:rPr>
        <w:noProof/>
      </w:rPr>
    </w:sdtEndPr>
    <w:sdtContent>
      <w:p w14:paraId="5CB87B34" w14:textId="494303AC" w:rsidR="00C344AA" w:rsidRDefault="00C344AA" w:rsidP="006936B9">
        <w:pPr>
          <w:pStyle w:val="Footer"/>
          <w:jc w:val="right"/>
        </w:pPr>
        <w:r>
          <w:fldChar w:fldCharType="begin"/>
        </w:r>
        <w:r>
          <w:instrText xml:space="preserve"> PAGE   \* MERGEFORMAT </w:instrText>
        </w:r>
        <w:r>
          <w:fldChar w:fldCharType="separate"/>
        </w:r>
        <w:r w:rsidR="00BF408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70DD0" w14:textId="77777777" w:rsidR="00C4084B" w:rsidRDefault="00C4084B" w:rsidP="007E0176">
      <w:pPr>
        <w:spacing w:line="240" w:lineRule="auto"/>
      </w:pPr>
      <w:r>
        <w:separator/>
      </w:r>
    </w:p>
  </w:footnote>
  <w:footnote w:type="continuationSeparator" w:id="0">
    <w:p w14:paraId="02069E3A" w14:textId="77777777" w:rsidR="00C4084B" w:rsidRDefault="00C4084B" w:rsidP="007E0176">
      <w:pPr>
        <w:spacing w:line="240" w:lineRule="auto"/>
      </w:pPr>
      <w:r>
        <w:continuationSeparator/>
      </w:r>
    </w:p>
  </w:footnote>
  <w:footnote w:type="continuationNotice" w:id="1">
    <w:p w14:paraId="7AD66BAF" w14:textId="77777777" w:rsidR="00C4084B" w:rsidRDefault="00C4084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44F2D" w14:textId="77777777" w:rsidR="00C344AA" w:rsidRDefault="00C34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8FF"/>
    <w:multiLevelType w:val="hybridMultilevel"/>
    <w:tmpl w:val="B1BA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43A50"/>
    <w:multiLevelType w:val="hybridMultilevel"/>
    <w:tmpl w:val="4042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017A9"/>
    <w:multiLevelType w:val="hybridMultilevel"/>
    <w:tmpl w:val="AEC8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15665"/>
    <w:multiLevelType w:val="hybridMultilevel"/>
    <w:tmpl w:val="6492AF36"/>
    <w:lvl w:ilvl="0" w:tplc="0407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62068"/>
    <w:multiLevelType w:val="hybridMultilevel"/>
    <w:tmpl w:val="EAE4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F62C3"/>
    <w:multiLevelType w:val="multilevel"/>
    <w:tmpl w:val="602A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71EB9"/>
    <w:multiLevelType w:val="hybridMultilevel"/>
    <w:tmpl w:val="C4C6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5525C"/>
    <w:multiLevelType w:val="hybridMultilevel"/>
    <w:tmpl w:val="AD96ED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B23C64"/>
    <w:multiLevelType w:val="hybridMultilevel"/>
    <w:tmpl w:val="DBE0CAEE"/>
    <w:lvl w:ilvl="0" w:tplc="BE9AB8B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EE0EB4"/>
    <w:multiLevelType w:val="hybridMultilevel"/>
    <w:tmpl w:val="7722F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8333F7"/>
    <w:multiLevelType w:val="hybridMultilevel"/>
    <w:tmpl w:val="7B2CA5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3A72B2D"/>
    <w:multiLevelType w:val="hybridMultilevel"/>
    <w:tmpl w:val="316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33ED0"/>
    <w:multiLevelType w:val="hybridMultilevel"/>
    <w:tmpl w:val="E90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D477C"/>
    <w:multiLevelType w:val="hybridMultilevel"/>
    <w:tmpl w:val="616A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50AA6"/>
    <w:multiLevelType w:val="hybridMultilevel"/>
    <w:tmpl w:val="45B6C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6B6258"/>
    <w:multiLevelType w:val="hybridMultilevel"/>
    <w:tmpl w:val="325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C065F"/>
    <w:multiLevelType w:val="hybridMultilevel"/>
    <w:tmpl w:val="A2CA9928"/>
    <w:lvl w:ilvl="0" w:tplc="AF3AB9CE">
      <w:start w:val="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11D7B"/>
    <w:multiLevelType w:val="multilevel"/>
    <w:tmpl w:val="541C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F33854"/>
    <w:multiLevelType w:val="hybridMultilevel"/>
    <w:tmpl w:val="523E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D0C3C"/>
    <w:multiLevelType w:val="hybridMultilevel"/>
    <w:tmpl w:val="296A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73E47"/>
    <w:multiLevelType w:val="hybridMultilevel"/>
    <w:tmpl w:val="BDBE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F92FD6"/>
    <w:multiLevelType w:val="hybridMultilevel"/>
    <w:tmpl w:val="362A6B3C"/>
    <w:lvl w:ilvl="0" w:tplc="63DEC9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D7FEB"/>
    <w:multiLevelType w:val="multilevel"/>
    <w:tmpl w:val="5D0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793023"/>
    <w:multiLevelType w:val="hybridMultilevel"/>
    <w:tmpl w:val="CE7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E33BF"/>
    <w:multiLevelType w:val="hybridMultilevel"/>
    <w:tmpl w:val="AFD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6"/>
  </w:num>
  <w:num w:numId="5">
    <w:abstractNumId w:val="13"/>
  </w:num>
  <w:num w:numId="6">
    <w:abstractNumId w:val="23"/>
  </w:num>
  <w:num w:numId="7">
    <w:abstractNumId w:val="16"/>
  </w:num>
  <w:num w:numId="8">
    <w:abstractNumId w:val="24"/>
  </w:num>
  <w:num w:numId="9">
    <w:abstractNumId w:val="19"/>
  </w:num>
  <w:num w:numId="10">
    <w:abstractNumId w:val="12"/>
  </w:num>
  <w:num w:numId="11">
    <w:abstractNumId w:val="22"/>
  </w:num>
  <w:num w:numId="12">
    <w:abstractNumId w:val="17"/>
  </w:num>
  <w:num w:numId="13">
    <w:abstractNumId w:val="5"/>
  </w:num>
  <w:num w:numId="14">
    <w:abstractNumId w:val="10"/>
  </w:num>
  <w:num w:numId="15">
    <w:abstractNumId w:val="9"/>
  </w:num>
  <w:num w:numId="16">
    <w:abstractNumId w:val="18"/>
  </w:num>
  <w:num w:numId="17">
    <w:abstractNumId w:val="0"/>
  </w:num>
  <w:num w:numId="18">
    <w:abstractNumId w:val="4"/>
  </w:num>
  <w:num w:numId="19">
    <w:abstractNumId w:val="1"/>
  </w:num>
  <w:num w:numId="20">
    <w:abstractNumId w:val="15"/>
  </w:num>
  <w:num w:numId="21">
    <w:abstractNumId w:val="8"/>
  </w:num>
  <w:num w:numId="22">
    <w:abstractNumId w:val="14"/>
  </w:num>
  <w:num w:numId="23">
    <w:abstractNumId w:val="11"/>
  </w:num>
  <w:num w:numId="24">
    <w:abstractNumId w:val="7"/>
  </w:num>
  <w:num w:numId="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ives in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Total_Editing_Time" w:val="0"/>
  </w:docVars>
  <w:rsids>
    <w:rsidRoot w:val="007E0176"/>
    <w:rsid w:val="000023A2"/>
    <w:rsid w:val="000028D1"/>
    <w:rsid w:val="0000366D"/>
    <w:rsid w:val="000056DE"/>
    <w:rsid w:val="0000772F"/>
    <w:rsid w:val="000111B5"/>
    <w:rsid w:val="00011CDB"/>
    <w:rsid w:val="00012B48"/>
    <w:rsid w:val="00013260"/>
    <w:rsid w:val="00013330"/>
    <w:rsid w:val="0001472E"/>
    <w:rsid w:val="00015DFA"/>
    <w:rsid w:val="00020B98"/>
    <w:rsid w:val="00020BD1"/>
    <w:rsid w:val="00020E95"/>
    <w:rsid w:val="0002109A"/>
    <w:rsid w:val="0002206C"/>
    <w:rsid w:val="0003070A"/>
    <w:rsid w:val="00034AAC"/>
    <w:rsid w:val="000354ED"/>
    <w:rsid w:val="000358C5"/>
    <w:rsid w:val="0003678F"/>
    <w:rsid w:val="00036C6B"/>
    <w:rsid w:val="000403FA"/>
    <w:rsid w:val="00040414"/>
    <w:rsid w:val="00042776"/>
    <w:rsid w:val="00043A9F"/>
    <w:rsid w:val="000451D1"/>
    <w:rsid w:val="00045F07"/>
    <w:rsid w:val="000503BC"/>
    <w:rsid w:val="00050CCD"/>
    <w:rsid w:val="00051C3B"/>
    <w:rsid w:val="00052DE7"/>
    <w:rsid w:val="00054BBE"/>
    <w:rsid w:val="00054D7D"/>
    <w:rsid w:val="000554A8"/>
    <w:rsid w:val="00056B21"/>
    <w:rsid w:val="00056ED9"/>
    <w:rsid w:val="000619AA"/>
    <w:rsid w:val="00062E8C"/>
    <w:rsid w:val="00063B18"/>
    <w:rsid w:val="00064E27"/>
    <w:rsid w:val="0006604B"/>
    <w:rsid w:val="00066EC7"/>
    <w:rsid w:val="0006709A"/>
    <w:rsid w:val="00067B79"/>
    <w:rsid w:val="000703D0"/>
    <w:rsid w:val="00071F62"/>
    <w:rsid w:val="0007290F"/>
    <w:rsid w:val="00073956"/>
    <w:rsid w:val="0007412A"/>
    <w:rsid w:val="00074C69"/>
    <w:rsid w:val="00075CB6"/>
    <w:rsid w:val="00075E07"/>
    <w:rsid w:val="00081287"/>
    <w:rsid w:val="00081324"/>
    <w:rsid w:val="00081D51"/>
    <w:rsid w:val="00082309"/>
    <w:rsid w:val="00082CDA"/>
    <w:rsid w:val="00091BBC"/>
    <w:rsid w:val="00091E19"/>
    <w:rsid w:val="00093B35"/>
    <w:rsid w:val="000942DC"/>
    <w:rsid w:val="000A1553"/>
    <w:rsid w:val="000A2587"/>
    <w:rsid w:val="000A51DF"/>
    <w:rsid w:val="000B108D"/>
    <w:rsid w:val="000B185B"/>
    <w:rsid w:val="000B2A70"/>
    <w:rsid w:val="000B570F"/>
    <w:rsid w:val="000B5C5C"/>
    <w:rsid w:val="000C0D63"/>
    <w:rsid w:val="000C18A7"/>
    <w:rsid w:val="000C553D"/>
    <w:rsid w:val="000C6505"/>
    <w:rsid w:val="000C6FB5"/>
    <w:rsid w:val="000D24AB"/>
    <w:rsid w:val="000D3121"/>
    <w:rsid w:val="000D3C0D"/>
    <w:rsid w:val="000D6ED8"/>
    <w:rsid w:val="000E0167"/>
    <w:rsid w:val="000E01A0"/>
    <w:rsid w:val="000E05D6"/>
    <w:rsid w:val="000E0797"/>
    <w:rsid w:val="000E13EE"/>
    <w:rsid w:val="000E298B"/>
    <w:rsid w:val="000E366B"/>
    <w:rsid w:val="000E37B6"/>
    <w:rsid w:val="000E3880"/>
    <w:rsid w:val="000E49F4"/>
    <w:rsid w:val="000E4C2C"/>
    <w:rsid w:val="000E5DA7"/>
    <w:rsid w:val="000E60EB"/>
    <w:rsid w:val="000E685F"/>
    <w:rsid w:val="000F18E8"/>
    <w:rsid w:val="000F3E80"/>
    <w:rsid w:val="000F4BAA"/>
    <w:rsid w:val="000F4CD0"/>
    <w:rsid w:val="000F4F0E"/>
    <w:rsid w:val="000F5C9F"/>
    <w:rsid w:val="000F5D29"/>
    <w:rsid w:val="000F6C6B"/>
    <w:rsid w:val="000F7B98"/>
    <w:rsid w:val="00100912"/>
    <w:rsid w:val="001021B9"/>
    <w:rsid w:val="00103149"/>
    <w:rsid w:val="0010340D"/>
    <w:rsid w:val="0010342F"/>
    <w:rsid w:val="00103AAA"/>
    <w:rsid w:val="00104208"/>
    <w:rsid w:val="00104C88"/>
    <w:rsid w:val="001064DC"/>
    <w:rsid w:val="0010660A"/>
    <w:rsid w:val="00110381"/>
    <w:rsid w:val="00111431"/>
    <w:rsid w:val="00111CCA"/>
    <w:rsid w:val="0011333C"/>
    <w:rsid w:val="0011358E"/>
    <w:rsid w:val="00114376"/>
    <w:rsid w:val="001143EF"/>
    <w:rsid w:val="00114560"/>
    <w:rsid w:val="0011649D"/>
    <w:rsid w:val="00116933"/>
    <w:rsid w:val="00116AB8"/>
    <w:rsid w:val="00120393"/>
    <w:rsid w:val="00120A13"/>
    <w:rsid w:val="0012109B"/>
    <w:rsid w:val="00126AC4"/>
    <w:rsid w:val="0012772E"/>
    <w:rsid w:val="00127AA3"/>
    <w:rsid w:val="00130ECE"/>
    <w:rsid w:val="0013296C"/>
    <w:rsid w:val="00133347"/>
    <w:rsid w:val="001346DB"/>
    <w:rsid w:val="00140BDA"/>
    <w:rsid w:val="00141096"/>
    <w:rsid w:val="00141942"/>
    <w:rsid w:val="00141D8C"/>
    <w:rsid w:val="0014358E"/>
    <w:rsid w:val="001449DC"/>
    <w:rsid w:val="00147C21"/>
    <w:rsid w:val="00151078"/>
    <w:rsid w:val="00153C65"/>
    <w:rsid w:val="001563A3"/>
    <w:rsid w:val="0016031E"/>
    <w:rsid w:val="0016401A"/>
    <w:rsid w:val="00164D5A"/>
    <w:rsid w:val="00165040"/>
    <w:rsid w:val="001668D3"/>
    <w:rsid w:val="001679F7"/>
    <w:rsid w:val="00167C9D"/>
    <w:rsid w:val="0017067C"/>
    <w:rsid w:val="00171B55"/>
    <w:rsid w:val="001729A8"/>
    <w:rsid w:val="0017510C"/>
    <w:rsid w:val="001770AA"/>
    <w:rsid w:val="00177F1F"/>
    <w:rsid w:val="00180666"/>
    <w:rsid w:val="00180BCE"/>
    <w:rsid w:val="00184A09"/>
    <w:rsid w:val="0019330A"/>
    <w:rsid w:val="00193469"/>
    <w:rsid w:val="00193F0B"/>
    <w:rsid w:val="00195574"/>
    <w:rsid w:val="001962F8"/>
    <w:rsid w:val="001A0FD5"/>
    <w:rsid w:val="001A3884"/>
    <w:rsid w:val="001A3966"/>
    <w:rsid w:val="001A4539"/>
    <w:rsid w:val="001A6A5C"/>
    <w:rsid w:val="001A72FB"/>
    <w:rsid w:val="001B1792"/>
    <w:rsid w:val="001B3B1E"/>
    <w:rsid w:val="001B6F45"/>
    <w:rsid w:val="001C1F8A"/>
    <w:rsid w:val="001C42B7"/>
    <w:rsid w:val="001C462A"/>
    <w:rsid w:val="001C5321"/>
    <w:rsid w:val="001D1399"/>
    <w:rsid w:val="001D1B98"/>
    <w:rsid w:val="001D32D2"/>
    <w:rsid w:val="001D524A"/>
    <w:rsid w:val="001D65AA"/>
    <w:rsid w:val="001D6D9B"/>
    <w:rsid w:val="001D6FF9"/>
    <w:rsid w:val="001E0D10"/>
    <w:rsid w:val="001E17C0"/>
    <w:rsid w:val="001E29D3"/>
    <w:rsid w:val="001E4910"/>
    <w:rsid w:val="001E66F7"/>
    <w:rsid w:val="001E6E54"/>
    <w:rsid w:val="001E7713"/>
    <w:rsid w:val="001F0095"/>
    <w:rsid w:val="001F292D"/>
    <w:rsid w:val="001F3CD4"/>
    <w:rsid w:val="001F42C7"/>
    <w:rsid w:val="001F6520"/>
    <w:rsid w:val="002009EB"/>
    <w:rsid w:val="00200F60"/>
    <w:rsid w:val="00201465"/>
    <w:rsid w:val="00201C53"/>
    <w:rsid w:val="002023DB"/>
    <w:rsid w:val="0020308B"/>
    <w:rsid w:val="00203DDE"/>
    <w:rsid w:val="002041D5"/>
    <w:rsid w:val="00205F15"/>
    <w:rsid w:val="0020701F"/>
    <w:rsid w:val="00210620"/>
    <w:rsid w:val="0021184D"/>
    <w:rsid w:val="00212D64"/>
    <w:rsid w:val="002132C2"/>
    <w:rsid w:val="00213EA4"/>
    <w:rsid w:val="00214FBD"/>
    <w:rsid w:val="00215DC4"/>
    <w:rsid w:val="00216305"/>
    <w:rsid w:val="002164FD"/>
    <w:rsid w:val="00217343"/>
    <w:rsid w:val="002178CE"/>
    <w:rsid w:val="00221255"/>
    <w:rsid w:val="002225CD"/>
    <w:rsid w:val="00223995"/>
    <w:rsid w:val="002241CC"/>
    <w:rsid w:val="00224593"/>
    <w:rsid w:val="00225AF3"/>
    <w:rsid w:val="00226284"/>
    <w:rsid w:val="00226A9E"/>
    <w:rsid w:val="0022744C"/>
    <w:rsid w:val="002300BE"/>
    <w:rsid w:val="002304D9"/>
    <w:rsid w:val="00232758"/>
    <w:rsid w:val="00235AB5"/>
    <w:rsid w:val="00235BE3"/>
    <w:rsid w:val="00236B26"/>
    <w:rsid w:val="002418BE"/>
    <w:rsid w:val="00242595"/>
    <w:rsid w:val="00242CB2"/>
    <w:rsid w:val="00243E7C"/>
    <w:rsid w:val="00245708"/>
    <w:rsid w:val="002457A8"/>
    <w:rsid w:val="00245861"/>
    <w:rsid w:val="00250CED"/>
    <w:rsid w:val="00251905"/>
    <w:rsid w:val="002525F8"/>
    <w:rsid w:val="0025262D"/>
    <w:rsid w:val="002549D0"/>
    <w:rsid w:val="00256797"/>
    <w:rsid w:val="00257F07"/>
    <w:rsid w:val="00260B2D"/>
    <w:rsid w:val="002614FC"/>
    <w:rsid w:val="0026174C"/>
    <w:rsid w:val="002633FB"/>
    <w:rsid w:val="00263BAA"/>
    <w:rsid w:val="00263BB5"/>
    <w:rsid w:val="0026532E"/>
    <w:rsid w:val="00265B5F"/>
    <w:rsid w:val="0026760B"/>
    <w:rsid w:val="00275803"/>
    <w:rsid w:val="00277452"/>
    <w:rsid w:val="00280509"/>
    <w:rsid w:val="002806CF"/>
    <w:rsid w:val="00280A90"/>
    <w:rsid w:val="002832F3"/>
    <w:rsid w:val="00283355"/>
    <w:rsid w:val="00283A83"/>
    <w:rsid w:val="00286260"/>
    <w:rsid w:val="00286EDE"/>
    <w:rsid w:val="002874E9"/>
    <w:rsid w:val="00287DD1"/>
    <w:rsid w:val="00290369"/>
    <w:rsid w:val="00291186"/>
    <w:rsid w:val="00292DAA"/>
    <w:rsid w:val="002939D6"/>
    <w:rsid w:val="00293C84"/>
    <w:rsid w:val="00295DCF"/>
    <w:rsid w:val="00297748"/>
    <w:rsid w:val="002A12F8"/>
    <w:rsid w:val="002A3BC2"/>
    <w:rsid w:val="002A5422"/>
    <w:rsid w:val="002B60A8"/>
    <w:rsid w:val="002B696D"/>
    <w:rsid w:val="002C4A3D"/>
    <w:rsid w:val="002C6746"/>
    <w:rsid w:val="002C6F59"/>
    <w:rsid w:val="002D0878"/>
    <w:rsid w:val="002D21FD"/>
    <w:rsid w:val="002D3383"/>
    <w:rsid w:val="002D37ED"/>
    <w:rsid w:val="002D42B7"/>
    <w:rsid w:val="002D4532"/>
    <w:rsid w:val="002D4873"/>
    <w:rsid w:val="002D5326"/>
    <w:rsid w:val="002D685C"/>
    <w:rsid w:val="002D6C3B"/>
    <w:rsid w:val="002D7BD3"/>
    <w:rsid w:val="002E02A9"/>
    <w:rsid w:val="002E1ACC"/>
    <w:rsid w:val="002E3321"/>
    <w:rsid w:val="002E3716"/>
    <w:rsid w:val="002E5E36"/>
    <w:rsid w:val="002E66DE"/>
    <w:rsid w:val="002E74DA"/>
    <w:rsid w:val="002F077B"/>
    <w:rsid w:val="002F4020"/>
    <w:rsid w:val="002F4DAF"/>
    <w:rsid w:val="002F5DAA"/>
    <w:rsid w:val="002F6E59"/>
    <w:rsid w:val="002F7036"/>
    <w:rsid w:val="00301D34"/>
    <w:rsid w:val="00304152"/>
    <w:rsid w:val="00307485"/>
    <w:rsid w:val="00307754"/>
    <w:rsid w:val="0031111A"/>
    <w:rsid w:val="003115CD"/>
    <w:rsid w:val="00312412"/>
    <w:rsid w:val="003148F9"/>
    <w:rsid w:val="00315DAF"/>
    <w:rsid w:val="00325A7E"/>
    <w:rsid w:val="00325F3D"/>
    <w:rsid w:val="003262C1"/>
    <w:rsid w:val="0032649C"/>
    <w:rsid w:val="003268E1"/>
    <w:rsid w:val="003275DF"/>
    <w:rsid w:val="00332DD3"/>
    <w:rsid w:val="00334F3A"/>
    <w:rsid w:val="00336BC9"/>
    <w:rsid w:val="003401FB"/>
    <w:rsid w:val="00340D7C"/>
    <w:rsid w:val="003441FD"/>
    <w:rsid w:val="0034677F"/>
    <w:rsid w:val="00346ACE"/>
    <w:rsid w:val="00352D35"/>
    <w:rsid w:val="00354DBA"/>
    <w:rsid w:val="0035658F"/>
    <w:rsid w:val="00360150"/>
    <w:rsid w:val="00360427"/>
    <w:rsid w:val="003606AB"/>
    <w:rsid w:val="00360C25"/>
    <w:rsid w:val="00362133"/>
    <w:rsid w:val="00363E3A"/>
    <w:rsid w:val="003642D6"/>
    <w:rsid w:val="00365945"/>
    <w:rsid w:val="003662C6"/>
    <w:rsid w:val="003669B1"/>
    <w:rsid w:val="00370E36"/>
    <w:rsid w:val="00373769"/>
    <w:rsid w:val="00377399"/>
    <w:rsid w:val="00380467"/>
    <w:rsid w:val="00380912"/>
    <w:rsid w:val="003817BE"/>
    <w:rsid w:val="00382178"/>
    <w:rsid w:val="0038407E"/>
    <w:rsid w:val="00384C79"/>
    <w:rsid w:val="003860CF"/>
    <w:rsid w:val="00386316"/>
    <w:rsid w:val="003868F1"/>
    <w:rsid w:val="00387260"/>
    <w:rsid w:val="00387E8B"/>
    <w:rsid w:val="0039120C"/>
    <w:rsid w:val="003918E2"/>
    <w:rsid w:val="003954BE"/>
    <w:rsid w:val="003965B8"/>
    <w:rsid w:val="00397027"/>
    <w:rsid w:val="00397699"/>
    <w:rsid w:val="003A05DB"/>
    <w:rsid w:val="003A1DC1"/>
    <w:rsid w:val="003A28B7"/>
    <w:rsid w:val="003A2D85"/>
    <w:rsid w:val="003A36AF"/>
    <w:rsid w:val="003A458F"/>
    <w:rsid w:val="003A6382"/>
    <w:rsid w:val="003A6526"/>
    <w:rsid w:val="003A73DE"/>
    <w:rsid w:val="003B10B6"/>
    <w:rsid w:val="003B10FD"/>
    <w:rsid w:val="003B1FEE"/>
    <w:rsid w:val="003B31BD"/>
    <w:rsid w:val="003B5E26"/>
    <w:rsid w:val="003B70B6"/>
    <w:rsid w:val="003B79E9"/>
    <w:rsid w:val="003B7FCD"/>
    <w:rsid w:val="003C3260"/>
    <w:rsid w:val="003C342F"/>
    <w:rsid w:val="003C3BAD"/>
    <w:rsid w:val="003C45AE"/>
    <w:rsid w:val="003C5065"/>
    <w:rsid w:val="003C5BF6"/>
    <w:rsid w:val="003C72FE"/>
    <w:rsid w:val="003D1FF8"/>
    <w:rsid w:val="003D2EC0"/>
    <w:rsid w:val="003D35AB"/>
    <w:rsid w:val="003D43BA"/>
    <w:rsid w:val="003D4780"/>
    <w:rsid w:val="003D4A4F"/>
    <w:rsid w:val="003D4C3A"/>
    <w:rsid w:val="003D5F4C"/>
    <w:rsid w:val="003D7F2F"/>
    <w:rsid w:val="003E0893"/>
    <w:rsid w:val="003E14A9"/>
    <w:rsid w:val="003E1BC8"/>
    <w:rsid w:val="003E3145"/>
    <w:rsid w:val="003E34A1"/>
    <w:rsid w:val="003E3CF5"/>
    <w:rsid w:val="003E44EC"/>
    <w:rsid w:val="003E4C18"/>
    <w:rsid w:val="003E4C63"/>
    <w:rsid w:val="003E4CE7"/>
    <w:rsid w:val="003E51F6"/>
    <w:rsid w:val="003E7BA7"/>
    <w:rsid w:val="003E7DAD"/>
    <w:rsid w:val="003F29FE"/>
    <w:rsid w:val="003F3335"/>
    <w:rsid w:val="003F38ED"/>
    <w:rsid w:val="003F3E3E"/>
    <w:rsid w:val="003F4E34"/>
    <w:rsid w:val="003F5E9C"/>
    <w:rsid w:val="003F6038"/>
    <w:rsid w:val="00400CE3"/>
    <w:rsid w:val="004011E3"/>
    <w:rsid w:val="00401226"/>
    <w:rsid w:val="0040126C"/>
    <w:rsid w:val="0040144A"/>
    <w:rsid w:val="00401946"/>
    <w:rsid w:val="00401A2A"/>
    <w:rsid w:val="00402131"/>
    <w:rsid w:val="0040392A"/>
    <w:rsid w:val="00404B78"/>
    <w:rsid w:val="00407B8E"/>
    <w:rsid w:val="00410217"/>
    <w:rsid w:val="00412436"/>
    <w:rsid w:val="004147F0"/>
    <w:rsid w:val="0041498E"/>
    <w:rsid w:val="00414DE6"/>
    <w:rsid w:val="0041596B"/>
    <w:rsid w:val="00415CFF"/>
    <w:rsid w:val="00416E36"/>
    <w:rsid w:val="00416EB9"/>
    <w:rsid w:val="00422946"/>
    <w:rsid w:val="00422995"/>
    <w:rsid w:val="004230A9"/>
    <w:rsid w:val="004238AF"/>
    <w:rsid w:val="004260FA"/>
    <w:rsid w:val="00426F5D"/>
    <w:rsid w:val="004275F6"/>
    <w:rsid w:val="00432A29"/>
    <w:rsid w:val="00433495"/>
    <w:rsid w:val="00433A88"/>
    <w:rsid w:val="0043660F"/>
    <w:rsid w:val="00436CA8"/>
    <w:rsid w:val="00437BDB"/>
    <w:rsid w:val="00437F45"/>
    <w:rsid w:val="00443628"/>
    <w:rsid w:val="00444F40"/>
    <w:rsid w:val="004461C0"/>
    <w:rsid w:val="00446A89"/>
    <w:rsid w:val="0044761D"/>
    <w:rsid w:val="00447A57"/>
    <w:rsid w:val="00447C85"/>
    <w:rsid w:val="00447E8E"/>
    <w:rsid w:val="004501F5"/>
    <w:rsid w:val="00453228"/>
    <w:rsid w:val="0045387D"/>
    <w:rsid w:val="004538A8"/>
    <w:rsid w:val="00453E0F"/>
    <w:rsid w:val="00456549"/>
    <w:rsid w:val="00457D88"/>
    <w:rsid w:val="0046199D"/>
    <w:rsid w:val="00461A4F"/>
    <w:rsid w:val="0046223A"/>
    <w:rsid w:val="004633BA"/>
    <w:rsid w:val="00463725"/>
    <w:rsid w:val="0046522E"/>
    <w:rsid w:val="00466B1A"/>
    <w:rsid w:val="00466D61"/>
    <w:rsid w:val="004702F3"/>
    <w:rsid w:val="00471DA2"/>
    <w:rsid w:val="00471EEA"/>
    <w:rsid w:val="00473F90"/>
    <w:rsid w:val="00474B69"/>
    <w:rsid w:val="00475C0A"/>
    <w:rsid w:val="00476676"/>
    <w:rsid w:val="00476E35"/>
    <w:rsid w:val="004801D9"/>
    <w:rsid w:val="004804C5"/>
    <w:rsid w:val="00482D05"/>
    <w:rsid w:val="00484F28"/>
    <w:rsid w:val="00485118"/>
    <w:rsid w:val="00485895"/>
    <w:rsid w:val="00486CBC"/>
    <w:rsid w:val="004A0596"/>
    <w:rsid w:val="004A1C96"/>
    <w:rsid w:val="004A1E66"/>
    <w:rsid w:val="004A29ED"/>
    <w:rsid w:val="004A363C"/>
    <w:rsid w:val="004A4720"/>
    <w:rsid w:val="004A4AC2"/>
    <w:rsid w:val="004A64B6"/>
    <w:rsid w:val="004A7479"/>
    <w:rsid w:val="004A7C20"/>
    <w:rsid w:val="004B0952"/>
    <w:rsid w:val="004B543B"/>
    <w:rsid w:val="004B5691"/>
    <w:rsid w:val="004B67DD"/>
    <w:rsid w:val="004B70EF"/>
    <w:rsid w:val="004C1C9C"/>
    <w:rsid w:val="004C1DC9"/>
    <w:rsid w:val="004C31F8"/>
    <w:rsid w:val="004C402A"/>
    <w:rsid w:val="004C5460"/>
    <w:rsid w:val="004D47D3"/>
    <w:rsid w:val="004D5286"/>
    <w:rsid w:val="004D66F6"/>
    <w:rsid w:val="004D778A"/>
    <w:rsid w:val="004E2D09"/>
    <w:rsid w:val="004E3040"/>
    <w:rsid w:val="004E3CA9"/>
    <w:rsid w:val="004E5610"/>
    <w:rsid w:val="004E56C9"/>
    <w:rsid w:val="004E70CD"/>
    <w:rsid w:val="004E71C2"/>
    <w:rsid w:val="004E7DA5"/>
    <w:rsid w:val="004F0E6C"/>
    <w:rsid w:val="004F1161"/>
    <w:rsid w:val="004F5FF7"/>
    <w:rsid w:val="004F65C9"/>
    <w:rsid w:val="004F7229"/>
    <w:rsid w:val="005017E9"/>
    <w:rsid w:val="005035D0"/>
    <w:rsid w:val="005059A0"/>
    <w:rsid w:val="00507745"/>
    <w:rsid w:val="00507B5E"/>
    <w:rsid w:val="00513BE3"/>
    <w:rsid w:val="00513EC4"/>
    <w:rsid w:val="005164F0"/>
    <w:rsid w:val="005174CA"/>
    <w:rsid w:val="00517CC7"/>
    <w:rsid w:val="005204BF"/>
    <w:rsid w:val="00521903"/>
    <w:rsid w:val="005222A0"/>
    <w:rsid w:val="00524D4F"/>
    <w:rsid w:val="00525C25"/>
    <w:rsid w:val="00530298"/>
    <w:rsid w:val="0053202E"/>
    <w:rsid w:val="00532181"/>
    <w:rsid w:val="005323AB"/>
    <w:rsid w:val="00532D7B"/>
    <w:rsid w:val="00536205"/>
    <w:rsid w:val="0054057D"/>
    <w:rsid w:val="00540B9B"/>
    <w:rsid w:val="00541562"/>
    <w:rsid w:val="005428AD"/>
    <w:rsid w:val="00543588"/>
    <w:rsid w:val="00543FB2"/>
    <w:rsid w:val="00545163"/>
    <w:rsid w:val="00546A81"/>
    <w:rsid w:val="00546E01"/>
    <w:rsid w:val="00547618"/>
    <w:rsid w:val="005478ED"/>
    <w:rsid w:val="00550EB4"/>
    <w:rsid w:val="005536A1"/>
    <w:rsid w:val="00553CE6"/>
    <w:rsid w:val="005560A7"/>
    <w:rsid w:val="00557649"/>
    <w:rsid w:val="00557B65"/>
    <w:rsid w:val="00557E7C"/>
    <w:rsid w:val="005623F0"/>
    <w:rsid w:val="005634C4"/>
    <w:rsid w:val="00571239"/>
    <w:rsid w:val="005730AD"/>
    <w:rsid w:val="00574D6F"/>
    <w:rsid w:val="00576056"/>
    <w:rsid w:val="005779E1"/>
    <w:rsid w:val="0058368D"/>
    <w:rsid w:val="005836E5"/>
    <w:rsid w:val="00583B0D"/>
    <w:rsid w:val="005876EF"/>
    <w:rsid w:val="00590CA4"/>
    <w:rsid w:val="00592072"/>
    <w:rsid w:val="0059276A"/>
    <w:rsid w:val="00595737"/>
    <w:rsid w:val="005A26DC"/>
    <w:rsid w:val="005A6A52"/>
    <w:rsid w:val="005A7F8B"/>
    <w:rsid w:val="005B0350"/>
    <w:rsid w:val="005B2DB4"/>
    <w:rsid w:val="005B3EDF"/>
    <w:rsid w:val="005B6B26"/>
    <w:rsid w:val="005B6C12"/>
    <w:rsid w:val="005B700F"/>
    <w:rsid w:val="005B70AA"/>
    <w:rsid w:val="005B78B9"/>
    <w:rsid w:val="005C0379"/>
    <w:rsid w:val="005C2827"/>
    <w:rsid w:val="005C2FDC"/>
    <w:rsid w:val="005C2FEA"/>
    <w:rsid w:val="005C347F"/>
    <w:rsid w:val="005C53D8"/>
    <w:rsid w:val="005C6F0E"/>
    <w:rsid w:val="005C788C"/>
    <w:rsid w:val="005D0ACF"/>
    <w:rsid w:val="005D0F84"/>
    <w:rsid w:val="005D1642"/>
    <w:rsid w:val="005D2486"/>
    <w:rsid w:val="005D2AFA"/>
    <w:rsid w:val="005D2B9F"/>
    <w:rsid w:val="005D46AD"/>
    <w:rsid w:val="005D5406"/>
    <w:rsid w:val="005D5C9D"/>
    <w:rsid w:val="005D6FC7"/>
    <w:rsid w:val="005D7D26"/>
    <w:rsid w:val="005E159A"/>
    <w:rsid w:val="005E1ECC"/>
    <w:rsid w:val="005E4542"/>
    <w:rsid w:val="005E4FE8"/>
    <w:rsid w:val="005E5F49"/>
    <w:rsid w:val="005E6FAB"/>
    <w:rsid w:val="005F0014"/>
    <w:rsid w:val="005F0227"/>
    <w:rsid w:val="005F3878"/>
    <w:rsid w:val="005F528F"/>
    <w:rsid w:val="006042D1"/>
    <w:rsid w:val="00604D5A"/>
    <w:rsid w:val="0060529A"/>
    <w:rsid w:val="0060634A"/>
    <w:rsid w:val="00606384"/>
    <w:rsid w:val="0060695A"/>
    <w:rsid w:val="00614397"/>
    <w:rsid w:val="00616ECD"/>
    <w:rsid w:val="00621FA8"/>
    <w:rsid w:val="00623B98"/>
    <w:rsid w:val="00624CE2"/>
    <w:rsid w:val="00625308"/>
    <w:rsid w:val="00625BF3"/>
    <w:rsid w:val="00626F23"/>
    <w:rsid w:val="006301F2"/>
    <w:rsid w:val="00632A2A"/>
    <w:rsid w:val="006336CD"/>
    <w:rsid w:val="0063392C"/>
    <w:rsid w:val="00633E23"/>
    <w:rsid w:val="00634009"/>
    <w:rsid w:val="0063710E"/>
    <w:rsid w:val="0063755C"/>
    <w:rsid w:val="00640DF3"/>
    <w:rsid w:val="006426F0"/>
    <w:rsid w:val="00643A08"/>
    <w:rsid w:val="0065132B"/>
    <w:rsid w:val="0065182C"/>
    <w:rsid w:val="006534E6"/>
    <w:rsid w:val="006538A9"/>
    <w:rsid w:val="006557AC"/>
    <w:rsid w:val="0065655A"/>
    <w:rsid w:val="00656D00"/>
    <w:rsid w:val="00657140"/>
    <w:rsid w:val="00660AEC"/>
    <w:rsid w:val="00660F86"/>
    <w:rsid w:val="0066222B"/>
    <w:rsid w:val="00663631"/>
    <w:rsid w:val="00664669"/>
    <w:rsid w:val="00666B8B"/>
    <w:rsid w:val="00667071"/>
    <w:rsid w:val="00667150"/>
    <w:rsid w:val="0067088B"/>
    <w:rsid w:val="00670DCB"/>
    <w:rsid w:val="0067205D"/>
    <w:rsid w:val="006722CA"/>
    <w:rsid w:val="006731A1"/>
    <w:rsid w:val="00674C72"/>
    <w:rsid w:val="0068294F"/>
    <w:rsid w:val="00682E0F"/>
    <w:rsid w:val="00685A7C"/>
    <w:rsid w:val="0069116D"/>
    <w:rsid w:val="006936B9"/>
    <w:rsid w:val="006937A3"/>
    <w:rsid w:val="00697BAE"/>
    <w:rsid w:val="006A2362"/>
    <w:rsid w:val="006A2E8A"/>
    <w:rsid w:val="006A452A"/>
    <w:rsid w:val="006A5580"/>
    <w:rsid w:val="006A6399"/>
    <w:rsid w:val="006A7DF2"/>
    <w:rsid w:val="006B0996"/>
    <w:rsid w:val="006B1FAA"/>
    <w:rsid w:val="006B37B0"/>
    <w:rsid w:val="006B5497"/>
    <w:rsid w:val="006B7776"/>
    <w:rsid w:val="006C0296"/>
    <w:rsid w:val="006C217D"/>
    <w:rsid w:val="006C32D0"/>
    <w:rsid w:val="006C4BB6"/>
    <w:rsid w:val="006C5236"/>
    <w:rsid w:val="006C5D8C"/>
    <w:rsid w:val="006C6E71"/>
    <w:rsid w:val="006C7DF9"/>
    <w:rsid w:val="006D3119"/>
    <w:rsid w:val="006D398F"/>
    <w:rsid w:val="006D39BE"/>
    <w:rsid w:val="006D4351"/>
    <w:rsid w:val="006D470D"/>
    <w:rsid w:val="006D47B3"/>
    <w:rsid w:val="006D5BD2"/>
    <w:rsid w:val="006D75F8"/>
    <w:rsid w:val="006E026C"/>
    <w:rsid w:val="006E082C"/>
    <w:rsid w:val="006E0D58"/>
    <w:rsid w:val="006E10BB"/>
    <w:rsid w:val="006E19B1"/>
    <w:rsid w:val="006E2D51"/>
    <w:rsid w:val="006E44D6"/>
    <w:rsid w:val="006E55D3"/>
    <w:rsid w:val="006E5BE1"/>
    <w:rsid w:val="006E7A1F"/>
    <w:rsid w:val="006F08DF"/>
    <w:rsid w:val="006F21A0"/>
    <w:rsid w:val="006F2F5F"/>
    <w:rsid w:val="006F32DD"/>
    <w:rsid w:val="006F4B4A"/>
    <w:rsid w:val="006F4DE3"/>
    <w:rsid w:val="006F5D35"/>
    <w:rsid w:val="006F6D66"/>
    <w:rsid w:val="006F72D1"/>
    <w:rsid w:val="007030EB"/>
    <w:rsid w:val="00704401"/>
    <w:rsid w:val="00705841"/>
    <w:rsid w:val="00705F50"/>
    <w:rsid w:val="0070721E"/>
    <w:rsid w:val="00707669"/>
    <w:rsid w:val="00710B06"/>
    <w:rsid w:val="00712631"/>
    <w:rsid w:val="00713768"/>
    <w:rsid w:val="0071405C"/>
    <w:rsid w:val="00715A85"/>
    <w:rsid w:val="00715F67"/>
    <w:rsid w:val="00716206"/>
    <w:rsid w:val="007170DE"/>
    <w:rsid w:val="00722472"/>
    <w:rsid w:val="0072266E"/>
    <w:rsid w:val="00722DC5"/>
    <w:rsid w:val="0072328A"/>
    <w:rsid w:val="00723E83"/>
    <w:rsid w:val="00724709"/>
    <w:rsid w:val="007259FF"/>
    <w:rsid w:val="00730120"/>
    <w:rsid w:val="007306D3"/>
    <w:rsid w:val="00731FCA"/>
    <w:rsid w:val="00736FAC"/>
    <w:rsid w:val="00743F35"/>
    <w:rsid w:val="007448BA"/>
    <w:rsid w:val="007454A5"/>
    <w:rsid w:val="00750318"/>
    <w:rsid w:val="00751AE3"/>
    <w:rsid w:val="007522FE"/>
    <w:rsid w:val="00754069"/>
    <w:rsid w:val="007612A1"/>
    <w:rsid w:val="00761A8B"/>
    <w:rsid w:val="0076202C"/>
    <w:rsid w:val="0076298D"/>
    <w:rsid w:val="00763562"/>
    <w:rsid w:val="0076498A"/>
    <w:rsid w:val="00764D5B"/>
    <w:rsid w:val="0076537D"/>
    <w:rsid w:val="0076549D"/>
    <w:rsid w:val="00765FF7"/>
    <w:rsid w:val="007725A5"/>
    <w:rsid w:val="00772E94"/>
    <w:rsid w:val="0077375E"/>
    <w:rsid w:val="0077482B"/>
    <w:rsid w:val="00775454"/>
    <w:rsid w:val="00775673"/>
    <w:rsid w:val="007804AC"/>
    <w:rsid w:val="007814C9"/>
    <w:rsid w:val="00782263"/>
    <w:rsid w:val="00783610"/>
    <w:rsid w:val="00785E95"/>
    <w:rsid w:val="00786BC5"/>
    <w:rsid w:val="007900C7"/>
    <w:rsid w:val="00792B90"/>
    <w:rsid w:val="0079370A"/>
    <w:rsid w:val="00795A74"/>
    <w:rsid w:val="007971C7"/>
    <w:rsid w:val="00797750"/>
    <w:rsid w:val="007A10BF"/>
    <w:rsid w:val="007A140B"/>
    <w:rsid w:val="007A294C"/>
    <w:rsid w:val="007A30C5"/>
    <w:rsid w:val="007A3B9A"/>
    <w:rsid w:val="007A4061"/>
    <w:rsid w:val="007A4BF7"/>
    <w:rsid w:val="007A576B"/>
    <w:rsid w:val="007A5A51"/>
    <w:rsid w:val="007A6746"/>
    <w:rsid w:val="007A6F09"/>
    <w:rsid w:val="007A7405"/>
    <w:rsid w:val="007B0F1E"/>
    <w:rsid w:val="007B16D4"/>
    <w:rsid w:val="007B399F"/>
    <w:rsid w:val="007B43A3"/>
    <w:rsid w:val="007B4DF8"/>
    <w:rsid w:val="007B61AB"/>
    <w:rsid w:val="007B658B"/>
    <w:rsid w:val="007B67CC"/>
    <w:rsid w:val="007C075C"/>
    <w:rsid w:val="007C1A6F"/>
    <w:rsid w:val="007C3C93"/>
    <w:rsid w:val="007C3DAE"/>
    <w:rsid w:val="007C455C"/>
    <w:rsid w:val="007C4BFE"/>
    <w:rsid w:val="007C5206"/>
    <w:rsid w:val="007C62FC"/>
    <w:rsid w:val="007C677C"/>
    <w:rsid w:val="007D1150"/>
    <w:rsid w:val="007D2176"/>
    <w:rsid w:val="007D21BE"/>
    <w:rsid w:val="007D5995"/>
    <w:rsid w:val="007D5A02"/>
    <w:rsid w:val="007D5B32"/>
    <w:rsid w:val="007D6421"/>
    <w:rsid w:val="007D732B"/>
    <w:rsid w:val="007E0176"/>
    <w:rsid w:val="007E0397"/>
    <w:rsid w:val="007E0672"/>
    <w:rsid w:val="007E1FC6"/>
    <w:rsid w:val="007E387D"/>
    <w:rsid w:val="007E7011"/>
    <w:rsid w:val="007F057F"/>
    <w:rsid w:val="007F07AA"/>
    <w:rsid w:val="007F114B"/>
    <w:rsid w:val="007F24E1"/>
    <w:rsid w:val="007F252D"/>
    <w:rsid w:val="007F3748"/>
    <w:rsid w:val="007F51F1"/>
    <w:rsid w:val="007F52EE"/>
    <w:rsid w:val="007F5643"/>
    <w:rsid w:val="007F5E16"/>
    <w:rsid w:val="007F64D3"/>
    <w:rsid w:val="007F65D7"/>
    <w:rsid w:val="007F7EE5"/>
    <w:rsid w:val="00800E4B"/>
    <w:rsid w:val="00801E3A"/>
    <w:rsid w:val="00803741"/>
    <w:rsid w:val="00803F12"/>
    <w:rsid w:val="008042BD"/>
    <w:rsid w:val="00804CAC"/>
    <w:rsid w:val="0080580E"/>
    <w:rsid w:val="00807D52"/>
    <w:rsid w:val="008108EA"/>
    <w:rsid w:val="00811F3D"/>
    <w:rsid w:val="00812DBC"/>
    <w:rsid w:val="00812E93"/>
    <w:rsid w:val="00820530"/>
    <w:rsid w:val="00821BA8"/>
    <w:rsid w:val="00824473"/>
    <w:rsid w:val="00831DBD"/>
    <w:rsid w:val="008321E9"/>
    <w:rsid w:val="0083463F"/>
    <w:rsid w:val="00836EF9"/>
    <w:rsid w:val="00840F03"/>
    <w:rsid w:val="00840FF4"/>
    <w:rsid w:val="00841275"/>
    <w:rsid w:val="00842368"/>
    <w:rsid w:val="00842384"/>
    <w:rsid w:val="00842D58"/>
    <w:rsid w:val="00844271"/>
    <w:rsid w:val="00845A62"/>
    <w:rsid w:val="0084765F"/>
    <w:rsid w:val="00847C07"/>
    <w:rsid w:val="00854F2E"/>
    <w:rsid w:val="00857777"/>
    <w:rsid w:val="0086395D"/>
    <w:rsid w:val="00865C92"/>
    <w:rsid w:val="00866398"/>
    <w:rsid w:val="00867292"/>
    <w:rsid w:val="008710DC"/>
    <w:rsid w:val="00871FA7"/>
    <w:rsid w:val="00872761"/>
    <w:rsid w:val="00874A02"/>
    <w:rsid w:val="008758CD"/>
    <w:rsid w:val="00875AB1"/>
    <w:rsid w:val="00876A77"/>
    <w:rsid w:val="008804A6"/>
    <w:rsid w:val="0088322E"/>
    <w:rsid w:val="00885089"/>
    <w:rsid w:val="00886284"/>
    <w:rsid w:val="008878F9"/>
    <w:rsid w:val="0089278F"/>
    <w:rsid w:val="00894087"/>
    <w:rsid w:val="00895632"/>
    <w:rsid w:val="0089689D"/>
    <w:rsid w:val="008973E4"/>
    <w:rsid w:val="008A0E16"/>
    <w:rsid w:val="008A22D5"/>
    <w:rsid w:val="008A26E1"/>
    <w:rsid w:val="008A6883"/>
    <w:rsid w:val="008A6DD3"/>
    <w:rsid w:val="008A7E48"/>
    <w:rsid w:val="008B273C"/>
    <w:rsid w:val="008B306C"/>
    <w:rsid w:val="008B43BB"/>
    <w:rsid w:val="008C136B"/>
    <w:rsid w:val="008C44EC"/>
    <w:rsid w:val="008C56AE"/>
    <w:rsid w:val="008C69DB"/>
    <w:rsid w:val="008D0D8E"/>
    <w:rsid w:val="008D2CF7"/>
    <w:rsid w:val="008D2D87"/>
    <w:rsid w:val="008D4159"/>
    <w:rsid w:val="008D46ED"/>
    <w:rsid w:val="008D5CB6"/>
    <w:rsid w:val="008D5D82"/>
    <w:rsid w:val="008D620A"/>
    <w:rsid w:val="008E0B7F"/>
    <w:rsid w:val="008E17AC"/>
    <w:rsid w:val="008E1821"/>
    <w:rsid w:val="008E3549"/>
    <w:rsid w:val="008E4ADA"/>
    <w:rsid w:val="008E6042"/>
    <w:rsid w:val="008E7BE2"/>
    <w:rsid w:val="008F082C"/>
    <w:rsid w:val="008F43E7"/>
    <w:rsid w:val="008F71EA"/>
    <w:rsid w:val="008F7B06"/>
    <w:rsid w:val="00901565"/>
    <w:rsid w:val="0090180D"/>
    <w:rsid w:val="00901A7E"/>
    <w:rsid w:val="00903D5B"/>
    <w:rsid w:val="00906C23"/>
    <w:rsid w:val="00907B33"/>
    <w:rsid w:val="009104D9"/>
    <w:rsid w:val="00912A6D"/>
    <w:rsid w:val="009143BD"/>
    <w:rsid w:val="009148B1"/>
    <w:rsid w:val="00914971"/>
    <w:rsid w:val="009150DC"/>
    <w:rsid w:val="00915403"/>
    <w:rsid w:val="00915D5E"/>
    <w:rsid w:val="009166E8"/>
    <w:rsid w:val="00920528"/>
    <w:rsid w:val="00922050"/>
    <w:rsid w:val="009247B2"/>
    <w:rsid w:val="00925810"/>
    <w:rsid w:val="009269DF"/>
    <w:rsid w:val="00927EF6"/>
    <w:rsid w:val="009335EE"/>
    <w:rsid w:val="009361C4"/>
    <w:rsid w:val="00937DC7"/>
    <w:rsid w:val="009414EA"/>
    <w:rsid w:val="00943FAC"/>
    <w:rsid w:val="009444D5"/>
    <w:rsid w:val="0094554A"/>
    <w:rsid w:val="00946284"/>
    <w:rsid w:val="009474AD"/>
    <w:rsid w:val="00947720"/>
    <w:rsid w:val="00947DB5"/>
    <w:rsid w:val="0095243A"/>
    <w:rsid w:val="0095249D"/>
    <w:rsid w:val="00953265"/>
    <w:rsid w:val="00954F2E"/>
    <w:rsid w:val="009552F6"/>
    <w:rsid w:val="00955A71"/>
    <w:rsid w:val="00956C66"/>
    <w:rsid w:val="00956E4F"/>
    <w:rsid w:val="00957F6B"/>
    <w:rsid w:val="00961930"/>
    <w:rsid w:val="00961C29"/>
    <w:rsid w:val="0096220F"/>
    <w:rsid w:val="009628A7"/>
    <w:rsid w:val="00963D4F"/>
    <w:rsid w:val="00964A21"/>
    <w:rsid w:val="00966030"/>
    <w:rsid w:val="00967A69"/>
    <w:rsid w:val="0097004D"/>
    <w:rsid w:val="00970713"/>
    <w:rsid w:val="00973CC3"/>
    <w:rsid w:val="00974A59"/>
    <w:rsid w:val="009755FF"/>
    <w:rsid w:val="00976A5C"/>
    <w:rsid w:val="00983890"/>
    <w:rsid w:val="00983B3D"/>
    <w:rsid w:val="00984A5C"/>
    <w:rsid w:val="0098542E"/>
    <w:rsid w:val="00985BE6"/>
    <w:rsid w:val="00987F70"/>
    <w:rsid w:val="00990F8F"/>
    <w:rsid w:val="00991B05"/>
    <w:rsid w:val="00991E28"/>
    <w:rsid w:val="00991E31"/>
    <w:rsid w:val="009921F4"/>
    <w:rsid w:val="0099298E"/>
    <w:rsid w:val="00995E0D"/>
    <w:rsid w:val="009A100C"/>
    <w:rsid w:val="009A25FC"/>
    <w:rsid w:val="009A29D0"/>
    <w:rsid w:val="009A40E2"/>
    <w:rsid w:val="009A7536"/>
    <w:rsid w:val="009B059F"/>
    <w:rsid w:val="009B25F0"/>
    <w:rsid w:val="009B2CED"/>
    <w:rsid w:val="009B3B9C"/>
    <w:rsid w:val="009B3EB8"/>
    <w:rsid w:val="009B4090"/>
    <w:rsid w:val="009B47F0"/>
    <w:rsid w:val="009B4851"/>
    <w:rsid w:val="009B493A"/>
    <w:rsid w:val="009B4B58"/>
    <w:rsid w:val="009B73F1"/>
    <w:rsid w:val="009C13FC"/>
    <w:rsid w:val="009C3EB4"/>
    <w:rsid w:val="009C46C3"/>
    <w:rsid w:val="009C6F85"/>
    <w:rsid w:val="009C7907"/>
    <w:rsid w:val="009D0268"/>
    <w:rsid w:val="009D1B91"/>
    <w:rsid w:val="009D23D9"/>
    <w:rsid w:val="009D3565"/>
    <w:rsid w:val="009D38C7"/>
    <w:rsid w:val="009D3BE8"/>
    <w:rsid w:val="009D400F"/>
    <w:rsid w:val="009D527C"/>
    <w:rsid w:val="009D5F4C"/>
    <w:rsid w:val="009D636E"/>
    <w:rsid w:val="009D6F69"/>
    <w:rsid w:val="009D7739"/>
    <w:rsid w:val="009D77C4"/>
    <w:rsid w:val="009D7C8D"/>
    <w:rsid w:val="009E0E27"/>
    <w:rsid w:val="009E2F15"/>
    <w:rsid w:val="009E4BC3"/>
    <w:rsid w:val="009E595D"/>
    <w:rsid w:val="009E79AF"/>
    <w:rsid w:val="009F130A"/>
    <w:rsid w:val="009F6AF7"/>
    <w:rsid w:val="009F6EC3"/>
    <w:rsid w:val="00A03CD0"/>
    <w:rsid w:val="00A1009F"/>
    <w:rsid w:val="00A129C5"/>
    <w:rsid w:val="00A13194"/>
    <w:rsid w:val="00A143F7"/>
    <w:rsid w:val="00A14B60"/>
    <w:rsid w:val="00A14C4D"/>
    <w:rsid w:val="00A15CBC"/>
    <w:rsid w:val="00A16DCF"/>
    <w:rsid w:val="00A178FC"/>
    <w:rsid w:val="00A17A16"/>
    <w:rsid w:val="00A17EF4"/>
    <w:rsid w:val="00A207C1"/>
    <w:rsid w:val="00A22101"/>
    <w:rsid w:val="00A22685"/>
    <w:rsid w:val="00A24120"/>
    <w:rsid w:val="00A24179"/>
    <w:rsid w:val="00A259E1"/>
    <w:rsid w:val="00A2728F"/>
    <w:rsid w:val="00A27F7F"/>
    <w:rsid w:val="00A30102"/>
    <w:rsid w:val="00A304D1"/>
    <w:rsid w:val="00A311A7"/>
    <w:rsid w:val="00A32BC3"/>
    <w:rsid w:val="00A3576A"/>
    <w:rsid w:val="00A3612A"/>
    <w:rsid w:val="00A3654A"/>
    <w:rsid w:val="00A410FC"/>
    <w:rsid w:val="00A41329"/>
    <w:rsid w:val="00A4704A"/>
    <w:rsid w:val="00A47767"/>
    <w:rsid w:val="00A47EFF"/>
    <w:rsid w:val="00A52118"/>
    <w:rsid w:val="00A560E0"/>
    <w:rsid w:val="00A57FF4"/>
    <w:rsid w:val="00A610F3"/>
    <w:rsid w:val="00A6295D"/>
    <w:rsid w:val="00A63C33"/>
    <w:rsid w:val="00A64D6D"/>
    <w:rsid w:val="00A663A7"/>
    <w:rsid w:val="00A7309C"/>
    <w:rsid w:val="00A7400A"/>
    <w:rsid w:val="00A75503"/>
    <w:rsid w:val="00A759BD"/>
    <w:rsid w:val="00A770B7"/>
    <w:rsid w:val="00A77AEA"/>
    <w:rsid w:val="00A81FCB"/>
    <w:rsid w:val="00A831A2"/>
    <w:rsid w:val="00A84813"/>
    <w:rsid w:val="00A8582E"/>
    <w:rsid w:val="00A87973"/>
    <w:rsid w:val="00A87D85"/>
    <w:rsid w:val="00A87F95"/>
    <w:rsid w:val="00A9011D"/>
    <w:rsid w:val="00A90C19"/>
    <w:rsid w:val="00A91A11"/>
    <w:rsid w:val="00A92FE7"/>
    <w:rsid w:val="00A937A7"/>
    <w:rsid w:val="00A937BC"/>
    <w:rsid w:val="00A93D35"/>
    <w:rsid w:val="00A94AE1"/>
    <w:rsid w:val="00A96ACC"/>
    <w:rsid w:val="00A972E0"/>
    <w:rsid w:val="00AA174D"/>
    <w:rsid w:val="00AA1CA0"/>
    <w:rsid w:val="00AA23C2"/>
    <w:rsid w:val="00AA4E8C"/>
    <w:rsid w:val="00AA5405"/>
    <w:rsid w:val="00AA6D94"/>
    <w:rsid w:val="00AA73EB"/>
    <w:rsid w:val="00AA75C9"/>
    <w:rsid w:val="00AB1A12"/>
    <w:rsid w:val="00AB60BD"/>
    <w:rsid w:val="00AB66F4"/>
    <w:rsid w:val="00AB73AF"/>
    <w:rsid w:val="00AC18E3"/>
    <w:rsid w:val="00AC5436"/>
    <w:rsid w:val="00AC609D"/>
    <w:rsid w:val="00AC7326"/>
    <w:rsid w:val="00AD0E47"/>
    <w:rsid w:val="00AD3024"/>
    <w:rsid w:val="00AD49AC"/>
    <w:rsid w:val="00AE00F1"/>
    <w:rsid w:val="00AE1216"/>
    <w:rsid w:val="00AE260A"/>
    <w:rsid w:val="00AE3ECC"/>
    <w:rsid w:val="00AE44A2"/>
    <w:rsid w:val="00AE567F"/>
    <w:rsid w:val="00AE7458"/>
    <w:rsid w:val="00AE79AE"/>
    <w:rsid w:val="00AF0CA0"/>
    <w:rsid w:val="00AF1939"/>
    <w:rsid w:val="00AF1B41"/>
    <w:rsid w:val="00AF4C1F"/>
    <w:rsid w:val="00AF7784"/>
    <w:rsid w:val="00B03CC6"/>
    <w:rsid w:val="00B0657F"/>
    <w:rsid w:val="00B07D89"/>
    <w:rsid w:val="00B1073F"/>
    <w:rsid w:val="00B13C66"/>
    <w:rsid w:val="00B17792"/>
    <w:rsid w:val="00B238D1"/>
    <w:rsid w:val="00B25374"/>
    <w:rsid w:val="00B255A6"/>
    <w:rsid w:val="00B3094E"/>
    <w:rsid w:val="00B30FB1"/>
    <w:rsid w:val="00B32B18"/>
    <w:rsid w:val="00B345F8"/>
    <w:rsid w:val="00B34A76"/>
    <w:rsid w:val="00B353AF"/>
    <w:rsid w:val="00B35CA9"/>
    <w:rsid w:val="00B35DA5"/>
    <w:rsid w:val="00B36550"/>
    <w:rsid w:val="00B37E34"/>
    <w:rsid w:val="00B424D9"/>
    <w:rsid w:val="00B43082"/>
    <w:rsid w:val="00B430D1"/>
    <w:rsid w:val="00B43745"/>
    <w:rsid w:val="00B43CF5"/>
    <w:rsid w:val="00B5304A"/>
    <w:rsid w:val="00B53A25"/>
    <w:rsid w:val="00B54512"/>
    <w:rsid w:val="00B56990"/>
    <w:rsid w:val="00B56F7C"/>
    <w:rsid w:val="00B570AD"/>
    <w:rsid w:val="00B57682"/>
    <w:rsid w:val="00B605E2"/>
    <w:rsid w:val="00B60CA4"/>
    <w:rsid w:val="00B6103C"/>
    <w:rsid w:val="00B70902"/>
    <w:rsid w:val="00B7287D"/>
    <w:rsid w:val="00B7496F"/>
    <w:rsid w:val="00B74A32"/>
    <w:rsid w:val="00B77C70"/>
    <w:rsid w:val="00B822B8"/>
    <w:rsid w:val="00B8309B"/>
    <w:rsid w:val="00B8527D"/>
    <w:rsid w:val="00B8653D"/>
    <w:rsid w:val="00B87EC6"/>
    <w:rsid w:val="00B905CB"/>
    <w:rsid w:val="00B93CC3"/>
    <w:rsid w:val="00B94C81"/>
    <w:rsid w:val="00B960BD"/>
    <w:rsid w:val="00B96182"/>
    <w:rsid w:val="00B96339"/>
    <w:rsid w:val="00B97926"/>
    <w:rsid w:val="00BA03CD"/>
    <w:rsid w:val="00BA0DA1"/>
    <w:rsid w:val="00BA10BD"/>
    <w:rsid w:val="00BA3603"/>
    <w:rsid w:val="00BA64C6"/>
    <w:rsid w:val="00BB1280"/>
    <w:rsid w:val="00BB1AFD"/>
    <w:rsid w:val="00BB1EED"/>
    <w:rsid w:val="00BB2570"/>
    <w:rsid w:val="00BB3EA1"/>
    <w:rsid w:val="00BB6A1C"/>
    <w:rsid w:val="00BB6C6A"/>
    <w:rsid w:val="00BB7315"/>
    <w:rsid w:val="00BB7366"/>
    <w:rsid w:val="00BB7A94"/>
    <w:rsid w:val="00BC17C5"/>
    <w:rsid w:val="00BC4959"/>
    <w:rsid w:val="00BC49BF"/>
    <w:rsid w:val="00BD06E5"/>
    <w:rsid w:val="00BD0951"/>
    <w:rsid w:val="00BD2A39"/>
    <w:rsid w:val="00BD2AE2"/>
    <w:rsid w:val="00BD705F"/>
    <w:rsid w:val="00BE00D7"/>
    <w:rsid w:val="00BE2339"/>
    <w:rsid w:val="00BE3739"/>
    <w:rsid w:val="00BF0E97"/>
    <w:rsid w:val="00BF2562"/>
    <w:rsid w:val="00BF32D9"/>
    <w:rsid w:val="00BF4089"/>
    <w:rsid w:val="00C02AAF"/>
    <w:rsid w:val="00C064C7"/>
    <w:rsid w:val="00C06CB4"/>
    <w:rsid w:val="00C0752C"/>
    <w:rsid w:val="00C108E4"/>
    <w:rsid w:val="00C11140"/>
    <w:rsid w:val="00C12CEB"/>
    <w:rsid w:val="00C1320B"/>
    <w:rsid w:val="00C13975"/>
    <w:rsid w:val="00C1575F"/>
    <w:rsid w:val="00C16E6F"/>
    <w:rsid w:val="00C172CC"/>
    <w:rsid w:val="00C21B5F"/>
    <w:rsid w:val="00C220B9"/>
    <w:rsid w:val="00C229F3"/>
    <w:rsid w:val="00C23FF4"/>
    <w:rsid w:val="00C24396"/>
    <w:rsid w:val="00C24EE3"/>
    <w:rsid w:val="00C25A37"/>
    <w:rsid w:val="00C26193"/>
    <w:rsid w:val="00C30161"/>
    <w:rsid w:val="00C32960"/>
    <w:rsid w:val="00C333AE"/>
    <w:rsid w:val="00C33584"/>
    <w:rsid w:val="00C344AA"/>
    <w:rsid w:val="00C36940"/>
    <w:rsid w:val="00C36DF2"/>
    <w:rsid w:val="00C37026"/>
    <w:rsid w:val="00C4084B"/>
    <w:rsid w:val="00C4191C"/>
    <w:rsid w:val="00C440BA"/>
    <w:rsid w:val="00C45260"/>
    <w:rsid w:val="00C457D5"/>
    <w:rsid w:val="00C45A70"/>
    <w:rsid w:val="00C4618D"/>
    <w:rsid w:val="00C50B86"/>
    <w:rsid w:val="00C52B4F"/>
    <w:rsid w:val="00C56107"/>
    <w:rsid w:val="00C6095F"/>
    <w:rsid w:val="00C60B81"/>
    <w:rsid w:val="00C6124A"/>
    <w:rsid w:val="00C61AE0"/>
    <w:rsid w:val="00C62849"/>
    <w:rsid w:val="00C64D27"/>
    <w:rsid w:val="00C65B89"/>
    <w:rsid w:val="00C711DB"/>
    <w:rsid w:val="00C721CE"/>
    <w:rsid w:val="00C7244C"/>
    <w:rsid w:val="00C7285C"/>
    <w:rsid w:val="00C73743"/>
    <w:rsid w:val="00C73A03"/>
    <w:rsid w:val="00C76248"/>
    <w:rsid w:val="00C76809"/>
    <w:rsid w:val="00C76FCE"/>
    <w:rsid w:val="00C7766E"/>
    <w:rsid w:val="00C8063B"/>
    <w:rsid w:val="00C82756"/>
    <w:rsid w:val="00C84437"/>
    <w:rsid w:val="00C8560B"/>
    <w:rsid w:val="00C85D18"/>
    <w:rsid w:val="00C8674A"/>
    <w:rsid w:val="00C9043C"/>
    <w:rsid w:val="00C917AD"/>
    <w:rsid w:val="00C93822"/>
    <w:rsid w:val="00C93B46"/>
    <w:rsid w:val="00C95299"/>
    <w:rsid w:val="00C958A6"/>
    <w:rsid w:val="00CA0185"/>
    <w:rsid w:val="00CA1FE2"/>
    <w:rsid w:val="00CA2D96"/>
    <w:rsid w:val="00CA4E86"/>
    <w:rsid w:val="00CA62D2"/>
    <w:rsid w:val="00CA6C91"/>
    <w:rsid w:val="00CA7C43"/>
    <w:rsid w:val="00CB05D1"/>
    <w:rsid w:val="00CB36E4"/>
    <w:rsid w:val="00CB5643"/>
    <w:rsid w:val="00CC2492"/>
    <w:rsid w:val="00CC35ED"/>
    <w:rsid w:val="00CC3D60"/>
    <w:rsid w:val="00CC44FC"/>
    <w:rsid w:val="00CC4756"/>
    <w:rsid w:val="00CC7745"/>
    <w:rsid w:val="00CD351D"/>
    <w:rsid w:val="00CD3D7F"/>
    <w:rsid w:val="00CD5AE3"/>
    <w:rsid w:val="00CD6330"/>
    <w:rsid w:val="00CD6A21"/>
    <w:rsid w:val="00CD7915"/>
    <w:rsid w:val="00CD7D49"/>
    <w:rsid w:val="00CE0ADF"/>
    <w:rsid w:val="00CE0F33"/>
    <w:rsid w:val="00CE27B6"/>
    <w:rsid w:val="00CE39B6"/>
    <w:rsid w:val="00CE4CFE"/>
    <w:rsid w:val="00CE4D29"/>
    <w:rsid w:val="00CE5125"/>
    <w:rsid w:val="00CF1B01"/>
    <w:rsid w:val="00CF2047"/>
    <w:rsid w:val="00CF31D5"/>
    <w:rsid w:val="00CF46AE"/>
    <w:rsid w:val="00CF4974"/>
    <w:rsid w:val="00CF6BD2"/>
    <w:rsid w:val="00CF6C8F"/>
    <w:rsid w:val="00D011A3"/>
    <w:rsid w:val="00D025A1"/>
    <w:rsid w:val="00D03C2B"/>
    <w:rsid w:val="00D04274"/>
    <w:rsid w:val="00D051B5"/>
    <w:rsid w:val="00D061DE"/>
    <w:rsid w:val="00D06CB5"/>
    <w:rsid w:val="00D10B6E"/>
    <w:rsid w:val="00D11FBC"/>
    <w:rsid w:val="00D142E5"/>
    <w:rsid w:val="00D147ED"/>
    <w:rsid w:val="00D1685D"/>
    <w:rsid w:val="00D172A1"/>
    <w:rsid w:val="00D205F2"/>
    <w:rsid w:val="00D21702"/>
    <w:rsid w:val="00D21790"/>
    <w:rsid w:val="00D21A33"/>
    <w:rsid w:val="00D22A26"/>
    <w:rsid w:val="00D23561"/>
    <w:rsid w:val="00D23B41"/>
    <w:rsid w:val="00D23DFD"/>
    <w:rsid w:val="00D24054"/>
    <w:rsid w:val="00D2463C"/>
    <w:rsid w:val="00D25926"/>
    <w:rsid w:val="00D26149"/>
    <w:rsid w:val="00D332E1"/>
    <w:rsid w:val="00D35E2E"/>
    <w:rsid w:val="00D37EAC"/>
    <w:rsid w:val="00D40E72"/>
    <w:rsid w:val="00D41467"/>
    <w:rsid w:val="00D41F4C"/>
    <w:rsid w:val="00D4204C"/>
    <w:rsid w:val="00D42CCC"/>
    <w:rsid w:val="00D45602"/>
    <w:rsid w:val="00D46528"/>
    <w:rsid w:val="00D47B57"/>
    <w:rsid w:val="00D50C32"/>
    <w:rsid w:val="00D51AB8"/>
    <w:rsid w:val="00D52904"/>
    <w:rsid w:val="00D53A88"/>
    <w:rsid w:val="00D550B5"/>
    <w:rsid w:val="00D5573E"/>
    <w:rsid w:val="00D57392"/>
    <w:rsid w:val="00D62810"/>
    <w:rsid w:val="00D66590"/>
    <w:rsid w:val="00D66E9E"/>
    <w:rsid w:val="00D67248"/>
    <w:rsid w:val="00D70EB3"/>
    <w:rsid w:val="00D712E9"/>
    <w:rsid w:val="00D7335D"/>
    <w:rsid w:val="00D73EC8"/>
    <w:rsid w:val="00D74720"/>
    <w:rsid w:val="00D7646C"/>
    <w:rsid w:val="00D76C74"/>
    <w:rsid w:val="00D77229"/>
    <w:rsid w:val="00D7753A"/>
    <w:rsid w:val="00D81711"/>
    <w:rsid w:val="00D82031"/>
    <w:rsid w:val="00D826D1"/>
    <w:rsid w:val="00D8491C"/>
    <w:rsid w:val="00D859F6"/>
    <w:rsid w:val="00D90200"/>
    <w:rsid w:val="00D90C6D"/>
    <w:rsid w:val="00D90C70"/>
    <w:rsid w:val="00D97290"/>
    <w:rsid w:val="00DA0FC6"/>
    <w:rsid w:val="00DA2E02"/>
    <w:rsid w:val="00DA31E2"/>
    <w:rsid w:val="00DA4AF3"/>
    <w:rsid w:val="00DA4BAC"/>
    <w:rsid w:val="00DA6AEE"/>
    <w:rsid w:val="00DA7F0C"/>
    <w:rsid w:val="00DB0F7D"/>
    <w:rsid w:val="00DB2AD9"/>
    <w:rsid w:val="00DB5897"/>
    <w:rsid w:val="00DB65CD"/>
    <w:rsid w:val="00DB7B63"/>
    <w:rsid w:val="00DC010B"/>
    <w:rsid w:val="00DC0E58"/>
    <w:rsid w:val="00DC140B"/>
    <w:rsid w:val="00DC3292"/>
    <w:rsid w:val="00DC49C3"/>
    <w:rsid w:val="00DC7352"/>
    <w:rsid w:val="00DD53C0"/>
    <w:rsid w:val="00DE4809"/>
    <w:rsid w:val="00DF04D1"/>
    <w:rsid w:val="00DF0BF5"/>
    <w:rsid w:val="00DF171A"/>
    <w:rsid w:val="00DF1863"/>
    <w:rsid w:val="00DF18C7"/>
    <w:rsid w:val="00DF1B49"/>
    <w:rsid w:val="00DF1D2D"/>
    <w:rsid w:val="00DF2D76"/>
    <w:rsid w:val="00DF3E56"/>
    <w:rsid w:val="00DF51FE"/>
    <w:rsid w:val="00DF55CC"/>
    <w:rsid w:val="00DF6349"/>
    <w:rsid w:val="00DF7447"/>
    <w:rsid w:val="00DF7C8A"/>
    <w:rsid w:val="00E015DC"/>
    <w:rsid w:val="00E0260B"/>
    <w:rsid w:val="00E02797"/>
    <w:rsid w:val="00E02863"/>
    <w:rsid w:val="00E03EFB"/>
    <w:rsid w:val="00E042AE"/>
    <w:rsid w:val="00E04558"/>
    <w:rsid w:val="00E04714"/>
    <w:rsid w:val="00E04B73"/>
    <w:rsid w:val="00E04BD2"/>
    <w:rsid w:val="00E055F2"/>
    <w:rsid w:val="00E06C46"/>
    <w:rsid w:val="00E10509"/>
    <w:rsid w:val="00E12E1E"/>
    <w:rsid w:val="00E1404B"/>
    <w:rsid w:val="00E14F6F"/>
    <w:rsid w:val="00E15A1C"/>
    <w:rsid w:val="00E1631B"/>
    <w:rsid w:val="00E176E7"/>
    <w:rsid w:val="00E2072C"/>
    <w:rsid w:val="00E21920"/>
    <w:rsid w:val="00E21D21"/>
    <w:rsid w:val="00E22762"/>
    <w:rsid w:val="00E25A0E"/>
    <w:rsid w:val="00E3028B"/>
    <w:rsid w:val="00E3190B"/>
    <w:rsid w:val="00E32F3B"/>
    <w:rsid w:val="00E34133"/>
    <w:rsid w:val="00E35DD6"/>
    <w:rsid w:val="00E36598"/>
    <w:rsid w:val="00E37701"/>
    <w:rsid w:val="00E379B8"/>
    <w:rsid w:val="00E41F8C"/>
    <w:rsid w:val="00E4516E"/>
    <w:rsid w:val="00E4562B"/>
    <w:rsid w:val="00E46460"/>
    <w:rsid w:val="00E47923"/>
    <w:rsid w:val="00E479E7"/>
    <w:rsid w:val="00E506D2"/>
    <w:rsid w:val="00E531DC"/>
    <w:rsid w:val="00E55E93"/>
    <w:rsid w:val="00E57D8E"/>
    <w:rsid w:val="00E61B36"/>
    <w:rsid w:val="00E628E3"/>
    <w:rsid w:val="00E64030"/>
    <w:rsid w:val="00E64203"/>
    <w:rsid w:val="00E64C91"/>
    <w:rsid w:val="00E64FEF"/>
    <w:rsid w:val="00E669C1"/>
    <w:rsid w:val="00E725D9"/>
    <w:rsid w:val="00E73AB8"/>
    <w:rsid w:val="00E75B92"/>
    <w:rsid w:val="00E807F5"/>
    <w:rsid w:val="00E829CA"/>
    <w:rsid w:val="00E829DB"/>
    <w:rsid w:val="00E839CB"/>
    <w:rsid w:val="00E8538A"/>
    <w:rsid w:val="00E869C3"/>
    <w:rsid w:val="00E875E1"/>
    <w:rsid w:val="00E91C4B"/>
    <w:rsid w:val="00E91ED6"/>
    <w:rsid w:val="00E933EA"/>
    <w:rsid w:val="00E94F78"/>
    <w:rsid w:val="00E97508"/>
    <w:rsid w:val="00EA035A"/>
    <w:rsid w:val="00EA4B2C"/>
    <w:rsid w:val="00EA6383"/>
    <w:rsid w:val="00EA75E9"/>
    <w:rsid w:val="00EB0ED7"/>
    <w:rsid w:val="00EB1469"/>
    <w:rsid w:val="00EB26C7"/>
    <w:rsid w:val="00EB3DFA"/>
    <w:rsid w:val="00EB4E65"/>
    <w:rsid w:val="00EB5695"/>
    <w:rsid w:val="00EC12FF"/>
    <w:rsid w:val="00EC1B95"/>
    <w:rsid w:val="00EC1EA0"/>
    <w:rsid w:val="00EC27A5"/>
    <w:rsid w:val="00EC32B5"/>
    <w:rsid w:val="00EC3D88"/>
    <w:rsid w:val="00EC4313"/>
    <w:rsid w:val="00EC58C2"/>
    <w:rsid w:val="00EC6DE5"/>
    <w:rsid w:val="00EC71B1"/>
    <w:rsid w:val="00EC72B4"/>
    <w:rsid w:val="00ED0088"/>
    <w:rsid w:val="00ED0872"/>
    <w:rsid w:val="00ED13EA"/>
    <w:rsid w:val="00ED2262"/>
    <w:rsid w:val="00ED35DD"/>
    <w:rsid w:val="00ED4162"/>
    <w:rsid w:val="00ED722A"/>
    <w:rsid w:val="00EE4BBC"/>
    <w:rsid w:val="00EE556C"/>
    <w:rsid w:val="00EE7016"/>
    <w:rsid w:val="00EF04CB"/>
    <w:rsid w:val="00EF2A5D"/>
    <w:rsid w:val="00EF3209"/>
    <w:rsid w:val="00EF45CC"/>
    <w:rsid w:val="00EF62DF"/>
    <w:rsid w:val="00EF69EC"/>
    <w:rsid w:val="00F01D73"/>
    <w:rsid w:val="00F0239D"/>
    <w:rsid w:val="00F04CD7"/>
    <w:rsid w:val="00F135DA"/>
    <w:rsid w:val="00F14467"/>
    <w:rsid w:val="00F1638B"/>
    <w:rsid w:val="00F1668C"/>
    <w:rsid w:val="00F1706B"/>
    <w:rsid w:val="00F20F4E"/>
    <w:rsid w:val="00F21386"/>
    <w:rsid w:val="00F21998"/>
    <w:rsid w:val="00F23311"/>
    <w:rsid w:val="00F23DCC"/>
    <w:rsid w:val="00F242A0"/>
    <w:rsid w:val="00F260C1"/>
    <w:rsid w:val="00F26727"/>
    <w:rsid w:val="00F268E1"/>
    <w:rsid w:val="00F34BB7"/>
    <w:rsid w:val="00F3530B"/>
    <w:rsid w:val="00F35C9B"/>
    <w:rsid w:val="00F36170"/>
    <w:rsid w:val="00F400E3"/>
    <w:rsid w:val="00F40360"/>
    <w:rsid w:val="00F407D7"/>
    <w:rsid w:val="00F4087D"/>
    <w:rsid w:val="00F43900"/>
    <w:rsid w:val="00F44751"/>
    <w:rsid w:val="00F44AF6"/>
    <w:rsid w:val="00F45431"/>
    <w:rsid w:val="00F457FD"/>
    <w:rsid w:val="00F47356"/>
    <w:rsid w:val="00F47F2E"/>
    <w:rsid w:val="00F504CB"/>
    <w:rsid w:val="00F505DC"/>
    <w:rsid w:val="00F51C75"/>
    <w:rsid w:val="00F51DB0"/>
    <w:rsid w:val="00F52676"/>
    <w:rsid w:val="00F550A9"/>
    <w:rsid w:val="00F551ED"/>
    <w:rsid w:val="00F55F8A"/>
    <w:rsid w:val="00F60AB2"/>
    <w:rsid w:val="00F62089"/>
    <w:rsid w:val="00F6274E"/>
    <w:rsid w:val="00F635FC"/>
    <w:rsid w:val="00F6445F"/>
    <w:rsid w:val="00F64D97"/>
    <w:rsid w:val="00F64FEA"/>
    <w:rsid w:val="00F705A0"/>
    <w:rsid w:val="00F72164"/>
    <w:rsid w:val="00F724AA"/>
    <w:rsid w:val="00F7256A"/>
    <w:rsid w:val="00F7358F"/>
    <w:rsid w:val="00F750B1"/>
    <w:rsid w:val="00F8196D"/>
    <w:rsid w:val="00F81E3B"/>
    <w:rsid w:val="00F81ED1"/>
    <w:rsid w:val="00F83159"/>
    <w:rsid w:val="00F833C1"/>
    <w:rsid w:val="00F84016"/>
    <w:rsid w:val="00F84BE9"/>
    <w:rsid w:val="00F86488"/>
    <w:rsid w:val="00F91A3B"/>
    <w:rsid w:val="00F932AF"/>
    <w:rsid w:val="00F94303"/>
    <w:rsid w:val="00F952A3"/>
    <w:rsid w:val="00F961AE"/>
    <w:rsid w:val="00F972DB"/>
    <w:rsid w:val="00F9748C"/>
    <w:rsid w:val="00FA1175"/>
    <w:rsid w:val="00FA38AD"/>
    <w:rsid w:val="00FA38E7"/>
    <w:rsid w:val="00FA66FD"/>
    <w:rsid w:val="00FB29ED"/>
    <w:rsid w:val="00FB4203"/>
    <w:rsid w:val="00FB5681"/>
    <w:rsid w:val="00FB5D82"/>
    <w:rsid w:val="00FB7467"/>
    <w:rsid w:val="00FC165B"/>
    <w:rsid w:val="00FC176C"/>
    <w:rsid w:val="00FC1E49"/>
    <w:rsid w:val="00FC2138"/>
    <w:rsid w:val="00FC23D9"/>
    <w:rsid w:val="00FC267E"/>
    <w:rsid w:val="00FC2E7C"/>
    <w:rsid w:val="00FC31F9"/>
    <w:rsid w:val="00FC361E"/>
    <w:rsid w:val="00FC4285"/>
    <w:rsid w:val="00FC432F"/>
    <w:rsid w:val="00FC48B2"/>
    <w:rsid w:val="00FC4AB2"/>
    <w:rsid w:val="00FC6DD6"/>
    <w:rsid w:val="00FC76FC"/>
    <w:rsid w:val="00FD05C5"/>
    <w:rsid w:val="00FD15D8"/>
    <w:rsid w:val="00FD1C95"/>
    <w:rsid w:val="00FD60CB"/>
    <w:rsid w:val="00FD6FB0"/>
    <w:rsid w:val="00FE238F"/>
    <w:rsid w:val="00FE2CA1"/>
    <w:rsid w:val="00FE3F34"/>
    <w:rsid w:val="00FE42A9"/>
    <w:rsid w:val="00FE4BAF"/>
    <w:rsid w:val="00FE7A9D"/>
    <w:rsid w:val="00FF075B"/>
    <w:rsid w:val="00FF407D"/>
    <w:rsid w:val="00FF5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6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B1"/>
    <w:pPr>
      <w:spacing w:after="0" w:line="480" w:lineRule="auto"/>
      <w:jc w:val="both"/>
    </w:pPr>
  </w:style>
  <w:style w:type="paragraph" w:styleId="Heading1">
    <w:name w:val="heading 1"/>
    <w:basedOn w:val="Normal"/>
    <w:next w:val="Normal"/>
    <w:link w:val="Heading1Char"/>
    <w:uiPriority w:val="9"/>
    <w:qFormat/>
    <w:rsid w:val="007E0176"/>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0176"/>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176"/>
    <w:pPr>
      <w:keepNext/>
      <w:keepLines/>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2470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4E3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1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01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E017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E01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176"/>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E01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176"/>
    <w:rPr>
      <w:color w:val="0000FF"/>
      <w:u w:val="single"/>
    </w:rPr>
  </w:style>
  <w:style w:type="character" w:styleId="Strong">
    <w:name w:val="Strong"/>
    <w:basedOn w:val="DefaultParagraphFont"/>
    <w:uiPriority w:val="22"/>
    <w:qFormat/>
    <w:rsid w:val="007E0176"/>
    <w:rPr>
      <w:b/>
      <w:bCs/>
    </w:rPr>
  </w:style>
  <w:style w:type="paragraph" w:styleId="Footer">
    <w:name w:val="footer"/>
    <w:basedOn w:val="Normal"/>
    <w:link w:val="FooterChar"/>
    <w:uiPriority w:val="99"/>
    <w:unhideWhenUsed/>
    <w:rsid w:val="007E0176"/>
    <w:pPr>
      <w:tabs>
        <w:tab w:val="center" w:pos="4680"/>
        <w:tab w:val="right" w:pos="9360"/>
      </w:tabs>
      <w:spacing w:line="240" w:lineRule="auto"/>
    </w:pPr>
  </w:style>
  <w:style w:type="character" w:customStyle="1" w:styleId="FooterChar">
    <w:name w:val="Footer Char"/>
    <w:basedOn w:val="DefaultParagraphFont"/>
    <w:link w:val="Footer"/>
    <w:uiPriority w:val="99"/>
    <w:rsid w:val="007E0176"/>
  </w:style>
  <w:style w:type="character" w:styleId="CommentReference">
    <w:name w:val="annotation reference"/>
    <w:basedOn w:val="DefaultParagraphFont"/>
    <w:uiPriority w:val="99"/>
    <w:semiHidden/>
    <w:unhideWhenUsed/>
    <w:rsid w:val="007E0176"/>
    <w:rPr>
      <w:sz w:val="16"/>
      <w:szCs w:val="16"/>
    </w:rPr>
  </w:style>
  <w:style w:type="paragraph" w:styleId="CommentText">
    <w:name w:val="annotation text"/>
    <w:basedOn w:val="Normal"/>
    <w:link w:val="CommentTextChar"/>
    <w:uiPriority w:val="99"/>
    <w:unhideWhenUsed/>
    <w:rsid w:val="007E0176"/>
    <w:pPr>
      <w:spacing w:line="240" w:lineRule="auto"/>
    </w:pPr>
    <w:rPr>
      <w:sz w:val="20"/>
      <w:szCs w:val="20"/>
    </w:rPr>
  </w:style>
  <w:style w:type="character" w:customStyle="1" w:styleId="CommentTextChar">
    <w:name w:val="Comment Text Char"/>
    <w:basedOn w:val="DefaultParagraphFont"/>
    <w:link w:val="CommentText"/>
    <w:uiPriority w:val="99"/>
    <w:rsid w:val="007E0176"/>
    <w:rPr>
      <w:sz w:val="20"/>
      <w:szCs w:val="20"/>
    </w:rPr>
  </w:style>
  <w:style w:type="paragraph" w:styleId="ListParagraph">
    <w:name w:val="List Paragraph"/>
    <w:basedOn w:val="Normal"/>
    <w:link w:val="ListParagraphChar"/>
    <w:uiPriority w:val="34"/>
    <w:qFormat/>
    <w:rsid w:val="007E0176"/>
    <w:pPr>
      <w:ind w:left="720"/>
      <w:contextualSpacing/>
    </w:pPr>
  </w:style>
  <w:style w:type="paragraph" w:customStyle="1" w:styleId="EndNoteBibliography">
    <w:name w:val="EndNote Bibliography"/>
    <w:basedOn w:val="Normal"/>
    <w:link w:val="EndNoteBibliographyChar"/>
    <w:rsid w:val="007E017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E0176"/>
    <w:rPr>
      <w:rFonts w:ascii="Calibri" w:hAnsi="Calibri" w:cs="Calibri"/>
      <w:noProof/>
    </w:rPr>
  </w:style>
  <w:style w:type="paragraph" w:styleId="FootnoteText">
    <w:name w:val="footnote text"/>
    <w:basedOn w:val="Normal"/>
    <w:link w:val="FootnoteTextChar"/>
    <w:uiPriority w:val="99"/>
    <w:unhideWhenUsed/>
    <w:rsid w:val="007E0176"/>
    <w:pPr>
      <w:spacing w:line="240" w:lineRule="auto"/>
    </w:pPr>
    <w:rPr>
      <w:sz w:val="20"/>
      <w:szCs w:val="20"/>
    </w:rPr>
  </w:style>
  <w:style w:type="character" w:customStyle="1" w:styleId="FootnoteTextChar">
    <w:name w:val="Footnote Text Char"/>
    <w:basedOn w:val="DefaultParagraphFont"/>
    <w:link w:val="FootnoteText"/>
    <w:uiPriority w:val="99"/>
    <w:rsid w:val="007E0176"/>
    <w:rPr>
      <w:sz w:val="20"/>
      <w:szCs w:val="20"/>
    </w:rPr>
  </w:style>
  <w:style w:type="character" w:styleId="FootnoteReference">
    <w:name w:val="footnote reference"/>
    <w:basedOn w:val="DefaultParagraphFont"/>
    <w:uiPriority w:val="99"/>
    <w:unhideWhenUsed/>
    <w:rsid w:val="007E0176"/>
    <w:rPr>
      <w:vertAlign w:val="superscript"/>
    </w:rPr>
  </w:style>
  <w:style w:type="character" w:customStyle="1" w:styleId="ListParagraphChar">
    <w:name w:val="List Paragraph Char"/>
    <w:basedOn w:val="DefaultParagraphFont"/>
    <w:link w:val="ListParagraph"/>
    <w:uiPriority w:val="34"/>
    <w:rsid w:val="007E0176"/>
  </w:style>
  <w:style w:type="paragraph" w:styleId="TOCHeading">
    <w:name w:val="TOC Heading"/>
    <w:basedOn w:val="Heading1"/>
    <w:next w:val="Normal"/>
    <w:uiPriority w:val="39"/>
    <w:unhideWhenUsed/>
    <w:qFormat/>
    <w:rsid w:val="007E0176"/>
    <w:pPr>
      <w:spacing w:before="240" w:line="259" w:lineRule="auto"/>
      <w:outlineLvl w:val="9"/>
    </w:pPr>
  </w:style>
  <w:style w:type="paragraph" w:styleId="TOC1">
    <w:name w:val="toc 1"/>
    <w:basedOn w:val="Normal"/>
    <w:next w:val="Normal"/>
    <w:autoRedefine/>
    <w:uiPriority w:val="39"/>
    <w:unhideWhenUsed/>
    <w:rsid w:val="007E0176"/>
    <w:pPr>
      <w:spacing w:after="100"/>
    </w:pPr>
  </w:style>
  <w:style w:type="paragraph" w:styleId="TOC2">
    <w:name w:val="toc 2"/>
    <w:basedOn w:val="Normal"/>
    <w:next w:val="Normal"/>
    <w:autoRedefine/>
    <w:uiPriority w:val="39"/>
    <w:unhideWhenUsed/>
    <w:rsid w:val="007E0176"/>
    <w:pPr>
      <w:spacing w:after="100"/>
      <w:ind w:left="220"/>
    </w:pPr>
  </w:style>
  <w:style w:type="paragraph" w:styleId="TOC3">
    <w:name w:val="toc 3"/>
    <w:basedOn w:val="Normal"/>
    <w:next w:val="Normal"/>
    <w:autoRedefine/>
    <w:uiPriority w:val="39"/>
    <w:unhideWhenUsed/>
    <w:rsid w:val="007E0176"/>
    <w:pPr>
      <w:spacing w:after="100"/>
      <w:ind w:left="440"/>
    </w:pPr>
  </w:style>
  <w:style w:type="table" w:customStyle="1" w:styleId="GridTable1Light">
    <w:name w:val="Grid Table 1 Light"/>
    <w:basedOn w:val="TableNormal"/>
    <w:uiPriority w:val="46"/>
    <w:rsid w:val="007E01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7E0176"/>
  </w:style>
  <w:style w:type="paragraph" w:styleId="BalloonText">
    <w:name w:val="Balloon Text"/>
    <w:basedOn w:val="Normal"/>
    <w:link w:val="BalloonTextChar"/>
    <w:uiPriority w:val="99"/>
    <w:semiHidden/>
    <w:unhideWhenUsed/>
    <w:rsid w:val="007E01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76"/>
    <w:rPr>
      <w:rFonts w:ascii="Segoe UI" w:hAnsi="Segoe UI" w:cs="Segoe UI"/>
      <w:sz w:val="18"/>
      <w:szCs w:val="18"/>
    </w:rPr>
  </w:style>
  <w:style w:type="paragraph" w:customStyle="1" w:styleId="EndNoteBibliographyTitle">
    <w:name w:val="EndNote Bibliography Title"/>
    <w:basedOn w:val="Normal"/>
    <w:link w:val="EndNoteBibliographyTitleChar"/>
    <w:rsid w:val="00BA10BD"/>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A10BD"/>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624CE2"/>
    <w:rPr>
      <w:b/>
      <w:bCs/>
    </w:rPr>
  </w:style>
  <w:style w:type="character" w:customStyle="1" w:styleId="CommentSubjectChar">
    <w:name w:val="Comment Subject Char"/>
    <w:basedOn w:val="CommentTextChar"/>
    <w:link w:val="CommentSubject"/>
    <w:uiPriority w:val="99"/>
    <w:semiHidden/>
    <w:rsid w:val="00624CE2"/>
    <w:rPr>
      <w:b/>
      <w:bCs/>
      <w:sz w:val="20"/>
      <w:szCs w:val="20"/>
    </w:rPr>
  </w:style>
  <w:style w:type="character" w:styleId="FollowedHyperlink">
    <w:name w:val="FollowedHyperlink"/>
    <w:basedOn w:val="DefaultParagraphFont"/>
    <w:uiPriority w:val="99"/>
    <w:semiHidden/>
    <w:unhideWhenUsed/>
    <w:rsid w:val="006936B9"/>
    <w:rPr>
      <w:color w:val="954F72" w:themeColor="followedHyperlink"/>
      <w:u w:val="single"/>
    </w:rPr>
  </w:style>
  <w:style w:type="table" w:styleId="TableGrid">
    <w:name w:val="Table Grid"/>
    <w:basedOn w:val="TableNormal"/>
    <w:uiPriority w:val="39"/>
    <w:rsid w:val="00B7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8E2"/>
    <w:pPr>
      <w:tabs>
        <w:tab w:val="center" w:pos="4680"/>
        <w:tab w:val="right" w:pos="9360"/>
      </w:tabs>
      <w:spacing w:line="240" w:lineRule="auto"/>
    </w:pPr>
  </w:style>
  <w:style w:type="character" w:customStyle="1" w:styleId="HeaderChar">
    <w:name w:val="Header Char"/>
    <w:basedOn w:val="DefaultParagraphFont"/>
    <w:link w:val="Header"/>
    <w:uiPriority w:val="99"/>
    <w:rsid w:val="003918E2"/>
  </w:style>
  <w:style w:type="paragraph" w:styleId="NoSpacing">
    <w:name w:val="No Spacing"/>
    <w:uiPriority w:val="1"/>
    <w:qFormat/>
    <w:rsid w:val="008E0B7F"/>
    <w:pPr>
      <w:spacing w:after="0" w:line="240" w:lineRule="auto"/>
    </w:pPr>
  </w:style>
  <w:style w:type="paragraph" w:styleId="Revision">
    <w:name w:val="Revision"/>
    <w:hidden/>
    <w:uiPriority w:val="99"/>
    <w:semiHidden/>
    <w:rsid w:val="00D66E9E"/>
    <w:pPr>
      <w:spacing w:after="0" w:line="240" w:lineRule="auto"/>
    </w:pPr>
  </w:style>
  <w:style w:type="paragraph" w:styleId="Quote">
    <w:name w:val="Quote"/>
    <w:basedOn w:val="Normal"/>
    <w:next w:val="Normal"/>
    <w:link w:val="QuoteChar"/>
    <w:uiPriority w:val="29"/>
    <w:qFormat/>
    <w:rsid w:val="00EB14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469"/>
    <w:rPr>
      <w:i/>
      <w:iCs/>
      <w:color w:val="404040" w:themeColor="text1" w:themeTint="BF"/>
    </w:rPr>
  </w:style>
  <w:style w:type="character" w:styleId="IntenseEmphasis">
    <w:name w:val="Intense Emphasis"/>
    <w:basedOn w:val="DefaultParagraphFont"/>
    <w:uiPriority w:val="21"/>
    <w:qFormat/>
    <w:rsid w:val="00EB1469"/>
    <w:rPr>
      <w:i/>
      <w:iCs/>
      <w:color w:val="5B9BD5" w:themeColor="accent1"/>
    </w:rPr>
  </w:style>
  <w:style w:type="character" w:customStyle="1" w:styleId="Heading4Char">
    <w:name w:val="Heading 4 Char"/>
    <w:basedOn w:val="DefaultParagraphFont"/>
    <w:link w:val="Heading4"/>
    <w:uiPriority w:val="9"/>
    <w:rsid w:val="007247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4E34"/>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F724AA"/>
    <w:rPr>
      <w:color w:val="808080"/>
    </w:rPr>
  </w:style>
  <w:style w:type="paragraph" w:styleId="PlainText">
    <w:name w:val="Plain Text"/>
    <w:basedOn w:val="Normal"/>
    <w:link w:val="PlainTextChar"/>
    <w:uiPriority w:val="99"/>
    <w:unhideWhenUsed/>
    <w:rsid w:val="00DC3292"/>
    <w:pPr>
      <w:spacing w:line="240" w:lineRule="auto"/>
      <w:jc w:val="left"/>
    </w:pPr>
    <w:rPr>
      <w:rFonts w:ascii="Calibri" w:hAnsi="Calibri" w:cs="Times New Roman"/>
    </w:rPr>
  </w:style>
  <w:style w:type="character" w:customStyle="1" w:styleId="PlainTextChar">
    <w:name w:val="Plain Text Char"/>
    <w:basedOn w:val="DefaultParagraphFont"/>
    <w:link w:val="PlainText"/>
    <w:uiPriority w:val="99"/>
    <w:rsid w:val="00DC329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B1"/>
    <w:pPr>
      <w:spacing w:after="0" w:line="480" w:lineRule="auto"/>
      <w:jc w:val="both"/>
    </w:pPr>
  </w:style>
  <w:style w:type="paragraph" w:styleId="Heading1">
    <w:name w:val="heading 1"/>
    <w:basedOn w:val="Normal"/>
    <w:next w:val="Normal"/>
    <w:link w:val="Heading1Char"/>
    <w:uiPriority w:val="9"/>
    <w:qFormat/>
    <w:rsid w:val="007E0176"/>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0176"/>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176"/>
    <w:pPr>
      <w:keepNext/>
      <w:keepLines/>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2470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4E3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1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01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E017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E01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176"/>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E01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176"/>
    <w:rPr>
      <w:color w:val="0000FF"/>
      <w:u w:val="single"/>
    </w:rPr>
  </w:style>
  <w:style w:type="character" w:styleId="Strong">
    <w:name w:val="Strong"/>
    <w:basedOn w:val="DefaultParagraphFont"/>
    <w:uiPriority w:val="22"/>
    <w:qFormat/>
    <w:rsid w:val="007E0176"/>
    <w:rPr>
      <w:b/>
      <w:bCs/>
    </w:rPr>
  </w:style>
  <w:style w:type="paragraph" w:styleId="Footer">
    <w:name w:val="footer"/>
    <w:basedOn w:val="Normal"/>
    <w:link w:val="FooterChar"/>
    <w:uiPriority w:val="99"/>
    <w:unhideWhenUsed/>
    <w:rsid w:val="007E0176"/>
    <w:pPr>
      <w:tabs>
        <w:tab w:val="center" w:pos="4680"/>
        <w:tab w:val="right" w:pos="9360"/>
      </w:tabs>
      <w:spacing w:line="240" w:lineRule="auto"/>
    </w:pPr>
  </w:style>
  <w:style w:type="character" w:customStyle="1" w:styleId="FooterChar">
    <w:name w:val="Footer Char"/>
    <w:basedOn w:val="DefaultParagraphFont"/>
    <w:link w:val="Footer"/>
    <w:uiPriority w:val="99"/>
    <w:rsid w:val="007E0176"/>
  </w:style>
  <w:style w:type="character" w:styleId="CommentReference">
    <w:name w:val="annotation reference"/>
    <w:basedOn w:val="DefaultParagraphFont"/>
    <w:uiPriority w:val="99"/>
    <w:semiHidden/>
    <w:unhideWhenUsed/>
    <w:rsid w:val="007E0176"/>
    <w:rPr>
      <w:sz w:val="16"/>
      <w:szCs w:val="16"/>
    </w:rPr>
  </w:style>
  <w:style w:type="paragraph" w:styleId="CommentText">
    <w:name w:val="annotation text"/>
    <w:basedOn w:val="Normal"/>
    <w:link w:val="CommentTextChar"/>
    <w:uiPriority w:val="99"/>
    <w:unhideWhenUsed/>
    <w:rsid w:val="007E0176"/>
    <w:pPr>
      <w:spacing w:line="240" w:lineRule="auto"/>
    </w:pPr>
    <w:rPr>
      <w:sz w:val="20"/>
      <w:szCs w:val="20"/>
    </w:rPr>
  </w:style>
  <w:style w:type="character" w:customStyle="1" w:styleId="CommentTextChar">
    <w:name w:val="Comment Text Char"/>
    <w:basedOn w:val="DefaultParagraphFont"/>
    <w:link w:val="CommentText"/>
    <w:uiPriority w:val="99"/>
    <w:rsid w:val="007E0176"/>
    <w:rPr>
      <w:sz w:val="20"/>
      <w:szCs w:val="20"/>
    </w:rPr>
  </w:style>
  <w:style w:type="paragraph" w:styleId="ListParagraph">
    <w:name w:val="List Paragraph"/>
    <w:basedOn w:val="Normal"/>
    <w:link w:val="ListParagraphChar"/>
    <w:uiPriority w:val="34"/>
    <w:qFormat/>
    <w:rsid w:val="007E0176"/>
    <w:pPr>
      <w:ind w:left="720"/>
      <w:contextualSpacing/>
    </w:pPr>
  </w:style>
  <w:style w:type="paragraph" w:customStyle="1" w:styleId="EndNoteBibliography">
    <w:name w:val="EndNote Bibliography"/>
    <w:basedOn w:val="Normal"/>
    <w:link w:val="EndNoteBibliographyChar"/>
    <w:rsid w:val="007E017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E0176"/>
    <w:rPr>
      <w:rFonts w:ascii="Calibri" w:hAnsi="Calibri" w:cs="Calibri"/>
      <w:noProof/>
    </w:rPr>
  </w:style>
  <w:style w:type="paragraph" w:styleId="FootnoteText">
    <w:name w:val="footnote text"/>
    <w:basedOn w:val="Normal"/>
    <w:link w:val="FootnoteTextChar"/>
    <w:uiPriority w:val="99"/>
    <w:unhideWhenUsed/>
    <w:rsid w:val="007E0176"/>
    <w:pPr>
      <w:spacing w:line="240" w:lineRule="auto"/>
    </w:pPr>
    <w:rPr>
      <w:sz w:val="20"/>
      <w:szCs w:val="20"/>
    </w:rPr>
  </w:style>
  <w:style w:type="character" w:customStyle="1" w:styleId="FootnoteTextChar">
    <w:name w:val="Footnote Text Char"/>
    <w:basedOn w:val="DefaultParagraphFont"/>
    <w:link w:val="FootnoteText"/>
    <w:uiPriority w:val="99"/>
    <w:rsid w:val="007E0176"/>
    <w:rPr>
      <w:sz w:val="20"/>
      <w:szCs w:val="20"/>
    </w:rPr>
  </w:style>
  <w:style w:type="character" w:styleId="FootnoteReference">
    <w:name w:val="footnote reference"/>
    <w:basedOn w:val="DefaultParagraphFont"/>
    <w:uiPriority w:val="99"/>
    <w:unhideWhenUsed/>
    <w:rsid w:val="007E0176"/>
    <w:rPr>
      <w:vertAlign w:val="superscript"/>
    </w:rPr>
  </w:style>
  <w:style w:type="character" w:customStyle="1" w:styleId="ListParagraphChar">
    <w:name w:val="List Paragraph Char"/>
    <w:basedOn w:val="DefaultParagraphFont"/>
    <w:link w:val="ListParagraph"/>
    <w:uiPriority w:val="34"/>
    <w:rsid w:val="007E0176"/>
  </w:style>
  <w:style w:type="paragraph" w:styleId="TOCHeading">
    <w:name w:val="TOC Heading"/>
    <w:basedOn w:val="Heading1"/>
    <w:next w:val="Normal"/>
    <w:uiPriority w:val="39"/>
    <w:unhideWhenUsed/>
    <w:qFormat/>
    <w:rsid w:val="007E0176"/>
    <w:pPr>
      <w:spacing w:before="240" w:line="259" w:lineRule="auto"/>
      <w:outlineLvl w:val="9"/>
    </w:pPr>
  </w:style>
  <w:style w:type="paragraph" w:styleId="TOC1">
    <w:name w:val="toc 1"/>
    <w:basedOn w:val="Normal"/>
    <w:next w:val="Normal"/>
    <w:autoRedefine/>
    <w:uiPriority w:val="39"/>
    <w:unhideWhenUsed/>
    <w:rsid w:val="007E0176"/>
    <w:pPr>
      <w:spacing w:after="100"/>
    </w:pPr>
  </w:style>
  <w:style w:type="paragraph" w:styleId="TOC2">
    <w:name w:val="toc 2"/>
    <w:basedOn w:val="Normal"/>
    <w:next w:val="Normal"/>
    <w:autoRedefine/>
    <w:uiPriority w:val="39"/>
    <w:unhideWhenUsed/>
    <w:rsid w:val="007E0176"/>
    <w:pPr>
      <w:spacing w:after="100"/>
      <w:ind w:left="220"/>
    </w:pPr>
  </w:style>
  <w:style w:type="paragraph" w:styleId="TOC3">
    <w:name w:val="toc 3"/>
    <w:basedOn w:val="Normal"/>
    <w:next w:val="Normal"/>
    <w:autoRedefine/>
    <w:uiPriority w:val="39"/>
    <w:unhideWhenUsed/>
    <w:rsid w:val="007E0176"/>
    <w:pPr>
      <w:spacing w:after="100"/>
      <w:ind w:left="440"/>
    </w:pPr>
  </w:style>
  <w:style w:type="table" w:customStyle="1" w:styleId="GridTable1Light">
    <w:name w:val="Grid Table 1 Light"/>
    <w:basedOn w:val="TableNormal"/>
    <w:uiPriority w:val="46"/>
    <w:rsid w:val="007E01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7E0176"/>
  </w:style>
  <w:style w:type="paragraph" w:styleId="BalloonText">
    <w:name w:val="Balloon Text"/>
    <w:basedOn w:val="Normal"/>
    <w:link w:val="BalloonTextChar"/>
    <w:uiPriority w:val="99"/>
    <w:semiHidden/>
    <w:unhideWhenUsed/>
    <w:rsid w:val="007E01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76"/>
    <w:rPr>
      <w:rFonts w:ascii="Segoe UI" w:hAnsi="Segoe UI" w:cs="Segoe UI"/>
      <w:sz w:val="18"/>
      <w:szCs w:val="18"/>
    </w:rPr>
  </w:style>
  <w:style w:type="paragraph" w:customStyle="1" w:styleId="EndNoteBibliographyTitle">
    <w:name w:val="EndNote Bibliography Title"/>
    <w:basedOn w:val="Normal"/>
    <w:link w:val="EndNoteBibliographyTitleChar"/>
    <w:rsid w:val="00BA10BD"/>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A10BD"/>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624CE2"/>
    <w:rPr>
      <w:b/>
      <w:bCs/>
    </w:rPr>
  </w:style>
  <w:style w:type="character" w:customStyle="1" w:styleId="CommentSubjectChar">
    <w:name w:val="Comment Subject Char"/>
    <w:basedOn w:val="CommentTextChar"/>
    <w:link w:val="CommentSubject"/>
    <w:uiPriority w:val="99"/>
    <w:semiHidden/>
    <w:rsid w:val="00624CE2"/>
    <w:rPr>
      <w:b/>
      <w:bCs/>
      <w:sz w:val="20"/>
      <w:szCs w:val="20"/>
    </w:rPr>
  </w:style>
  <w:style w:type="character" w:styleId="FollowedHyperlink">
    <w:name w:val="FollowedHyperlink"/>
    <w:basedOn w:val="DefaultParagraphFont"/>
    <w:uiPriority w:val="99"/>
    <w:semiHidden/>
    <w:unhideWhenUsed/>
    <w:rsid w:val="006936B9"/>
    <w:rPr>
      <w:color w:val="954F72" w:themeColor="followedHyperlink"/>
      <w:u w:val="single"/>
    </w:rPr>
  </w:style>
  <w:style w:type="table" w:styleId="TableGrid">
    <w:name w:val="Table Grid"/>
    <w:basedOn w:val="TableNormal"/>
    <w:uiPriority w:val="39"/>
    <w:rsid w:val="00B7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8E2"/>
    <w:pPr>
      <w:tabs>
        <w:tab w:val="center" w:pos="4680"/>
        <w:tab w:val="right" w:pos="9360"/>
      </w:tabs>
      <w:spacing w:line="240" w:lineRule="auto"/>
    </w:pPr>
  </w:style>
  <w:style w:type="character" w:customStyle="1" w:styleId="HeaderChar">
    <w:name w:val="Header Char"/>
    <w:basedOn w:val="DefaultParagraphFont"/>
    <w:link w:val="Header"/>
    <w:uiPriority w:val="99"/>
    <w:rsid w:val="003918E2"/>
  </w:style>
  <w:style w:type="paragraph" w:styleId="NoSpacing">
    <w:name w:val="No Spacing"/>
    <w:uiPriority w:val="1"/>
    <w:qFormat/>
    <w:rsid w:val="008E0B7F"/>
    <w:pPr>
      <w:spacing w:after="0" w:line="240" w:lineRule="auto"/>
    </w:pPr>
  </w:style>
  <w:style w:type="paragraph" w:styleId="Revision">
    <w:name w:val="Revision"/>
    <w:hidden/>
    <w:uiPriority w:val="99"/>
    <w:semiHidden/>
    <w:rsid w:val="00D66E9E"/>
    <w:pPr>
      <w:spacing w:after="0" w:line="240" w:lineRule="auto"/>
    </w:pPr>
  </w:style>
  <w:style w:type="paragraph" w:styleId="Quote">
    <w:name w:val="Quote"/>
    <w:basedOn w:val="Normal"/>
    <w:next w:val="Normal"/>
    <w:link w:val="QuoteChar"/>
    <w:uiPriority w:val="29"/>
    <w:qFormat/>
    <w:rsid w:val="00EB14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469"/>
    <w:rPr>
      <w:i/>
      <w:iCs/>
      <w:color w:val="404040" w:themeColor="text1" w:themeTint="BF"/>
    </w:rPr>
  </w:style>
  <w:style w:type="character" w:styleId="IntenseEmphasis">
    <w:name w:val="Intense Emphasis"/>
    <w:basedOn w:val="DefaultParagraphFont"/>
    <w:uiPriority w:val="21"/>
    <w:qFormat/>
    <w:rsid w:val="00EB1469"/>
    <w:rPr>
      <w:i/>
      <w:iCs/>
      <w:color w:val="5B9BD5" w:themeColor="accent1"/>
    </w:rPr>
  </w:style>
  <w:style w:type="character" w:customStyle="1" w:styleId="Heading4Char">
    <w:name w:val="Heading 4 Char"/>
    <w:basedOn w:val="DefaultParagraphFont"/>
    <w:link w:val="Heading4"/>
    <w:uiPriority w:val="9"/>
    <w:rsid w:val="007247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4E34"/>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F724AA"/>
    <w:rPr>
      <w:color w:val="808080"/>
    </w:rPr>
  </w:style>
  <w:style w:type="paragraph" w:styleId="PlainText">
    <w:name w:val="Plain Text"/>
    <w:basedOn w:val="Normal"/>
    <w:link w:val="PlainTextChar"/>
    <w:uiPriority w:val="99"/>
    <w:unhideWhenUsed/>
    <w:rsid w:val="00DC3292"/>
    <w:pPr>
      <w:spacing w:line="240" w:lineRule="auto"/>
      <w:jc w:val="left"/>
    </w:pPr>
    <w:rPr>
      <w:rFonts w:ascii="Calibri" w:hAnsi="Calibri" w:cs="Times New Roman"/>
    </w:rPr>
  </w:style>
  <w:style w:type="character" w:customStyle="1" w:styleId="PlainTextChar">
    <w:name w:val="Plain Text Char"/>
    <w:basedOn w:val="DefaultParagraphFont"/>
    <w:link w:val="PlainText"/>
    <w:uiPriority w:val="99"/>
    <w:rsid w:val="00DC329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3384">
      <w:bodyDiv w:val="1"/>
      <w:marLeft w:val="0"/>
      <w:marRight w:val="0"/>
      <w:marTop w:val="0"/>
      <w:marBottom w:val="0"/>
      <w:divBdr>
        <w:top w:val="none" w:sz="0" w:space="0" w:color="auto"/>
        <w:left w:val="none" w:sz="0" w:space="0" w:color="auto"/>
        <w:bottom w:val="none" w:sz="0" w:space="0" w:color="auto"/>
        <w:right w:val="none" w:sz="0" w:space="0" w:color="auto"/>
      </w:divBdr>
    </w:div>
    <w:div w:id="146744704">
      <w:bodyDiv w:val="1"/>
      <w:marLeft w:val="0"/>
      <w:marRight w:val="0"/>
      <w:marTop w:val="0"/>
      <w:marBottom w:val="0"/>
      <w:divBdr>
        <w:top w:val="none" w:sz="0" w:space="0" w:color="auto"/>
        <w:left w:val="none" w:sz="0" w:space="0" w:color="auto"/>
        <w:bottom w:val="none" w:sz="0" w:space="0" w:color="auto"/>
        <w:right w:val="none" w:sz="0" w:space="0" w:color="auto"/>
      </w:divBdr>
    </w:div>
    <w:div w:id="230582193">
      <w:bodyDiv w:val="1"/>
      <w:marLeft w:val="0"/>
      <w:marRight w:val="0"/>
      <w:marTop w:val="0"/>
      <w:marBottom w:val="0"/>
      <w:divBdr>
        <w:top w:val="none" w:sz="0" w:space="0" w:color="auto"/>
        <w:left w:val="none" w:sz="0" w:space="0" w:color="auto"/>
        <w:bottom w:val="none" w:sz="0" w:space="0" w:color="auto"/>
        <w:right w:val="none" w:sz="0" w:space="0" w:color="auto"/>
      </w:divBdr>
    </w:div>
    <w:div w:id="231622031">
      <w:bodyDiv w:val="1"/>
      <w:marLeft w:val="0"/>
      <w:marRight w:val="0"/>
      <w:marTop w:val="0"/>
      <w:marBottom w:val="0"/>
      <w:divBdr>
        <w:top w:val="none" w:sz="0" w:space="0" w:color="auto"/>
        <w:left w:val="none" w:sz="0" w:space="0" w:color="auto"/>
        <w:bottom w:val="none" w:sz="0" w:space="0" w:color="auto"/>
        <w:right w:val="none" w:sz="0" w:space="0" w:color="auto"/>
      </w:divBdr>
    </w:div>
    <w:div w:id="240527249">
      <w:bodyDiv w:val="1"/>
      <w:marLeft w:val="0"/>
      <w:marRight w:val="0"/>
      <w:marTop w:val="0"/>
      <w:marBottom w:val="0"/>
      <w:divBdr>
        <w:top w:val="none" w:sz="0" w:space="0" w:color="auto"/>
        <w:left w:val="none" w:sz="0" w:space="0" w:color="auto"/>
        <w:bottom w:val="none" w:sz="0" w:space="0" w:color="auto"/>
        <w:right w:val="none" w:sz="0" w:space="0" w:color="auto"/>
      </w:divBdr>
    </w:div>
    <w:div w:id="314725207">
      <w:bodyDiv w:val="1"/>
      <w:marLeft w:val="0"/>
      <w:marRight w:val="0"/>
      <w:marTop w:val="0"/>
      <w:marBottom w:val="0"/>
      <w:divBdr>
        <w:top w:val="none" w:sz="0" w:space="0" w:color="auto"/>
        <w:left w:val="none" w:sz="0" w:space="0" w:color="auto"/>
        <w:bottom w:val="none" w:sz="0" w:space="0" w:color="auto"/>
        <w:right w:val="none" w:sz="0" w:space="0" w:color="auto"/>
      </w:divBdr>
    </w:div>
    <w:div w:id="365909637">
      <w:bodyDiv w:val="1"/>
      <w:marLeft w:val="0"/>
      <w:marRight w:val="0"/>
      <w:marTop w:val="0"/>
      <w:marBottom w:val="0"/>
      <w:divBdr>
        <w:top w:val="none" w:sz="0" w:space="0" w:color="auto"/>
        <w:left w:val="none" w:sz="0" w:space="0" w:color="auto"/>
        <w:bottom w:val="none" w:sz="0" w:space="0" w:color="auto"/>
        <w:right w:val="none" w:sz="0" w:space="0" w:color="auto"/>
      </w:divBdr>
    </w:div>
    <w:div w:id="400641402">
      <w:bodyDiv w:val="1"/>
      <w:marLeft w:val="0"/>
      <w:marRight w:val="0"/>
      <w:marTop w:val="0"/>
      <w:marBottom w:val="0"/>
      <w:divBdr>
        <w:top w:val="none" w:sz="0" w:space="0" w:color="auto"/>
        <w:left w:val="none" w:sz="0" w:space="0" w:color="auto"/>
        <w:bottom w:val="none" w:sz="0" w:space="0" w:color="auto"/>
        <w:right w:val="none" w:sz="0" w:space="0" w:color="auto"/>
      </w:divBdr>
    </w:div>
    <w:div w:id="448747616">
      <w:bodyDiv w:val="1"/>
      <w:marLeft w:val="0"/>
      <w:marRight w:val="0"/>
      <w:marTop w:val="0"/>
      <w:marBottom w:val="0"/>
      <w:divBdr>
        <w:top w:val="none" w:sz="0" w:space="0" w:color="auto"/>
        <w:left w:val="none" w:sz="0" w:space="0" w:color="auto"/>
        <w:bottom w:val="none" w:sz="0" w:space="0" w:color="auto"/>
        <w:right w:val="none" w:sz="0" w:space="0" w:color="auto"/>
      </w:divBdr>
    </w:div>
    <w:div w:id="452986302">
      <w:bodyDiv w:val="1"/>
      <w:marLeft w:val="0"/>
      <w:marRight w:val="0"/>
      <w:marTop w:val="0"/>
      <w:marBottom w:val="0"/>
      <w:divBdr>
        <w:top w:val="none" w:sz="0" w:space="0" w:color="auto"/>
        <w:left w:val="none" w:sz="0" w:space="0" w:color="auto"/>
        <w:bottom w:val="none" w:sz="0" w:space="0" w:color="auto"/>
        <w:right w:val="none" w:sz="0" w:space="0" w:color="auto"/>
      </w:divBdr>
    </w:div>
    <w:div w:id="478770351">
      <w:bodyDiv w:val="1"/>
      <w:marLeft w:val="0"/>
      <w:marRight w:val="0"/>
      <w:marTop w:val="0"/>
      <w:marBottom w:val="0"/>
      <w:divBdr>
        <w:top w:val="none" w:sz="0" w:space="0" w:color="auto"/>
        <w:left w:val="none" w:sz="0" w:space="0" w:color="auto"/>
        <w:bottom w:val="none" w:sz="0" w:space="0" w:color="auto"/>
        <w:right w:val="none" w:sz="0" w:space="0" w:color="auto"/>
      </w:divBdr>
    </w:div>
    <w:div w:id="570821540">
      <w:bodyDiv w:val="1"/>
      <w:marLeft w:val="0"/>
      <w:marRight w:val="0"/>
      <w:marTop w:val="0"/>
      <w:marBottom w:val="0"/>
      <w:divBdr>
        <w:top w:val="none" w:sz="0" w:space="0" w:color="auto"/>
        <w:left w:val="none" w:sz="0" w:space="0" w:color="auto"/>
        <w:bottom w:val="none" w:sz="0" w:space="0" w:color="auto"/>
        <w:right w:val="none" w:sz="0" w:space="0" w:color="auto"/>
      </w:divBdr>
    </w:div>
    <w:div w:id="581329622">
      <w:bodyDiv w:val="1"/>
      <w:marLeft w:val="0"/>
      <w:marRight w:val="0"/>
      <w:marTop w:val="0"/>
      <w:marBottom w:val="0"/>
      <w:divBdr>
        <w:top w:val="none" w:sz="0" w:space="0" w:color="auto"/>
        <w:left w:val="none" w:sz="0" w:space="0" w:color="auto"/>
        <w:bottom w:val="none" w:sz="0" w:space="0" w:color="auto"/>
        <w:right w:val="none" w:sz="0" w:space="0" w:color="auto"/>
      </w:divBdr>
    </w:div>
    <w:div w:id="833835053">
      <w:bodyDiv w:val="1"/>
      <w:marLeft w:val="0"/>
      <w:marRight w:val="0"/>
      <w:marTop w:val="0"/>
      <w:marBottom w:val="0"/>
      <w:divBdr>
        <w:top w:val="none" w:sz="0" w:space="0" w:color="auto"/>
        <w:left w:val="none" w:sz="0" w:space="0" w:color="auto"/>
        <w:bottom w:val="none" w:sz="0" w:space="0" w:color="auto"/>
        <w:right w:val="none" w:sz="0" w:space="0" w:color="auto"/>
      </w:divBdr>
    </w:div>
    <w:div w:id="845289367">
      <w:bodyDiv w:val="1"/>
      <w:marLeft w:val="0"/>
      <w:marRight w:val="0"/>
      <w:marTop w:val="0"/>
      <w:marBottom w:val="0"/>
      <w:divBdr>
        <w:top w:val="none" w:sz="0" w:space="0" w:color="auto"/>
        <w:left w:val="none" w:sz="0" w:space="0" w:color="auto"/>
        <w:bottom w:val="none" w:sz="0" w:space="0" w:color="auto"/>
        <w:right w:val="none" w:sz="0" w:space="0" w:color="auto"/>
      </w:divBdr>
    </w:div>
    <w:div w:id="870074590">
      <w:bodyDiv w:val="1"/>
      <w:marLeft w:val="0"/>
      <w:marRight w:val="0"/>
      <w:marTop w:val="0"/>
      <w:marBottom w:val="0"/>
      <w:divBdr>
        <w:top w:val="none" w:sz="0" w:space="0" w:color="auto"/>
        <w:left w:val="none" w:sz="0" w:space="0" w:color="auto"/>
        <w:bottom w:val="none" w:sz="0" w:space="0" w:color="auto"/>
        <w:right w:val="none" w:sz="0" w:space="0" w:color="auto"/>
      </w:divBdr>
    </w:div>
    <w:div w:id="970208967">
      <w:bodyDiv w:val="1"/>
      <w:marLeft w:val="0"/>
      <w:marRight w:val="0"/>
      <w:marTop w:val="0"/>
      <w:marBottom w:val="0"/>
      <w:divBdr>
        <w:top w:val="none" w:sz="0" w:space="0" w:color="auto"/>
        <w:left w:val="none" w:sz="0" w:space="0" w:color="auto"/>
        <w:bottom w:val="none" w:sz="0" w:space="0" w:color="auto"/>
        <w:right w:val="none" w:sz="0" w:space="0" w:color="auto"/>
      </w:divBdr>
    </w:div>
    <w:div w:id="978803085">
      <w:bodyDiv w:val="1"/>
      <w:marLeft w:val="0"/>
      <w:marRight w:val="0"/>
      <w:marTop w:val="0"/>
      <w:marBottom w:val="0"/>
      <w:divBdr>
        <w:top w:val="none" w:sz="0" w:space="0" w:color="auto"/>
        <w:left w:val="none" w:sz="0" w:space="0" w:color="auto"/>
        <w:bottom w:val="none" w:sz="0" w:space="0" w:color="auto"/>
        <w:right w:val="none" w:sz="0" w:space="0" w:color="auto"/>
      </w:divBdr>
    </w:div>
    <w:div w:id="1012143836">
      <w:bodyDiv w:val="1"/>
      <w:marLeft w:val="0"/>
      <w:marRight w:val="0"/>
      <w:marTop w:val="0"/>
      <w:marBottom w:val="0"/>
      <w:divBdr>
        <w:top w:val="none" w:sz="0" w:space="0" w:color="auto"/>
        <w:left w:val="none" w:sz="0" w:space="0" w:color="auto"/>
        <w:bottom w:val="none" w:sz="0" w:space="0" w:color="auto"/>
        <w:right w:val="none" w:sz="0" w:space="0" w:color="auto"/>
      </w:divBdr>
    </w:div>
    <w:div w:id="1037120071">
      <w:bodyDiv w:val="1"/>
      <w:marLeft w:val="0"/>
      <w:marRight w:val="0"/>
      <w:marTop w:val="0"/>
      <w:marBottom w:val="0"/>
      <w:divBdr>
        <w:top w:val="none" w:sz="0" w:space="0" w:color="auto"/>
        <w:left w:val="none" w:sz="0" w:space="0" w:color="auto"/>
        <w:bottom w:val="none" w:sz="0" w:space="0" w:color="auto"/>
        <w:right w:val="none" w:sz="0" w:space="0" w:color="auto"/>
      </w:divBdr>
    </w:div>
    <w:div w:id="1079251526">
      <w:bodyDiv w:val="1"/>
      <w:marLeft w:val="0"/>
      <w:marRight w:val="0"/>
      <w:marTop w:val="0"/>
      <w:marBottom w:val="0"/>
      <w:divBdr>
        <w:top w:val="none" w:sz="0" w:space="0" w:color="auto"/>
        <w:left w:val="none" w:sz="0" w:space="0" w:color="auto"/>
        <w:bottom w:val="none" w:sz="0" w:space="0" w:color="auto"/>
        <w:right w:val="none" w:sz="0" w:space="0" w:color="auto"/>
      </w:divBdr>
    </w:div>
    <w:div w:id="1082263559">
      <w:bodyDiv w:val="1"/>
      <w:marLeft w:val="0"/>
      <w:marRight w:val="0"/>
      <w:marTop w:val="0"/>
      <w:marBottom w:val="0"/>
      <w:divBdr>
        <w:top w:val="none" w:sz="0" w:space="0" w:color="auto"/>
        <w:left w:val="none" w:sz="0" w:space="0" w:color="auto"/>
        <w:bottom w:val="none" w:sz="0" w:space="0" w:color="auto"/>
        <w:right w:val="none" w:sz="0" w:space="0" w:color="auto"/>
      </w:divBdr>
    </w:div>
    <w:div w:id="1092160490">
      <w:bodyDiv w:val="1"/>
      <w:marLeft w:val="0"/>
      <w:marRight w:val="0"/>
      <w:marTop w:val="0"/>
      <w:marBottom w:val="0"/>
      <w:divBdr>
        <w:top w:val="none" w:sz="0" w:space="0" w:color="auto"/>
        <w:left w:val="none" w:sz="0" w:space="0" w:color="auto"/>
        <w:bottom w:val="none" w:sz="0" w:space="0" w:color="auto"/>
        <w:right w:val="none" w:sz="0" w:space="0" w:color="auto"/>
      </w:divBdr>
    </w:div>
    <w:div w:id="1093941829">
      <w:bodyDiv w:val="1"/>
      <w:marLeft w:val="0"/>
      <w:marRight w:val="0"/>
      <w:marTop w:val="0"/>
      <w:marBottom w:val="0"/>
      <w:divBdr>
        <w:top w:val="none" w:sz="0" w:space="0" w:color="auto"/>
        <w:left w:val="none" w:sz="0" w:space="0" w:color="auto"/>
        <w:bottom w:val="none" w:sz="0" w:space="0" w:color="auto"/>
        <w:right w:val="none" w:sz="0" w:space="0" w:color="auto"/>
      </w:divBdr>
    </w:div>
    <w:div w:id="1176652454">
      <w:bodyDiv w:val="1"/>
      <w:marLeft w:val="0"/>
      <w:marRight w:val="0"/>
      <w:marTop w:val="0"/>
      <w:marBottom w:val="0"/>
      <w:divBdr>
        <w:top w:val="none" w:sz="0" w:space="0" w:color="auto"/>
        <w:left w:val="none" w:sz="0" w:space="0" w:color="auto"/>
        <w:bottom w:val="none" w:sz="0" w:space="0" w:color="auto"/>
        <w:right w:val="none" w:sz="0" w:space="0" w:color="auto"/>
      </w:divBdr>
    </w:div>
    <w:div w:id="1237325022">
      <w:bodyDiv w:val="1"/>
      <w:marLeft w:val="0"/>
      <w:marRight w:val="0"/>
      <w:marTop w:val="0"/>
      <w:marBottom w:val="0"/>
      <w:divBdr>
        <w:top w:val="none" w:sz="0" w:space="0" w:color="auto"/>
        <w:left w:val="none" w:sz="0" w:space="0" w:color="auto"/>
        <w:bottom w:val="none" w:sz="0" w:space="0" w:color="auto"/>
        <w:right w:val="none" w:sz="0" w:space="0" w:color="auto"/>
      </w:divBdr>
    </w:div>
    <w:div w:id="1252200555">
      <w:bodyDiv w:val="1"/>
      <w:marLeft w:val="0"/>
      <w:marRight w:val="0"/>
      <w:marTop w:val="0"/>
      <w:marBottom w:val="0"/>
      <w:divBdr>
        <w:top w:val="none" w:sz="0" w:space="0" w:color="auto"/>
        <w:left w:val="none" w:sz="0" w:space="0" w:color="auto"/>
        <w:bottom w:val="none" w:sz="0" w:space="0" w:color="auto"/>
        <w:right w:val="none" w:sz="0" w:space="0" w:color="auto"/>
      </w:divBdr>
    </w:div>
    <w:div w:id="1267038559">
      <w:bodyDiv w:val="1"/>
      <w:marLeft w:val="0"/>
      <w:marRight w:val="0"/>
      <w:marTop w:val="0"/>
      <w:marBottom w:val="0"/>
      <w:divBdr>
        <w:top w:val="none" w:sz="0" w:space="0" w:color="auto"/>
        <w:left w:val="none" w:sz="0" w:space="0" w:color="auto"/>
        <w:bottom w:val="none" w:sz="0" w:space="0" w:color="auto"/>
        <w:right w:val="none" w:sz="0" w:space="0" w:color="auto"/>
      </w:divBdr>
    </w:div>
    <w:div w:id="1308052608">
      <w:bodyDiv w:val="1"/>
      <w:marLeft w:val="0"/>
      <w:marRight w:val="0"/>
      <w:marTop w:val="0"/>
      <w:marBottom w:val="0"/>
      <w:divBdr>
        <w:top w:val="none" w:sz="0" w:space="0" w:color="auto"/>
        <w:left w:val="none" w:sz="0" w:space="0" w:color="auto"/>
        <w:bottom w:val="none" w:sz="0" w:space="0" w:color="auto"/>
        <w:right w:val="none" w:sz="0" w:space="0" w:color="auto"/>
      </w:divBdr>
    </w:div>
    <w:div w:id="1328051043">
      <w:bodyDiv w:val="1"/>
      <w:marLeft w:val="0"/>
      <w:marRight w:val="0"/>
      <w:marTop w:val="0"/>
      <w:marBottom w:val="0"/>
      <w:divBdr>
        <w:top w:val="none" w:sz="0" w:space="0" w:color="auto"/>
        <w:left w:val="none" w:sz="0" w:space="0" w:color="auto"/>
        <w:bottom w:val="none" w:sz="0" w:space="0" w:color="auto"/>
        <w:right w:val="none" w:sz="0" w:space="0" w:color="auto"/>
      </w:divBdr>
    </w:div>
    <w:div w:id="1354183112">
      <w:bodyDiv w:val="1"/>
      <w:marLeft w:val="0"/>
      <w:marRight w:val="0"/>
      <w:marTop w:val="0"/>
      <w:marBottom w:val="0"/>
      <w:divBdr>
        <w:top w:val="none" w:sz="0" w:space="0" w:color="auto"/>
        <w:left w:val="none" w:sz="0" w:space="0" w:color="auto"/>
        <w:bottom w:val="none" w:sz="0" w:space="0" w:color="auto"/>
        <w:right w:val="none" w:sz="0" w:space="0" w:color="auto"/>
      </w:divBdr>
    </w:div>
    <w:div w:id="1409157806">
      <w:bodyDiv w:val="1"/>
      <w:marLeft w:val="0"/>
      <w:marRight w:val="0"/>
      <w:marTop w:val="0"/>
      <w:marBottom w:val="0"/>
      <w:divBdr>
        <w:top w:val="none" w:sz="0" w:space="0" w:color="auto"/>
        <w:left w:val="none" w:sz="0" w:space="0" w:color="auto"/>
        <w:bottom w:val="none" w:sz="0" w:space="0" w:color="auto"/>
        <w:right w:val="none" w:sz="0" w:space="0" w:color="auto"/>
      </w:divBdr>
    </w:div>
    <w:div w:id="1444879635">
      <w:bodyDiv w:val="1"/>
      <w:marLeft w:val="0"/>
      <w:marRight w:val="0"/>
      <w:marTop w:val="0"/>
      <w:marBottom w:val="0"/>
      <w:divBdr>
        <w:top w:val="none" w:sz="0" w:space="0" w:color="auto"/>
        <w:left w:val="none" w:sz="0" w:space="0" w:color="auto"/>
        <w:bottom w:val="none" w:sz="0" w:space="0" w:color="auto"/>
        <w:right w:val="none" w:sz="0" w:space="0" w:color="auto"/>
      </w:divBdr>
    </w:div>
    <w:div w:id="1471438051">
      <w:bodyDiv w:val="1"/>
      <w:marLeft w:val="0"/>
      <w:marRight w:val="0"/>
      <w:marTop w:val="0"/>
      <w:marBottom w:val="0"/>
      <w:divBdr>
        <w:top w:val="none" w:sz="0" w:space="0" w:color="auto"/>
        <w:left w:val="none" w:sz="0" w:space="0" w:color="auto"/>
        <w:bottom w:val="none" w:sz="0" w:space="0" w:color="auto"/>
        <w:right w:val="none" w:sz="0" w:space="0" w:color="auto"/>
      </w:divBdr>
    </w:div>
    <w:div w:id="1471634388">
      <w:bodyDiv w:val="1"/>
      <w:marLeft w:val="0"/>
      <w:marRight w:val="0"/>
      <w:marTop w:val="0"/>
      <w:marBottom w:val="0"/>
      <w:divBdr>
        <w:top w:val="none" w:sz="0" w:space="0" w:color="auto"/>
        <w:left w:val="none" w:sz="0" w:space="0" w:color="auto"/>
        <w:bottom w:val="none" w:sz="0" w:space="0" w:color="auto"/>
        <w:right w:val="none" w:sz="0" w:space="0" w:color="auto"/>
      </w:divBdr>
    </w:div>
    <w:div w:id="1499346003">
      <w:bodyDiv w:val="1"/>
      <w:marLeft w:val="0"/>
      <w:marRight w:val="0"/>
      <w:marTop w:val="0"/>
      <w:marBottom w:val="0"/>
      <w:divBdr>
        <w:top w:val="none" w:sz="0" w:space="0" w:color="auto"/>
        <w:left w:val="none" w:sz="0" w:space="0" w:color="auto"/>
        <w:bottom w:val="none" w:sz="0" w:space="0" w:color="auto"/>
        <w:right w:val="none" w:sz="0" w:space="0" w:color="auto"/>
      </w:divBdr>
    </w:div>
    <w:div w:id="1607737073">
      <w:bodyDiv w:val="1"/>
      <w:marLeft w:val="0"/>
      <w:marRight w:val="0"/>
      <w:marTop w:val="0"/>
      <w:marBottom w:val="0"/>
      <w:divBdr>
        <w:top w:val="none" w:sz="0" w:space="0" w:color="auto"/>
        <w:left w:val="none" w:sz="0" w:space="0" w:color="auto"/>
        <w:bottom w:val="none" w:sz="0" w:space="0" w:color="auto"/>
        <w:right w:val="none" w:sz="0" w:space="0" w:color="auto"/>
      </w:divBdr>
    </w:div>
    <w:div w:id="1609044654">
      <w:bodyDiv w:val="1"/>
      <w:marLeft w:val="0"/>
      <w:marRight w:val="0"/>
      <w:marTop w:val="0"/>
      <w:marBottom w:val="0"/>
      <w:divBdr>
        <w:top w:val="none" w:sz="0" w:space="0" w:color="auto"/>
        <w:left w:val="none" w:sz="0" w:space="0" w:color="auto"/>
        <w:bottom w:val="none" w:sz="0" w:space="0" w:color="auto"/>
        <w:right w:val="none" w:sz="0" w:space="0" w:color="auto"/>
      </w:divBdr>
    </w:div>
    <w:div w:id="1725327240">
      <w:bodyDiv w:val="1"/>
      <w:marLeft w:val="0"/>
      <w:marRight w:val="0"/>
      <w:marTop w:val="0"/>
      <w:marBottom w:val="0"/>
      <w:divBdr>
        <w:top w:val="none" w:sz="0" w:space="0" w:color="auto"/>
        <w:left w:val="none" w:sz="0" w:space="0" w:color="auto"/>
        <w:bottom w:val="none" w:sz="0" w:space="0" w:color="auto"/>
        <w:right w:val="none" w:sz="0" w:space="0" w:color="auto"/>
      </w:divBdr>
    </w:div>
    <w:div w:id="1745688345">
      <w:bodyDiv w:val="1"/>
      <w:marLeft w:val="0"/>
      <w:marRight w:val="0"/>
      <w:marTop w:val="0"/>
      <w:marBottom w:val="0"/>
      <w:divBdr>
        <w:top w:val="none" w:sz="0" w:space="0" w:color="auto"/>
        <w:left w:val="none" w:sz="0" w:space="0" w:color="auto"/>
        <w:bottom w:val="none" w:sz="0" w:space="0" w:color="auto"/>
        <w:right w:val="none" w:sz="0" w:space="0" w:color="auto"/>
      </w:divBdr>
    </w:div>
    <w:div w:id="1771119198">
      <w:bodyDiv w:val="1"/>
      <w:marLeft w:val="0"/>
      <w:marRight w:val="0"/>
      <w:marTop w:val="0"/>
      <w:marBottom w:val="0"/>
      <w:divBdr>
        <w:top w:val="none" w:sz="0" w:space="0" w:color="auto"/>
        <w:left w:val="none" w:sz="0" w:space="0" w:color="auto"/>
        <w:bottom w:val="none" w:sz="0" w:space="0" w:color="auto"/>
        <w:right w:val="none" w:sz="0" w:space="0" w:color="auto"/>
      </w:divBdr>
    </w:div>
    <w:div w:id="1800566892">
      <w:bodyDiv w:val="1"/>
      <w:marLeft w:val="0"/>
      <w:marRight w:val="0"/>
      <w:marTop w:val="0"/>
      <w:marBottom w:val="0"/>
      <w:divBdr>
        <w:top w:val="none" w:sz="0" w:space="0" w:color="auto"/>
        <w:left w:val="none" w:sz="0" w:space="0" w:color="auto"/>
        <w:bottom w:val="none" w:sz="0" w:space="0" w:color="auto"/>
        <w:right w:val="none" w:sz="0" w:space="0" w:color="auto"/>
      </w:divBdr>
    </w:div>
    <w:div w:id="1850172138">
      <w:bodyDiv w:val="1"/>
      <w:marLeft w:val="0"/>
      <w:marRight w:val="0"/>
      <w:marTop w:val="0"/>
      <w:marBottom w:val="0"/>
      <w:divBdr>
        <w:top w:val="none" w:sz="0" w:space="0" w:color="auto"/>
        <w:left w:val="none" w:sz="0" w:space="0" w:color="auto"/>
        <w:bottom w:val="none" w:sz="0" w:space="0" w:color="auto"/>
        <w:right w:val="none" w:sz="0" w:space="0" w:color="auto"/>
      </w:divBdr>
    </w:div>
    <w:div w:id="1909457585">
      <w:bodyDiv w:val="1"/>
      <w:marLeft w:val="0"/>
      <w:marRight w:val="0"/>
      <w:marTop w:val="0"/>
      <w:marBottom w:val="0"/>
      <w:divBdr>
        <w:top w:val="none" w:sz="0" w:space="0" w:color="auto"/>
        <w:left w:val="none" w:sz="0" w:space="0" w:color="auto"/>
        <w:bottom w:val="none" w:sz="0" w:space="0" w:color="auto"/>
        <w:right w:val="none" w:sz="0" w:space="0" w:color="auto"/>
      </w:divBdr>
    </w:div>
    <w:div w:id="2047292323">
      <w:bodyDiv w:val="1"/>
      <w:marLeft w:val="0"/>
      <w:marRight w:val="0"/>
      <w:marTop w:val="0"/>
      <w:marBottom w:val="0"/>
      <w:divBdr>
        <w:top w:val="none" w:sz="0" w:space="0" w:color="auto"/>
        <w:left w:val="none" w:sz="0" w:space="0" w:color="auto"/>
        <w:bottom w:val="none" w:sz="0" w:space="0" w:color="auto"/>
        <w:right w:val="none" w:sz="0" w:space="0" w:color="auto"/>
      </w:divBdr>
    </w:div>
    <w:div w:id="2052028885">
      <w:bodyDiv w:val="1"/>
      <w:marLeft w:val="0"/>
      <w:marRight w:val="0"/>
      <w:marTop w:val="0"/>
      <w:marBottom w:val="0"/>
      <w:divBdr>
        <w:top w:val="none" w:sz="0" w:space="0" w:color="auto"/>
        <w:left w:val="none" w:sz="0" w:space="0" w:color="auto"/>
        <w:bottom w:val="none" w:sz="0" w:space="0" w:color="auto"/>
        <w:right w:val="none" w:sz="0" w:space="0" w:color="auto"/>
      </w:divBdr>
    </w:div>
    <w:div w:id="2055546192">
      <w:bodyDiv w:val="1"/>
      <w:marLeft w:val="0"/>
      <w:marRight w:val="0"/>
      <w:marTop w:val="0"/>
      <w:marBottom w:val="0"/>
      <w:divBdr>
        <w:top w:val="none" w:sz="0" w:space="0" w:color="auto"/>
        <w:left w:val="none" w:sz="0" w:space="0" w:color="auto"/>
        <w:bottom w:val="none" w:sz="0" w:space="0" w:color="auto"/>
        <w:right w:val="none" w:sz="0" w:space="0" w:color="auto"/>
      </w:divBdr>
    </w:div>
    <w:div w:id="2077391612">
      <w:bodyDiv w:val="1"/>
      <w:marLeft w:val="0"/>
      <w:marRight w:val="0"/>
      <w:marTop w:val="0"/>
      <w:marBottom w:val="0"/>
      <w:divBdr>
        <w:top w:val="none" w:sz="0" w:space="0" w:color="auto"/>
        <w:left w:val="none" w:sz="0" w:space="0" w:color="auto"/>
        <w:bottom w:val="none" w:sz="0" w:space="0" w:color="auto"/>
        <w:right w:val="none" w:sz="0" w:space="0" w:color="auto"/>
      </w:divBdr>
    </w:div>
    <w:div w:id="21017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15B9-7E20-4BF2-A827-EFEBC1FE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2612</Words>
  <Characters>14947</Characters>
  <Application>Microsoft Office Word</Application>
  <DocSecurity>0</DocSecurity>
  <Lines>266</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Medical University of Vienna</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Perić</dc:creator>
  <cp:keywords/>
  <dc:description/>
  <cp:lastModifiedBy>LCAYETANO</cp:lastModifiedBy>
  <cp:revision>4</cp:revision>
  <cp:lastPrinted>2017-09-22T12:07:00Z</cp:lastPrinted>
  <dcterms:created xsi:type="dcterms:W3CDTF">2018-01-02T19:03:00Z</dcterms:created>
  <dcterms:modified xsi:type="dcterms:W3CDTF">2018-06-09T09:45:00Z</dcterms:modified>
</cp:coreProperties>
</file>