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2663" w:rsidRPr="00B36F75" w:rsidRDefault="006C2663" w:rsidP="006C2663">
      <w:pPr>
        <w:spacing w:after="0" w:line="240" w:lineRule="auto"/>
        <w:rPr>
          <w:rFonts w:ascii="Gill Sans MT" w:hAnsi="Gill Sans MT"/>
          <w:i/>
        </w:rPr>
      </w:pPr>
      <w:r w:rsidRPr="00B36F75">
        <w:rPr>
          <w:rFonts w:ascii="Gill Sans MT" w:hAnsi="Gill Sans MT"/>
          <w:i/>
        </w:rPr>
        <w:t>Cost effectiveness analysis: Complete case analysis</w:t>
      </w:r>
    </w:p>
    <w:p w:rsidR="006C2663" w:rsidRPr="00B36F75" w:rsidRDefault="006C2663" w:rsidP="006C2663">
      <w:pPr>
        <w:spacing w:after="0" w:line="240" w:lineRule="auto"/>
        <w:rPr>
          <w:rFonts w:ascii="Gill Sans MT" w:hAnsi="Gill Sans MT"/>
          <w:b/>
          <w:i/>
        </w:rPr>
      </w:pPr>
    </w:p>
    <w:p w:rsidR="006C2663" w:rsidRPr="00B36F75" w:rsidRDefault="006C2663" w:rsidP="006C2663">
      <w:pPr>
        <w:spacing w:after="0" w:line="240" w:lineRule="auto"/>
        <w:rPr>
          <w:rFonts w:ascii="Gill Sans MT" w:hAnsi="Gill Sans MT"/>
        </w:rPr>
      </w:pPr>
      <w:r w:rsidRPr="00B36F75">
        <w:rPr>
          <w:rFonts w:ascii="Gill Sans MT" w:hAnsi="Gill Sans MT"/>
        </w:rPr>
        <w:t xml:space="preserve">Table </w:t>
      </w:r>
      <w:r w:rsidR="00C64B79">
        <w:rPr>
          <w:rFonts w:ascii="Gill Sans MT" w:hAnsi="Gill Sans MT"/>
        </w:rPr>
        <w:t>B</w:t>
      </w:r>
      <w:r w:rsidRPr="00B36F75">
        <w:rPr>
          <w:rFonts w:ascii="Gill Sans MT" w:hAnsi="Gill Sans MT"/>
        </w:rPr>
        <w:t xml:space="preserve"> presents the adjusted estimates of the effect of the offer of health coaching on the incremental costs and QALYs over and above usual care in the complete case sample.</w:t>
      </w:r>
    </w:p>
    <w:p w:rsidR="006C2663" w:rsidRPr="00B36F75" w:rsidRDefault="006C2663" w:rsidP="006C2663">
      <w:pPr>
        <w:spacing w:after="0" w:line="240" w:lineRule="auto"/>
        <w:rPr>
          <w:rFonts w:ascii="Gill Sans MT" w:hAnsi="Gill Sans MT"/>
        </w:rPr>
      </w:pPr>
    </w:p>
    <w:p w:rsidR="006C2663" w:rsidRDefault="006C2663" w:rsidP="006C2663">
      <w:pPr>
        <w:spacing w:after="0" w:line="240" w:lineRule="auto"/>
        <w:rPr>
          <w:rFonts w:ascii="Gill Sans MT" w:hAnsi="Gill Sans MT"/>
        </w:rPr>
      </w:pPr>
      <w:r w:rsidRPr="00B36F75">
        <w:rPr>
          <w:rFonts w:ascii="Gill Sans MT" w:hAnsi="Gill Sans MT"/>
        </w:rPr>
        <w:t>Health coaching is associated with a mean incremental cost of £49</w:t>
      </w:r>
      <w:r>
        <w:rPr>
          <w:rFonts w:ascii="Gill Sans MT" w:hAnsi="Gill Sans MT"/>
        </w:rPr>
        <w:t>7</w:t>
      </w:r>
      <w:r w:rsidRPr="00B36F75">
        <w:rPr>
          <w:rFonts w:ascii="Gill Sans MT" w:hAnsi="Gill Sans MT"/>
        </w:rPr>
        <w:t>.</w:t>
      </w:r>
      <w:r>
        <w:rPr>
          <w:rFonts w:ascii="Gill Sans MT" w:hAnsi="Gill Sans MT"/>
        </w:rPr>
        <w:t>99</w:t>
      </w:r>
      <w:r w:rsidRPr="00B36F75">
        <w:rPr>
          <w:rFonts w:ascii="Gill Sans MT" w:hAnsi="Gill Sans MT"/>
        </w:rPr>
        <w:t xml:space="preserve"> (95% CI: £-189.</w:t>
      </w:r>
      <w:r>
        <w:rPr>
          <w:rFonts w:ascii="Gill Sans MT" w:hAnsi="Gill Sans MT"/>
        </w:rPr>
        <w:t>19</w:t>
      </w:r>
      <w:r w:rsidRPr="00B36F75">
        <w:rPr>
          <w:rFonts w:ascii="Gill Sans MT" w:hAnsi="Gill Sans MT"/>
        </w:rPr>
        <w:t>, £1,185.</w:t>
      </w:r>
      <w:r>
        <w:rPr>
          <w:rFonts w:ascii="Gill Sans MT" w:hAnsi="Gill Sans MT"/>
        </w:rPr>
        <w:t>19</w:t>
      </w:r>
      <w:r w:rsidRPr="00B36F75">
        <w:rPr>
          <w:rFonts w:ascii="Gill Sans MT" w:hAnsi="Gill Sans MT"/>
        </w:rPr>
        <w:t>). Whilst higher than the incremental cost associated with health coaching in the full sample with imputation, this difference in cost between arms still does not reach statistical significance. The incremental QALY estimate is also higher 0.037 (95% CI: 0.0037, 0.070), indicating that there was a significant QALY gain associat</w:t>
      </w:r>
      <w:bookmarkStart w:id="0" w:name="_GoBack"/>
      <w:bookmarkEnd w:id="0"/>
      <w:r w:rsidRPr="00B36F75">
        <w:rPr>
          <w:rFonts w:ascii="Gill Sans MT" w:hAnsi="Gill Sans MT"/>
        </w:rPr>
        <w:t>ed with health coaching amongst the complete case sample. This results in an ICER of £13,</w:t>
      </w:r>
      <w:r>
        <w:rPr>
          <w:rFonts w:ascii="Gill Sans MT" w:hAnsi="Gill Sans MT"/>
        </w:rPr>
        <w:t>506.27</w:t>
      </w:r>
      <w:r w:rsidRPr="00B36F75">
        <w:rPr>
          <w:rFonts w:ascii="Gill Sans MT" w:hAnsi="Gill Sans MT"/>
        </w:rPr>
        <w:t xml:space="preserve"> per QALY, which is again below the lower bound of recommended cost-effectiveness thresholds. It is again important to examine the uncertainty around these point estimates in probabilistic terms. </w:t>
      </w:r>
    </w:p>
    <w:p w:rsidR="006C2663" w:rsidRDefault="006C2663" w:rsidP="006C2663">
      <w:pPr>
        <w:spacing w:after="0" w:line="240" w:lineRule="auto"/>
        <w:rPr>
          <w:rFonts w:ascii="Gill Sans MT" w:hAnsi="Gill Sans MT"/>
        </w:rPr>
      </w:pPr>
    </w:p>
    <w:p w:rsidR="006C2663" w:rsidRDefault="006C2663" w:rsidP="006C2663">
      <w:pPr>
        <w:spacing w:after="0" w:line="240" w:lineRule="auto"/>
        <w:rPr>
          <w:rFonts w:ascii="Gill Sans MT" w:hAnsi="Gill Sans MT"/>
        </w:rPr>
      </w:pPr>
      <w:r w:rsidRPr="00B36F75">
        <w:rPr>
          <w:rFonts w:ascii="Gill Sans MT" w:hAnsi="Gill Sans MT"/>
        </w:rPr>
        <w:t xml:space="preserve">Figure </w:t>
      </w:r>
      <w:r w:rsidR="00C64B79">
        <w:rPr>
          <w:rFonts w:ascii="Gill Sans MT" w:hAnsi="Gill Sans MT"/>
        </w:rPr>
        <w:t>A</w:t>
      </w:r>
      <w:r w:rsidRPr="00B36F75">
        <w:rPr>
          <w:rFonts w:ascii="Gill Sans MT" w:hAnsi="Gill Sans MT"/>
        </w:rPr>
        <w:t xml:space="preserve"> shows that the bootstrapped replications are again clustered predominantly in the north-west quadrant. There is notable shift north above the x axis and to the right of the y axis compared to the full sample with imputation, as even more of the replications now fall into this quadrant, representing incremental increases in both costs and QALYs above usual care. Health coaching was more costly in </w:t>
      </w:r>
      <w:r>
        <w:rPr>
          <w:rFonts w:ascii="Gill Sans MT" w:hAnsi="Gill Sans MT"/>
        </w:rPr>
        <w:t>93</w:t>
      </w:r>
      <w:r w:rsidRPr="00B36F75">
        <w:rPr>
          <w:rFonts w:ascii="Gill Sans MT" w:hAnsi="Gill Sans MT"/>
        </w:rPr>
        <w:t xml:space="preserve">% of replications, and lead to an incremental QALY gain in </w:t>
      </w:r>
      <w:r>
        <w:rPr>
          <w:rFonts w:ascii="Gill Sans MT" w:hAnsi="Gill Sans MT"/>
        </w:rPr>
        <w:t>99</w:t>
      </w:r>
      <w:r w:rsidRPr="00B36F75">
        <w:rPr>
          <w:rFonts w:ascii="Gill Sans MT" w:hAnsi="Gill Sans MT"/>
        </w:rPr>
        <w:t xml:space="preserve">% of replications. </w:t>
      </w:r>
    </w:p>
    <w:p w:rsidR="006C2663" w:rsidRDefault="006C2663" w:rsidP="006C2663">
      <w:pPr>
        <w:spacing w:after="0" w:line="240" w:lineRule="auto"/>
        <w:rPr>
          <w:rFonts w:ascii="Gill Sans MT" w:hAnsi="Gill Sans MT"/>
        </w:rPr>
      </w:pPr>
    </w:p>
    <w:p w:rsidR="006C2663" w:rsidRDefault="006C2663" w:rsidP="006C2663">
      <w:pPr>
        <w:spacing w:after="0" w:line="240" w:lineRule="auto"/>
        <w:rPr>
          <w:rFonts w:ascii="Gill Sans MT" w:hAnsi="Gill Sans MT"/>
        </w:rPr>
      </w:pPr>
      <w:r w:rsidRPr="00B36F75">
        <w:rPr>
          <w:rFonts w:ascii="Gill Sans MT" w:hAnsi="Gill Sans MT"/>
        </w:rPr>
        <w:t xml:space="preserve">The CEAC illustrates that at the lower bound (£20,000 per QALY), there is a </w:t>
      </w:r>
      <w:r>
        <w:rPr>
          <w:rFonts w:ascii="Gill Sans MT" w:hAnsi="Gill Sans MT"/>
        </w:rPr>
        <w:t>67</w:t>
      </w:r>
      <w:r w:rsidRPr="00B36F75">
        <w:rPr>
          <w:rFonts w:ascii="Gill Sans MT" w:hAnsi="Gill Sans MT"/>
        </w:rPr>
        <w:t xml:space="preserve">% probability that P health coaching is cost-effective, rising to 82% at the upper bound of £30,000 (Figure </w:t>
      </w:r>
      <w:r w:rsidR="00C64B79">
        <w:rPr>
          <w:rFonts w:ascii="Gill Sans MT" w:hAnsi="Gill Sans MT"/>
        </w:rPr>
        <w:t>B</w:t>
      </w:r>
      <w:r w:rsidRPr="00B36F75">
        <w:rPr>
          <w:rFonts w:ascii="Gill Sans MT" w:hAnsi="Gill Sans MT"/>
        </w:rPr>
        <w:t>). Compared with usual care, health coaching is likely to be cost-effective in 50% or more cases if decision makers are willing to pay £13,5</w:t>
      </w:r>
      <w:r>
        <w:rPr>
          <w:rFonts w:ascii="Gill Sans MT" w:hAnsi="Gill Sans MT"/>
        </w:rPr>
        <w:t>70</w:t>
      </w:r>
      <w:r w:rsidRPr="00B36F75">
        <w:rPr>
          <w:rFonts w:ascii="Gill Sans MT" w:hAnsi="Gill Sans MT"/>
        </w:rPr>
        <w:t xml:space="preserve"> or more for one QALY.</w:t>
      </w:r>
    </w:p>
    <w:p w:rsidR="006C2663" w:rsidRDefault="006C2663" w:rsidP="006C2663">
      <w:pPr>
        <w:spacing w:after="0" w:line="240" w:lineRule="auto"/>
        <w:rPr>
          <w:rFonts w:ascii="Gill Sans MT" w:hAnsi="Gill Sans MT"/>
        </w:rPr>
      </w:pPr>
    </w:p>
    <w:p w:rsidR="00007D1E" w:rsidRDefault="008F025D"/>
    <w:p w:rsidR="00B55165" w:rsidRDefault="00B55165"/>
    <w:p w:rsidR="00B55165" w:rsidRDefault="00B55165"/>
    <w:p w:rsidR="00B55165" w:rsidRDefault="00B55165"/>
    <w:p w:rsidR="00B55165" w:rsidRDefault="00B55165"/>
    <w:p w:rsidR="00B55165" w:rsidRDefault="00B55165"/>
    <w:p w:rsidR="00B55165" w:rsidRDefault="00B55165"/>
    <w:p w:rsidR="00B55165" w:rsidRDefault="00B55165"/>
    <w:p w:rsidR="00B55165" w:rsidRDefault="00B55165"/>
    <w:p w:rsidR="00B55165" w:rsidRDefault="00B55165"/>
    <w:p w:rsidR="00B55165" w:rsidRDefault="00B55165"/>
    <w:p w:rsidR="00B55165" w:rsidRDefault="00B55165"/>
    <w:p w:rsidR="00B55165" w:rsidRDefault="00B55165" w:rsidP="00B55165">
      <w:pPr>
        <w:spacing w:after="0" w:line="240" w:lineRule="auto"/>
        <w:rPr>
          <w:rFonts w:ascii="Gill Sans MT" w:hAnsi="Gill Sans MT"/>
          <w:b/>
        </w:rPr>
      </w:pPr>
    </w:p>
    <w:p w:rsidR="00B55165" w:rsidRDefault="00B55165" w:rsidP="00B55165">
      <w:pPr>
        <w:spacing w:after="0" w:line="240" w:lineRule="auto"/>
        <w:rPr>
          <w:rFonts w:ascii="Gill Sans MT" w:hAnsi="Gill Sans MT"/>
          <w:b/>
        </w:rPr>
      </w:pPr>
    </w:p>
    <w:p w:rsidR="00B55165" w:rsidRDefault="00B55165" w:rsidP="00B55165">
      <w:pPr>
        <w:spacing w:after="0" w:line="240" w:lineRule="auto"/>
        <w:rPr>
          <w:rFonts w:ascii="Gill Sans MT" w:hAnsi="Gill Sans MT"/>
          <w:b/>
        </w:rPr>
      </w:pPr>
    </w:p>
    <w:p w:rsidR="00B55165" w:rsidRDefault="00B55165" w:rsidP="00B55165">
      <w:pPr>
        <w:spacing w:after="0" w:line="240" w:lineRule="auto"/>
        <w:rPr>
          <w:rFonts w:ascii="Gill Sans MT" w:hAnsi="Gill Sans MT"/>
          <w:b/>
        </w:rPr>
      </w:pPr>
    </w:p>
    <w:p w:rsidR="00B55165" w:rsidRDefault="00B55165" w:rsidP="00B55165">
      <w:pPr>
        <w:spacing w:after="0" w:line="240" w:lineRule="auto"/>
        <w:rPr>
          <w:rFonts w:ascii="Gill Sans MT" w:hAnsi="Gill Sans MT"/>
          <w:b/>
        </w:rPr>
      </w:pPr>
    </w:p>
    <w:p w:rsidR="00B55165" w:rsidRPr="00E34A1A" w:rsidRDefault="00B55165" w:rsidP="00B55165">
      <w:pPr>
        <w:spacing w:after="0" w:line="240" w:lineRule="auto"/>
        <w:rPr>
          <w:rFonts w:ascii="Gill Sans MT" w:hAnsi="Gill Sans MT"/>
          <w:b/>
        </w:rPr>
      </w:pPr>
      <w:r w:rsidRPr="00E34A1A">
        <w:rPr>
          <w:rFonts w:ascii="Gill Sans MT" w:hAnsi="Gill Sans MT"/>
          <w:b/>
        </w:rPr>
        <w:lastRenderedPageBreak/>
        <w:t>T</w:t>
      </w:r>
      <w:r w:rsidR="00827BCF">
        <w:rPr>
          <w:rFonts w:ascii="Gill Sans MT" w:hAnsi="Gill Sans MT"/>
          <w:b/>
        </w:rPr>
        <w:t>able B</w:t>
      </w:r>
      <w:r w:rsidR="00A72D2E">
        <w:rPr>
          <w:rFonts w:ascii="Gill Sans MT" w:hAnsi="Gill Sans MT"/>
          <w:b/>
        </w:rPr>
        <w:t>:</w:t>
      </w:r>
      <w:r w:rsidRPr="00E34A1A">
        <w:rPr>
          <w:rFonts w:ascii="Gill Sans MT" w:hAnsi="Gill Sans MT"/>
          <w:b/>
        </w:rPr>
        <w:t xml:space="preserve"> Cost-effectiveness analysis results: complete case sample</w:t>
      </w:r>
    </w:p>
    <w:p w:rsidR="00B55165" w:rsidRDefault="00B55165" w:rsidP="00B55165">
      <w:pPr>
        <w:spacing w:after="0" w:line="240" w:lineRule="auto"/>
        <w:rPr>
          <w:rFonts w:ascii="Gill Sans MT" w:hAnsi="Gill Sans MT"/>
        </w:rPr>
      </w:pPr>
    </w:p>
    <w:tbl>
      <w:tblPr>
        <w:tblStyle w:val="TableGrid"/>
        <w:tblpPr w:leftFromText="180" w:rightFromText="180" w:vertAnchor="text" w:horzAnchor="margin" w:tblpY="224"/>
        <w:tblW w:w="9045" w:type="dxa"/>
        <w:tblBorders>
          <w:insideH w:val="single" w:sz="6" w:space="0" w:color="auto"/>
          <w:insideV w:val="single" w:sz="6" w:space="0" w:color="auto"/>
        </w:tblBorders>
        <w:tblLayout w:type="fixed"/>
        <w:tblLook w:val="04A0" w:firstRow="1" w:lastRow="0" w:firstColumn="1" w:lastColumn="0" w:noHBand="0" w:noVBand="1"/>
      </w:tblPr>
      <w:tblGrid>
        <w:gridCol w:w="2804"/>
        <w:gridCol w:w="1843"/>
        <w:gridCol w:w="1702"/>
        <w:gridCol w:w="1419"/>
        <w:gridCol w:w="1277"/>
      </w:tblGrid>
      <w:tr w:rsidR="00B55165" w:rsidRPr="00B36F75" w:rsidTr="002A7A62">
        <w:tc>
          <w:tcPr>
            <w:tcW w:w="2804" w:type="dxa"/>
            <w:tcBorders>
              <w:top w:val="single" w:sz="4" w:space="0" w:color="auto"/>
              <w:left w:val="single" w:sz="4" w:space="0" w:color="auto"/>
              <w:bottom w:val="single" w:sz="6" w:space="0" w:color="auto"/>
              <w:right w:val="single" w:sz="6" w:space="0" w:color="auto"/>
            </w:tcBorders>
            <w:hideMark/>
          </w:tcPr>
          <w:p w:rsidR="00B55165" w:rsidRPr="00B36F75" w:rsidRDefault="00B55165" w:rsidP="002A7A62">
            <w:pPr>
              <w:rPr>
                <w:rFonts w:ascii="Gill Sans MT" w:hAnsi="Gill Sans MT"/>
                <w:b/>
              </w:rPr>
            </w:pPr>
            <w:r w:rsidRPr="00B36F75">
              <w:rPr>
                <w:rFonts w:ascii="Gill Sans MT" w:hAnsi="Gill Sans MT"/>
                <w:b/>
              </w:rPr>
              <w:t>Health coaching  (n=206) over usual care (n=378)</w:t>
            </w:r>
          </w:p>
        </w:tc>
        <w:tc>
          <w:tcPr>
            <w:tcW w:w="1843" w:type="dxa"/>
            <w:tcBorders>
              <w:top w:val="single" w:sz="4" w:space="0" w:color="auto"/>
              <w:left w:val="single" w:sz="6" w:space="0" w:color="auto"/>
              <w:bottom w:val="single" w:sz="6" w:space="0" w:color="auto"/>
              <w:right w:val="single" w:sz="6" w:space="0" w:color="auto"/>
            </w:tcBorders>
            <w:hideMark/>
          </w:tcPr>
          <w:p w:rsidR="00B55165" w:rsidRPr="00B36F75" w:rsidRDefault="00B55165" w:rsidP="002A7A62">
            <w:pPr>
              <w:rPr>
                <w:rFonts w:ascii="Gill Sans MT" w:hAnsi="Gill Sans MT"/>
                <w:b/>
              </w:rPr>
            </w:pPr>
            <w:r w:rsidRPr="00B36F75">
              <w:rPr>
                <w:rFonts w:ascii="Gill Sans MT" w:hAnsi="Gill Sans MT"/>
                <w:b/>
              </w:rPr>
              <w:t>Mean</w:t>
            </w:r>
          </w:p>
        </w:tc>
        <w:tc>
          <w:tcPr>
            <w:tcW w:w="1702" w:type="dxa"/>
            <w:tcBorders>
              <w:top w:val="single" w:sz="4" w:space="0" w:color="auto"/>
              <w:left w:val="single" w:sz="6" w:space="0" w:color="auto"/>
              <w:bottom w:val="single" w:sz="6" w:space="0" w:color="auto"/>
              <w:right w:val="single" w:sz="6" w:space="0" w:color="auto"/>
            </w:tcBorders>
            <w:hideMark/>
          </w:tcPr>
          <w:p w:rsidR="00B55165" w:rsidRPr="00B36F75" w:rsidRDefault="00B55165" w:rsidP="002A7A62">
            <w:pPr>
              <w:rPr>
                <w:rFonts w:ascii="Gill Sans MT" w:hAnsi="Gill Sans MT"/>
                <w:b/>
              </w:rPr>
            </w:pPr>
            <w:r w:rsidRPr="00B36F75">
              <w:rPr>
                <w:rFonts w:ascii="Gill Sans MT" w:hAnsi="Gill Sans MT"/>
                <w:b/>
              </w:rPr>
              <w:t>Bootstrapped standard error</w:t>
            </w:r>
          </w:p>
        </w:tc>
        <w:tc>
          <w:tcPr>
            <w:tcW w:w="2696" w:type="dxa"/>
            <w:gridSpan w:val="2"/>
            <w:tcBorders>
              <w:top w:val="single" w:sz="4" w:space="0" w:color="auto"/>
              <w:left w:val="single" w:sz="6" w:space="0" w:color="auto"/>
              <w:bottom w:val="single" w:sz="6" w:space="0" w:color="auto"/>
              <w:right w:val="single" w:sz="4" w:space="0" w:color="auto"/>
            </w:tcBorders>
            <w:hideMark/>
          </w:tcPr>
          <w:p w:rsidR="00B55165" w:rsidRPr="00B36F75" w:rsidRDefault="00B55165" w:rsidP="002A7A62">
            <w:pPr>
              <w:rPr>
                <w:rFonts w:ascii="Gill Sans MT" w:hAnsi="Gill Sans MT"/>
                <w:b/>
              </w:rPr>
            </w:pPr>
            <w:r w:rsidRPr="00B36F75">
              <w:rPr>
                <w:rFonts w:ascii="Gill Sans MT" w:hAnsi="Gill Sans MT"/>
                <w:b/>
              </w:rPr>
              <w:t>Bootstrapped 95% CI</w:t>
            </w:r>
          </w:p>
        </w:tc>
      </w:tr>
      <w:tr w:rsidR="00B55165" w:rsidRPr="00B36F75" w:rsidTr="002A7A62">
        <w:tc>
          <w:tcPr>
            <w:tcW w:w="2804" w:type="dxa"/>
            <w:tcBorders>
              <w:top w:val="single" w:sz="6" w:space="0" w:color="auto"/>
              <w:left w:val="single" w:sz="4" w:space="0" w:color="auto"/>
              <w:bottom w:val="single" w:sz="6" w:space="0" w:color="auto"/>
              <w:right w:val="single" w:sz="6" w:space="0" w:color="auto"/>
            </w:tcBorders>
            <w:hideMark/>
          </w:tcPr>
          <w:p w:rsidR="00B55165" w:rsidRDefault="00B55165" w:rsidP="002A7A62">
            <w:pPr>
              <w:rPr>
                <w:rFonts w:ascii="Gill Sans MT" w:hAnsi="Gill Sans MT"/>
              </w:rPr>
            </w:pPr>
            <w:r w:rsidRPr="00B36F75">
              <w:rPr>
                <w:rFonts w:ascii="Gill Sans MT" w:hAnsi="Gill Sans MT"/>
              </w:rPr>
              <w:t>Incremental cost (£)</w:t>
            </w:r>
          </w:p>
          <w:p w:rsidR="00B55165" w:rsidRPr="00B36F75" w:rsidRDefault="00B55165" w:rsidP="002A7A62">
            <w:pPr>
              <w:rPr>
                <w:rFonts w:ascii="Gill Sans MT" w:hAnsi="Gill Sans MT"/>
              </w:rPr>
            </w:pPr>
          </w:p>
        </w:tc>
        <w:tc>
          <w:tcPr>
            <w:tcW w:w="1843" w:type="dxa"/>
            <w:tcBorders>
              <w:top w:val="single" w:sz="6" w:space="0" w:color="auto"/>
              <w:left w:val="single" w:sz="6" w:space="0" w:color="auto"/>
              <w:bottom w:val="single" w:sz="6" w:space="0" w:color="auto"/>
              <w:right w:val="single" w:sz="6" w:space="0" w:color="auto"/>
            </w:tcBorders>
            <w:hideMark/>
          </w:tcPr>
          <w:p w:rsidR="00B55165" w:rsidRPr="008330EF" w:rsidRDefault="00B55165" w:rsidP="002A7A62">
            <w:pPr>
              <w:jc w:val="center"/>
              <w:rPr>
                <w:rFonts w:ascii="Gill Sans MT" w:hAnsi="Gill Sans MT"/>
                <w:color w:val="000000"/>
              </w:rPr>
            </w:pPr>
            <w:r w:rsidRPr="008330EF">
              <w:rPr>
                <w:rFonts w:ascii="Gill Sans MT" w:hAnsi="Gill Sans MT"/>
                <w:color w:val="000000"/>
              </w:rPr>
              <w:t>497.998</w:t>
            </w:r>
          </w:p>
        </w:tc>
        <w:tc>
          <w:tcPr>
            <w:tcW w:w="1702" w:type="dxa"/>
            <w:tcBorders>
              <w:top w:val="single" w:sz="6" w:space="0" w:color="auto"/>
              <w:left w:val="single" w:sz="6" w:space="0" w:color="auto"/>
              <w:bottom w:val="single" w:sz="6" w:space="0" w:color="auto"/>
              <w:right w:val="single" w:sz="6" w:space="0" w:color="auto"/>
            </w:tcBorders>
            <w:hideMark/>
          </w:tcPr>
          <w:p w:rsidR="00B55165" w:rsidRPr="008330EF" w:rsidRDefault="00B55165" w:rsidP="002A7A62">
            <w:pPr>
              <w:jc w:val="center"/>
              <w:rPr>
                <w:rFonts w:ascii="Gill Sans MT" w:hAnsi="Gill Sans MT"/>
                <w:color w:val="000000"/>
              </w:rPr>
            </w:pPr>
            <w:r w:rsidRPr="008330EF">
              <w:rPr>
                <w:rFonts w:ascii="Gill Sans MT" w:hAnsi="Gill Sans MT"/>
                <w:color w:val="000000"/>
              </w:rPr>
              <w:t>350.6141</w:t>
            </w:r>
          </w:p>
        </w:tc>
        <w:tc>
          <w:tcPr>
            <w:tcW w:w="1419" w:type="dxa"/>
            <w:tcBorders>
              <w:top w:val="single" w:sz="6" w:space="0" w:color="auto"/>
              <w:left w:val="single" w:sz="6" w:space="0" w:color="auto"/>
              <w:bottom w:val="single" w:sz="6" w:space="0" w:color="auto"/>
              <w:right w:val="single" w:sz="6" w:space="0" w:color="auto"/>
            </w:tcBorders>
            <w:hideMark/>
          </w:tcPr>
          <w:p w:rsidR="00B55165" w:rsidRPr="008330EF" w:rsidRDefault="00B55165" w:rsidP="002A7A62">
            <w:pPr>
              <w:jc w:val="center"/>
              <w:rPr>
                <w:rFonts w:ascii="Gill Sans MT" w:hAnsi="Gill Sans MT"/>
                <w:color w:val="000000"/>
              </w:rPr>
            </w:pPr>
            <w:r w:rsidRPr="008330EF">
              <w:rPr>
                <w:rFonts w:ascii="Gill Sans MT" w:hAnsi="Gill Sans MT"/>
                <w:color w:val="000000"/>
              </w:rPr>
              <w:t>-189.193</w:t>
            </w:r>
          </w:p>
        </w:tc>
        <w:tc>
          <w:tcPr>
            <w:tcW w:w="1277" w:type="dxa"/>
            <w:tcBorders>
              <w:top w:val="single" w:sz="6" w:space="0" w:color="auto"/>
              <w:left w:val="single" w:sz="6" w:space="0" w:color="auto"/>
              <w:bottom w:val="single" w:sz="6" w:space="0" w:color="auto"/>
              <w:right w:val="single" w:sz="4" w:space="0" w:color="auto"/>
            </w:tcBorders>
            <w:hideMark/>
          </w:tcPr>
          <w:p w:rsidR="00B55165" w:rsidRPr="008330EF" w:rsidRDefault="00B55165" w:rsidP="002A7A62">
            <w:pPr>
              <w:jc w:val="center"/>
              <w:rPr>
                <w:rFonts w:ascii="Gill Sans MT" w:hAnsi="Gill Sans MT"/>
                <w:color w:val="000000"/>
              </w:rPr>
            </w:pPr>
            <w:r w:rsidRPr="008330EF">
              <w:rPr>
                <w:rFonts w:ascii="Gill Sans MT" w:hAnsi="Gill Sans MT"/>
                <w:color w:val="000000"/>
              </w:rPr>
              <w:t>1185.189</w:t>
            </w:r>
          </w:p>
        </w:tc>
      </w:tr>
      <w:tr w:rsidR="00B55165" w:rsidRPr="00B36F75" w:rsidTr="002A7A62">
        <w:tc>
          <w:tcPr>
            <w:tcW w:w="2804" w:type="dxa"/>
            <w:tcBorders>
              <w:top w:val="single" w:sz="6" w:space="0" w:color="auto"/>
              <w:left w:val="single" w:sz="4" w:space="0" w:color="auto"/>
              <w:bottom w:val="single" w:sz="6" w:space="0" w:color="auto"/>
              <w:right w:val="single" w:sz="6" w:space="0" w:color="auto"/>
            </w:tcBorders>
            <w:hideMark/>
          </w:tcPr>
          <w:p w:rsidR="00B55165" w:rsidRDefault="00B55165" w:rsidP="002A7A62">
            <w:pPr>
              <w:rPr>
                <w:rFonts w:ascii="Gill Sans MT" w:hAnsi="Gill Sans MT"/>
              </w:rPr>
            </w:pPr>
            <w:r w:rsidRPr="00B36F75">
              <w:rPr>
                <w:rFonts w:ascii="Gill Sans MT" w:hAnsi="Gill Sans MT"/>
              </w:rPr>
              <w:t>Incremental QALYs</w:t>
            </w:r>
          </w:p>
          <w:p w:rsidR="00B55165" w:rsidRPr="00B36F75" w:rsidRDefault="00B55165" w:rsidP="002A7A62">
            <w:pPr>
              <w:rPr>
                <w:rFonts w:ascii="Gill Sans MT" w:hAnsi="Gill Sans MT"/>
              </w:rPr>
            </w:pPr>
          </w:p>
        </w:tc>
        <w:tc>
          <w:tcPr>
            <w:tcW w:w="1843" w:type="dxa"/>
            <w:tcBorders>
              <w:top w:val="single" w:sz="6" w:space="0" w:color="auto"/>
              <w:left w:val="single" w:sz="6" w:space="0" w:color="auto"/>
              <w:bottom w:val="single" w:sz="6" w:space="0" w:color="auto"/>
              <w:right w:val="single" w:sz="6" w:space="0" w:color="auto"/>
            </w:tcBorders>
            <w:hideMark/>
          </w:tcPr>
          <w:p w:rsidR="00B55165" w:rsidRPr="008330EF" w:rsidRDefault="00B55165" w:rsidP="002A7A62">
            <w:pPr>
              <w:jc w:val="center"/>
              <w:rPr>
                <w:rFonts w:ascii="Gill Sans MT" w:hAnsi="Gill Sans MT"/>
                <w:color w:val="000000"/>
              </w:rPr>
            </w:pPr>
            <w:r w:rsidRPr="008330EF">
              <w:rPr>
                <w:rFonts w:ascii="Gill Sans MT" w:hAnsi="Gill Sans MT"/>
                <w:color w:val="000000"/>
              </w:rPr>
              <w:t>0.037</w:t>
            </w:r>
          </w:p>
        </w:tc>
        <w:tc>
          <w:tcPr>
            <w:tcW w:w="1702" w:type="dxa"/>
            <w:tcBorders>
              <w:top w:val="single" w:sz="6" w:space="0" w:color="auto"/>
              <w:left w:val="single" w:sz="6" w:space="0" w:color="auto"/>
              <w:bottom w:val="single" w:sz="6" w:space="0" w:color="auto"/>
              <w:right w:val="single" w:sz="6" w:space="0" w:color="auto"/>
            </w:tcBorders>
            <w:hideMark/>
          </w:tcPr>
          <w:p w:rsidR="00B55165" w:rsidRPr="008330EF" w:rsidRDefault="00B55165" w:rsidP="002A7A62">
            <w:pPr>
              <w:jc w:val="center"/>
              <w:rPr>
                <w:rFonts w:ascii="Gill Sans MT" w:hAnsi="Gill Sans MT"/>
                <w:color w:val="000000"/>
              </w:rPr>
            </w:pPr>
            <w:r w:rsidRPr="008330EF">
              <w:rPr>
                <w:rFonts w:ascii="Gill Sans MT" w:hAnsi="Gill Sans MT"/>
                <w:color w:val="000000"/>
              </w:rPr>
              <w:t>0.016947</w:t>
            </w:r>
          </w:p>
        </w:tc>
        <w:tc>
          <w:tcPr>
            <w:tcW w:w="1419" w:type="dxa"/>
            <w:tcBorders>
              <w:top w:val="single" w:sz="6" w:space="0" w:color="auto"/>
              <w:left w:val="single" w:sz="6" w:space="0" w:color="auto"/>
              <w:bottom w:val="single" w:sz="6" w:space="0" w:color="auto"/>
              <w:right w:val="single" w:sz="6" w:space="0" w:color="auto"/>
            </w:tcBorders>
            <w:hideMark/>
          </w:tcPr>
          <w:p w:rsidR="00B55165" w:rsidRPr="008330EF" w:rsidRDefault="00B55165" w:rsidP="002A7A62">
            <w:pPr>
              <w:jc w:val="center"/>
              <w:rPr>
                <w:rFonts w:ascii="Gill Sans MT" w:hAnsi="Gill Sans MT"/>
                <w:color w:val="000000"/>
              </w:rPr>
            </w:pPr>
            <w:r w:rsidRPr="008330EF">
              <w:rPr>
                <w:rFonts w:ascii="Gill Sans MT" w:hAnsi="Gill Sans MT"/>
                <w:color w:val="000000"/>
              </w:rPr>
              <w:t>0.003656</w:t>
            </w:r>
          </w:p>
        </w:tc>
        <w:tc>
          <w:tcPr>
            <w:tcW w:w="1277" w:type="dxa"/>
            <w:tcBorders>
              <w:top w:val="single" w:sz="6" w:space="0" w:color="auto"/>
              <w:left w:val="single" w:sz="6" w:space="0" w:color="auto"/>
              <w:bottom w:val="single" w:sz="6" w:space="0" w:color="auto"/>
              <w:right w:val="single" w:sz="4" w:space="0" w:color="auto"/>
            </w:tcBorders>
            <w:hideMark/>
          </w:tcPr>
          <w:p w:rsidR="00B55165" w:rsidRPr="008330EF" w:rsidRDefault="00B55165" w:rsidP="002A7A62">
            <w:pPr>
              <w:jc w:val="center"/>
              <w:rPr>
                <w:rFonts w:ascii="Gill Sans MT" w:hAnsi="Gill Sans MT"/>
                <w:color w:val="000000"/>
              </w:rPr>
            </w:pPr>
            <w:r w:rsidRPr="008330EF">
              <w:rPr>
                <w:rFonts w:ascii="Gill Sans MT" w:hAnsi="Gill Sans MT"/>
                <w:color w:val="000000"/>
              </w:rPr>
              <w:t>0.070088</w:t>
            </w:r>
          </w:p>
        </w:tc>
      </w:tr>
      <w:tr w:rsidR="00B55165" w:rsidRPr="00B36F75" w:rsidTr="002A7A62">
        <w:tc>
          <w:tcPr>
            <w:tcW w:w="2804" w:type="dxa"/>
            <w:tcBorders>
              <w:top w:val="single" w:sz="6" w:space="0" w:color="auto"/>
              <w:left w:val="single" w:sz="4" w:space="0" w:color="auto"/>
              <w:bottom w:val="single" w:sz="4" w:space="0" w:color="auto"/>
              <w:right w:val="single" w:sz="6" w:space="0" w:color="auto"/>
            </w:tcBorders>
            <w:hideMark/>
          </w:tcPr>
          <w:p w:rsidR="00B55165" w:rsidRDefault="00B55165" w:rsidP="002A7A62">
            <w:pPr>
              <w:rPr>
                <w:rFonts w:ascii="Gill Sans MT" w:hAnsi="Gill Sans MT"/>
                <w:b/>
              </w:rPr>
            </w:pPr>
            <w:r w:rsidRPr="00B36F75">
              <w:rPr>
                <w:rFonts w:ascii="Gill Sans MT" w:hAnsi="Gill Sans MT"/>
                <w:b/>
              </w:rPr>
              <w:t>ICER</w:t>
            </w:r>
          </w:p>
          <w:p w:rsidR="00B55165" w:rsidRPr="00B36F75" w:rsidRDefault="00B55165" w:rsidP="002A7A62">
            <w:pPr>
              <w:rPr>
                <w:rFonts w:ascii="Gill Sans MT" w:hAnsi="Gill Sans MT"/>
                <w:b/>
              </w:rPr>
            </w:pPr>
          </w:p>
        </w:tc>
        <w:tc>
          <w:tcPr>
            <w:tcW w:w="1843" w:type="dxa"/>
            <w:tcBorders>
              <w:top w:val="single" w:sz="6" w:space="0" w:color="auto"/>
              <w:left w:val="single" w:sz="6" w:space="0" w:color="auto"/>
              <w:bottom w:val="single" w:sz="4" w:space="0" w:color="auto"/>
              <w:right w:val="single" w:sz="6" w:space="0" w:color="auto"/>
            </w:tcBorders>
            <w:hideMark/>
          </w:tcPr>
          <w:p w:rsidR="00B55165" w:rsidRPr="008330EF" w:rsidRDefault="00B55165" w:rsidP="002A7A62">
            <w:pPr>
              <w:jc w:val="center"/>
              <w:rPr>
                <w:rFonts w:ascii="Gill Sans MT" w:hAnsi="Gill Sans MT"/>
                <w:b/>
                <w:color w:val="000000"/>
              </w:rPr>
            </w:pPr>
            <w:r w:rsidRPr="008330EF">
              <w:rPr>
                <w:rFonts w:ascii="Gill Sans MT" w:hAnsi="Gill Sans MT"/>
                <w:b/>
                <w:color w:val="000000"/>
              </w:rPr>
              <w:t>£13,506.27</w:t>
            </w:r>
          </w:p>
          <w:p w:rsidR="00B55165" w:rsidRPr="008330EF" w:rsidRDefault="00B55165" w:rsidP="002A7A62">
            <w:pPr>
              <w:jc w:val="center"/>
              <w:rPr>
                <w:rFonts w:ascii="Gill Sans MT" w:hAnsi="Gill Sans MT"/>
                <w:b/>
              </w:rPr>
            </w:pPr>
          </w:p>
        </w:tc>
        <w:tc>
          <w:tcPr>
            <w:tcW w:w="1702" w:type="dxa"/>
            <w:tcBorders>
              <w:top w:val="single" w:sz="6" w:space="0" w:color="auto"/>
              <w:left w:val="single" w:sz="6" w:space="0" w:color="auto"/>
              <w:bottom w:val="single" w:sz="4" w:space="0" w:color="auto"/>
              <w:right w:val="single" w:sz="6" w:space="0" w:color="auto"/>
            </w:tcBorders>
          </w:tcPr>
          <w:p w:rsidR="00B55165" w:rsidRPr="008330EF" w:rsidRDefault="00B55165" w:rsidP="002A7A62">
            <w:pPr>
              <w:rPr>
                <w:rFonts w:ascii="Gill Sans MT" w:hAnsi="Gill Sans MT"/>
              </w:rPr>
            </w:pPr>
          </w:p>
        </w:tc>
        <w:tc>
          <w:tcPr>
            <w:tcW w:w="1419" w:type="dxa"/>
            <w:tcBorders>
              <w:top w:val="single" w:sz="6" w:space="0" w:color="auto"/>
              <w:left w:val="single" w:sz="6" w:space="0" w:color="auto"/>
              <w:bottom w:val="single" w:sz="4" w:space="0" w:color="auto"/>
              <w:right w:val="single" w:sz="6" w:space="0" w:color="auto"/>
            </w:tcBorders>
          </w:tcPr>
          <w:p w:rsidR="00B55165" w:rsidRPr="008330EF" w:rsidRDefault="00B55165" w:rsidP="002A7A62">
            <w:pPr>
              <w:rPr>
                <w:rFonts w:ascii="Gill Sans MT" w:hAnsi="Gill Sans MT"/>
              </w:rPr>
            </w:pPr>
          </w:p>
        </w:tc>
        <w:tc>
          <w:tcPr>
            <w:tcW w:w="1277" w:type="dxa"/>
            <w:tcBorders>
              <w:top w:val="single" w:sz="6" w:space="0" w:color="auto"/>
              <w:left w:val="single" w:sz="6" w:space="0" w:color="auto"/>
              <w:bottom w:val="single" w:sz="4" w:space="0" w:color="auto"/>
              <w:right w:val="single" w:sz="4" w:space="0" w:color="auto"/>
            </w:tcBorders>
          </w:tcPr>
          <w:p w:rsidR="00B55165" w:rsidRPr="008330EF" w:rsidRDefault="00B55165" w:rsidP="002A7A62">
            <w:pPr>
              <w:rPr>
                <w:rFonts w:ascii="Gill Sans MT" w:hAnsi="Gill Sans MT"/>
              </w:rPr>
            </w:pPr>
          </w:p>
        </w:tc>
      </w:tr>
    </w:tbl>
    <w:p w:rsidR="00B55165" w:rsidRDefault="00B55165" w:rsidP="00B55165"/>
    <w:p w:rsidR="00B55165" w:rsidRDefault="00B55165"/>
    <w:p w:rsidR="00B55165" w:rsidRDefault="00B55165"/>
    <w:p w:rsidR="00B55165" w:rsidRDefault="00B55165"/>
    <w:p w:rsidR="00B55165" w:rsidRDefault="00B55165"/>
    <w:p w:rsidR="00B55165" w:rsidRDefault="00B55165"/>
    <w:p w:rsidR="00B55165" w:rsidRDefault="00B55165"/>
    <w:p w:rsidR="00B55165" w:rsidRDefault="00B55165"/>
    <w:p w:rsidR="00B55165" w:rsidRDefault="00B55165"/>
    <w:p w:rsidR="00B55165" w:rsidRDefault="00B55165"/>
    <w:p w:rsidR="00B55165" w:rsidRDefault="00B55165"/>
    <w:p w:rsidR="00B55165" w:rsidRDefault="00B55165"/>
    <w:p w:rsidR="00B55165" w:rsidRDefault="00B55165"/>
    <w:p w:rsidR="00B55165" w:rsidRDefault="00B55165"/>
    <w:p w:rsidR="00B55165" w:rsidRDefault="00B55165"/>
    <w:p w:rsidR="00B55165" w:rsidRDefault="00B55165"/>
    <w:p w:rsidR="00B55165" w:rsidRDefault="00B55165"/>
    <w:p w:rsidR="00B55165" w:rsidRDefault="00B55165"/>
    <w:p w:rsidR="00B55165" w:rsidRDefault="00B55165"/>
    <w:p w:rsidR="00B55165" w:rsidRDefault="00B55165"/>
    <w:p w:rsidR="00B55165" w:rsidRDefault="00B55165"/>
    <w:p w:rsidR="00B55165" w:rsidRPr="00E34A1A" w:rsidRDefault="00B55165" w:rsidP="00B55165">
      <w:pPr>
        <w:spacing w:after="0" w:line="240" w:lineRule="auto"/>
        <w:rPr>
          <w:rFonts w:ascii="Gill Sans MT" w:hAnsi="Gill Sans MT"/>
          <w:b/>
        </w:rPr>
      </w:pPr>
    </w:p>
    <w:p w:rsidR="00B55165" w:rsidRPr="00E34A1A" w:rsidRDefault="00B55165" w:rsidP="00B55165">
      <w:pPr>
        <w:spacing w:after="0" w:line="240" w:lineRule="auto"/>
        <w:rPr>
          <w:rFonts w:ascii="Gill Sans MT" w:hAnsi="Gill Sans MT"/>
          <w:b/>
        </w:rPr>
      </w:pPr>
      <w:r w:rsidRPr="00E34A1A">
        <w:rPr>
          <w:rFonts w:ascii="Gill Sans MT" w:hAnsi="Gill Sans MT"/>
          <w:b/>
        </w:rPr>
        <w:t xml:space="preserve"> </w:t>
      </w:r>
      <w:r>
        <w:rPr>
          <w:rFonts w:ascii="Gill Sans MT" w:hAnsi="Gill Sans MT"/>
          <w:b/>
          <w:noProof/>
          <w:lang w:eastAsia="en-GB"/>
        </w:rPr>
        <w:drawing>
          <wp:inline distT="0" distB="0" distL="0" distR="0" wp14:anchorId="61172132" wp14:editId="4F617213">
            <wp:extent cx="4852709" cy="32943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53430" cy="3294835"/>
                    </a:xfrm>
                    <a:prstGeom prst="rect">
                      <a:avLst/>
                    </a:prstGeom>
                    <a:noFill/>
                    <a:ln>
                      <a:noFill/>
                    </a:ln>
                  </pic:spPr>
                </pic:pic>
              </a:graphicData>
            </a:graphic>
          </wp:inline>
        </w:drawing>
      </w:r>
    </w:p>
    <w:p w:rsidR="00A72D2E" w:rsidRDefault="00A72D2E" w:rsidP="00B55165">
      <w:pPr>
        <w:spacing w:after="0" w:line="240" w:lineRule="auto"/>
        <w:rPr>
          <w:rFonts w:ascii="Gill Sans MT" w:hAnsi="Gill Sans MT"/>
          <w:b/>
        </w:rPr>
      </w:pPr>
    </w:p>
    <w:p w:rsidR="00B55165" w:rsidRDefault="00827BCF" w:rsidP="00B55165">
      <w:pPr>
        <w:spacing w:after="0" w:line="240" w:lineRule="auto"/>
        <w:rPr>
          <w:rFonts w:ascii="Gill Sans MT" w:hAnsi="Gill Sans MT"/>
          <w:b/>
        </w:rPr>
      </w:pPr>
      <w:r>
        <w:rPr>
          <w:rFonts w:ascii="Gill Sans MT" w:hAnsi="Gill Sans MT"/>
          <w:b/>
        </w:rPr>
        <w:t>Figure A</w:t>
      </w:r>
      <w:r w:rsidR="00A72D2E">
        <w:rPr>
          <w:rFonts w:ascii="Gill Sans MT" w:hAnsi="Gill Sans MT"/>
          <w:b/>
        </w:rPr>
        <w:t>.</w:t>
      </w:r>
      <w:r w:rsidR="00B55165" w:rsidRPr="00E34A1A">
        <w:rPr>
          <w:rFonts w:ascii="Gill Sans MT" w:hAnsi="Gill Sans MT"/>
          <w:b/>
        </w:rPr>
        <w:t xml:space="preserve"> Cost-effectiveness plane: complete case sample</w:t>
      </w:r>
    </w:p>
    <w:p w:rsidR="00A72D2E" w:rsidRDefault="00A72D2E" w:rsidP="00B55165">
      <w:pPr>
        <w:spacing w:after="0" w:line="240" w:lineRule="auto"/>
        <w:rPr>
          <w:rFonts w:ascii="Gill Sans MT" w:hAnsi="Gill Sans MT"/>
          <w:b/>
        </w:rPr>
      </w:pPr>
    </w:p>
    <w:p w:rsidR="00A72D2E" w:rsidRDefault="00A72D2E" w:rsidP="00B55165">
      <w:pPr>
        <w:spacing w:after="0" w:line="240" w:lineRule="auto"/>
        <w:rPr>
          <w:rFonts w:ascii="Gill Sans MT" w:hAnsi="Gill Sans MT"/>
          <w:b/>
        </w:rPr>
      </w:pPr>
    </w:p>
    <w:p w:rsidR="00A72D2E" w:rsidRDefault="00A72D2E" w:rsidP="00B55165">
      <w:pPr>
        <w:spacing w:after="0" w:line="240" w:lineRule="auto"/>
        <w:rPr>
          <w:rFonts w:ascii="Gill Sans MT" w:hAnsi="Gill Sans MT"/>
          <w:b/>
        </w:rPr>
      </w:pPr>
    </w:p>
    <w:p w:rsidR="00A72D2E" w:rsidRDefault="00A72D2E" w:rsidP="00B55165">
      <w:pPr>
        <w:spacing w:after="0" w:line="240" w:lineRule="auto"/>
        <w:rPr>
          <w:rFonts w:ascii="Gill Sans MT" w:hAnsi="Gill Sans MT"/>
          <w:b/>
        </w:rPr>
      </w:pPr>
    </w:p>
    <w:p w:rsidR="00A72D2E" w:rsidRDefault="00A72D2E" w:rsidP="00B55165">
      <w:pPr>
        <w:spacing w:after="0" w:line="240" w:lineRule="auto"/>
        <w:rPr>
          <w:rFonts w:ascii="Gill Sans MT" w:hAnsi="Gill Sans MT"/>
          <w:b/>
        </w:rPr>
      </w:pPr>
    </w:p>
    <w:p w:rsidR="00A72D2E" w:rsidRDefault="00A72D2E" w:rsidP="00B55165">
      <w:pPr>
        <w:spacing w:after="0" w:line="240" w:lineRule="auto"/>
        <w:rPr>
          <w:rFonts w:ascii="Gill Sans MT" w:hAnsi="Gill Sans MT"/>
          <w:b/>
        </w:rPr>
      </w:pPr>
    </w:p>
    <w:p w:rsidR="00A72D2E" w:rsidRDefault="00A72D2E" w:rsidP="00B55165">
      <w:pPr>
        <w:spacing w:after="0" w:line="240" w:lineRule="auto"/>
        <w:rPr>
          <w:rFonts w:ascii="Gill Sans MT" w:hAnsi="Gill Sans MT"/>
          <w:b/>
        </w:rPr>
      </w:pPr>
    </w:p>
    <w:p w:rsidR="00A72D2E" w:rsidRDefault="00A72D2E" w:rsidP="00B55165">
      <w:pPr>
        <w:spacing w:after="0" w:line="240" w:lineRule="auto"/>
        <w:rPr>
          <w:rFonts w:ascii="Gill Sans MT" w:hAnsi="Gill Sans MT"/>
          <w:b/>
        </w:rPr>
      </w:pPr>
    </w:p>
    <w:p w:rsidR="00A72D2E" w:rsidRDefault="00A72D2E" w:rsidP="00B55165">
      <w:pPr>
        <w:spacing w:after="0" w:line="240" w:lineRule="auto"/>
        <w:rPr>
          <w:rFonts w:ascii="Gill Sans MT" w:hAnsi="Gill Sans MT"/>
          <w:b/>
        </w:rPr>
      </w:pPr>
    </w:p>
    <w:p w:rsidR="00A72D2E" w:rsidRDefault="00A72D2E" w:rsidP="00B55165">
      <w:pPr>
        <w:spacing w:after="0" w:line="240" w:lineRule="auto"/>
        <w:rPr>
          <w:rFonts w:ascii="Gill Sans MT" w:hAnsi="Gill Sans MT"/>
          <w:b/>
        </w:rPr>
      </w:pPr>
    </w:p>
    <w:p w:rsidR="00A72D2E" w:rsidRDefault="00A72D2E" w:rsidP="00B55165">
      <w:pPr>
        <w:spacing w:after="0" w:line="240" w:lineRule="auto"/>
        <w:rPr>
          <w:rFonts w:ascii="Gill Sans MT" w:hAnsi="Gill Sans MT"/>
          <w:b/>
        </w:rPr>
      </w:pPr>
    </w:p>
    <w:p w:rsidR="00A72D2E" w:rsidRDefault="00A72D2E" w:rsidP="00B55165">
      <w:pPr>
        <w:spacing w:after="0" w:line="240" w:lineRule="auto"/>
        <w:rPr>
          <w:rFonts w:ascii="Gill Sans MT" w:hAnsi="Gill Sans MT"/>
          <w:b/>
        </w:rPr>
      </w:pPr>
    </w:p>
    <w:p w:rsidR="00A72D2E" w:rsidRDefault="00A72D2E" w:rsidP="00B55165">
      <w:pPr>
        <w:spacing w:after="0" w:line="240" w:lineRule="auto"/>
        <w:rPr>
          <w:rFonts w:ascii="Gill Sans MT" w:hAnsi="Gill Sans MT"/>
          <w:b/>
        </w:rPr>
      </w:pPr>
    </w:p>
    <w:p w:rsidR="00A72D2E" w:rsidRDefault="00A72D2E" w:rsidP="00B55165">
      <w:pPr>
        <w:spacing w:after="0" w:line="240" w:lineRule="auto"/>
        <w:rPr>
          <w:rFonts w:ascii="Gill Sans MT" w:hAnsi="Gill Sans MT"/>
          <w:b/>
        </w:rPr>
      </w:pPr>
    </w:p>
    <w:p w:rsidR="00A72D2E" w:rsidRDefault="00A72D2E" w:rsidP="00B55165">
      <w:pPr>
        <w:spacing w:after="0" w:line="240" w:lineRule="auto"/>
        <w:rPr>
          <w:rFonts w:ascii="Gill Sans MT" w:hAnsi="Gill Sans MT"/>
          <w:b/>
        </w:rPr>
      </w:pPr>
    </w:p>
    <w:p w:rsidR="00A72D2E" w:rsidRDefault="00A72D2E" w:rsidP="00B55165">
      <w:pPr>
        <w:spacing w:after="0" w:line="240" w:lineRule="auto"/>
        <w:rPr>
          <w:rFonts w:ascii="Gill Sans MT" w:hAnsi="Gill Sans MT"/>
          <w:b/>
        </w:rPr>
      </w:pPr>
    </w:p>
    <w:p w:rsidR="00A72D2E" w:rsidRDefault="00A72D2E" w:rsidP="00B55165">
      <w:pPr>
        <w:spacing w:after="0" w:line="240" w:lineRule="auto"/>
        <w:rPr>
          <w:rFonts w:ascii="Gill Sans MT" w:hAnsi="Gill Sans MT"/>
          <w:b/>
        </w:rPr>
      </w:pPr>
    </w:p>
    <w:p w:rsidR="00A72D2E" w:rsidRPr="00E34A1A" w:rsidRDefault="00A72D2E" w:rsidP="00B55165">
      <w:pPr>
        <w:spacing w:after="0" w:line="240" w:lineRule="auto"/>
        <w:rPr>
          <w:rFonts w:ascii="Gill Sans MT" w:hAnsi="Gill Sans MT"/>
          <w:b/>
        </w:rPr>
      </w:pPr>
    </w:p>
    <w:p w:rsidR="00B55165" w:rsidRPr="00E34A1A" w:rsidRDefault="00B55165" w:rsidP="00B55165">
      <w:pPr>
        <w:spacing w:after="0" w:line="240" w:lineRule="auto"/>
        <w:rPr>
          <w:rFonts w:ascii="Gill Sans MT" w:hAnsi="Gill Sans MT"/>
          <w:b/>
        </w:rPr>
      </w:pPr>
    </w:p>
    <w:p w:rsidR="00B55165" w:rsidRPr="00E34A1A" w:rsidRDefault="00B55165" w:rsidP="00B55165">
      <w:pPr>
        <w:spacing w:after="0" w:line="240" w:lineRule="auto"/>
        <w:rPr>
          <w:rFonts w:ascii="Gill Sans MT" w:hAnsi="Gill Sans MT"/>
          <w:b/>
        </w:rPr>
      </w:pPr>
      <w:r w:rsidRPr="00E34A1A">
        <w:rPr>
          <w:rFonts w:ascii="Gill Sans MT" w:hAnsi="Gill Sans MT"/>
          <w:b/>
        </w:rPr>
        <w:lastRenderedPageBreak/>
        <w:t xml:space="preserve"> </w:t>
      </w:r>
      <w:r>
        <w:rPr>
          <w:rFonts w:ascii="Gill Sans MT" w:hAnsi="Gill Sans MT"/>
          <w:b/>
          <w:noProof/>
          <w:lang w:eastAsia="en-GB"/>
        </w:rPr>
        <w:drawing>
          <wp:inline distT="0" distB="0" distL="0" distR="0" wp14:anchorId="686226DB" wp14:editId="1879853D">
            <wp:extent cx="5361140" cy="35013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61937" cy="3501920"/>
                    </a:xfrm>
                    <a:prstGeom prst="rect">
                      <a:avLst/>
                    </a:prstGeom>
                    <a:noFill/>
                    <a:ln>
                      <a:noFill/>
                    </a:ln>
                  </pic:spPr>
                </pic:pic>
              </a:graphicData>
            </a:graphic>
          </wp:inline>
        </w:drawing>
      </w:r>
    </w:p>
    <w:p w:rsidR="00B55165" w:rsidRPr="00E34A1A" w:rsidRDefault="00B55165" w:rsidP="00B55165">
      <w:pPr>
        <w:spacing w:after="0" w:line="240" w:lineRule="auto"/>
        <w:rPr>
          <w:rFonts w:ascii="Gill Sans MT" w:hAnsi="Gill Sans MT"/>
          <w:b/>
        </w:rPr>
      </w:pPr>
    </w:p>
    <w:p w:rsidR="00B55165" w:rsidRPr="00E34A1A" w:rsidRDefault="00827BCF" w:rsidP="00B55165">
      <w:pPr>
        <w:spacing w:after="0" w:line="240" w:lineRule="auto"/>
        <w:rPr>
          <w:rFonts w:ascii="Gill Sans MT" w:hAnsi="Gill Sans MT"/>
          <w:b/>
        </w:rPr>
      </w:pPr>
      <w:r>
        <w:rPr>
          <w:rFonts w:ascii="Gill Sans MT" w:hAnsi="Gill Sans MT"/>
          <w:b/>
        </w:rPr>
        <w:t>Figure B</w:t>
      </w:r>
      <w:r w:rsidR="00A72D2E">
        <w:rPr>
          <w:rFonts w:ascii="Gill Sans MT" w:hAnsi="Gill Sans MT"/>
          <w:b/>
        </w:rPr>
        <w:t>.</w:t>
      </w:r>
      <w:r w:rsidR="00B55165" w:rsidRPr="00E34A1A">
        <w:rPr>
          <w:rFonts w:ascii="Gill Sans MT" w:hAnsi="Gill Sans MT"/>
          <w:b/>
        </w:rPr>
        <w:t xml:space="preserve"> Cost-effectiveness acceptability curve: complete case sample</w:t>
      </w:r>
    </w:p>
    <w:p w:rsidR="00B55165" w:rsidRPr="00E34A1A" w:rsidRDefault="00B55165" w:rsidP="00B55165">
      <w:pPr>
        <w:spacing w:after="0" w:line="240" w:lineRule="auto"/>
        <w:rPr>
          <w:rFonts w:ascii="Gill Sans MT" w:hAnsi="Gill Sans MT"/>
          <w:b/>
        </w:rPr>
      </w:pPr>
    </w:p>
    <w:p w:rsidR="00B55165" w:rsidRPr="00B36F75" w:rsidRDefault="00B55165" w:rsidP="00B55165">
      <w:pPr>
        <w:spacing w:after="0" w:line="240" w:lineRule="auto"/>
        <w:rPr>
          <w:rFonts w:ascii="Gill Sans MT" w:hAnsi="Gill Sans MT"/>
          <w:i/>
        </w:rPr>
        <w:sectPr w:rsidR="00B55165" w:rsidRPr="00B36F75" w:rsidSect="00AC7D4D">
          <w:footerReference w:type="default" r:id="rId9"/>
          <w:pgSz w:w="11906" w:h="16838"/>
          <w:pgMar w:top="1440" w:right="1440" w:bottom="1440" w:left="1440" w:header="708" w:footer="708" w:gutter="0"/>
          <w:cols w:space="708"/>
          <w:docGrid w:linePitch="360"/>
        </w:sectPr>
      </w:pPr>
    </w:p>
    <w:p w:rsidR="00B55165" w:rsidRPr="004D27E9" w:rsidRDefault="00B55165" w:rsidP="00B55165">
      <w:pPr>
        <w:rPr>
          <w:b/>
        </w:rPr>
      </w:pPr>
    </w:p>
    <w:p w:rsidR="00B55165" w:rsidRPr="004D27E9" w:rsidRDefault="00B55165" w:rsidP="00B55165">
      <w:pPr>
        <w:rPr>
          <w:b/>
        </w:rPr>
      </w:pPr>
    </w:p>
    <w:p w:rsidR="00B55165" w:rsidRPr="004D27E9" w:rsidRDefault="00B55165" w:rsidP="00B55165">
      <w:pPr>
        <w:rPr>
          <w:b/>
        </w:rPr>
      </w:pPr>
      <w:r w:rsidRPr="004D27E9">
        <w:rPr>
          <w:b/>
          <w:noProof/>
          <w:lang w:eastAsia="en-GB"/>
        </w:rPr>
        <w:drawing>
          <wp:inline distT="0" distB="0" distL="0" distR="0" wp14:anchorId="36190E5A" wp14:editId="7A4871C7">
            <wp:extent cx="5731510" cy="38909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90934"/>
                    </a:xfrm>
                    <a:prstGeom prst="rect">
                      <a:avLst/>
                    </a:prstGeom>
                    <a:noFill/>
                    <a:ln>
                      <a:noFill/>
                    </a:ln>
                  </pic:spPr>
                </pic:pic>
              </a:graphicData>
            </a:graphic>
          </wp:inline>
        </w:drawing>
      </w:r>
    </w:p>
    <w:p w:rsidR="00B55165" w:rsidRPr="004D27E9" w:rsidRDefault="00827BCF" w:rsidP="00B55165">
      <w:pPr>
        <w:spacing w:after="0" w:line="240" w:lineRule="auto"/>
        <w:rPr>
          <w:rFonts w:ascii="Gill Sans MT" w:hAnsi="Gill Sans MT"/>
          <w:b/>
        </w:rPr>
      </w:pPr>
      <w:r>
        <w:rPr>
          <w:rFonts w:ascii="Gill Sans MT" w:hAnsi="Gill Sans MT"/>
          <w:b/>
        </w:rPr>
        <w:t>Figure C</w:t>
      </w:r>
      <w:r w:rsidR="00A72D2E">
        <w:rPr>
          <w:rFonts w:ascii="Gill Sans MT" w:hAnsi="Gill Sans MT"/>
          <w:b/>
        </w:rPr>
        <w:t>.</w:t>
      </w:r>
      <w:r w:rsidR="00B55165" w:rsidRPr="004D27E9">
        <w:rPr>
          <w:rFonts w:ascii="Gill Sans MT" w:hAnsi="Gill Sans MT"/>
          <w:b/>
        </w:rPr>
        <w:t xml:space="preserve"> 0-6 month Cost-effectiveness plane full sample with imputation</w:t>
      </w:r>
    </w:p>
    <w:p w:rsidR="00B55165" w:rsidRPr="004D27E9" w:rsidRDefault="00B55165" w:rsidP="00B55165">
      <w:pPr>
        <w:rPr>
          <w:b/>
        </w:rPr>
      </w:pPr>
    </w:p>
    <w:p w:rsidR="00B55165" w:rsidRPr="004D27E9" w:rsidRDefault="00B55165" w:rsidP="00B55165">
      <w:pPr>
        <w:rPr>
          <w:b/>
        </w:rPr>
      </w:pPr>
      <w:r w:rsidRPr="004D27E9">
        <w:rPr>
          <w:b/>
          <w:noProof/>
          <w:lang w:eastAsia="en-GB"/>
        </w:rPr>
        <w:lastRenderedPageBreak/>
        <w:drawing>
          <wp:inline distT="0" distB="0" distL="0" distR="0" wp14:anchorId="4841CC63" wp14:editId="1F4ADDCA">
            <wp:extent cx="5731510" cy="37432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743290"/>
                    </a:xfrm>
                    <a:prstGeom prst="rect">
                      <a:avLst/>
                    </a:prstGeom>
                    <a:noFill/>
                    <a:ln>
                      <a:noFill/>
                    </a:ln>
                  </pic:spPr>
                </pic:pic>
              </a:graphicData>
            </a:graphic>
          </wp:inline>
        </w:drawing>
      </w:r>
    </w:p>
    <w:p w:rsidR="00B55165" w:rsidRPr="004D27E9" w:rsidRDefault="00827BCF" w:rsidP="00B55165">
      <w:pPr>
        <w:spacing w:after="0" w:line="240" w:lineRule="auto"/>
        <w:rPr>
          <w:rFonts w:ascii="Gill Sans MT" w:hAnsi="Gill Sans MT"/>
          <w:b/>
        </w:rPr>
      </w:pPr>
      <w:r>
        <w:rPr>
          <w:rFonts w:ascii="Gill Sans MT" w:hAnsi="Gill Sans MT"/>
          <w:b/>
        </w:rPr>
        <w:t>Figure D</w:t>
      </w:r>
      <w:r w:rsidR="00A72D2E">
        <w:rPr>
          <w:rFonts w:ascii="Gill Sans MT" w:hAnsi="Gill Sans MT"/>
          <w:b/>
        </w:rPr>
        <w:t>.</w:t>
      </w:r>
      <w:r w:rsidR="00B55165" w:rsidRPr="004D27E9">
        <w:rPr>
          <w:rFonts w:ascii="Gill Sans MT" w:hAnsi="Gill Sans MT"/>
          <w:b/>
        </w:rPr>
        <w:t xml:space="preserve"> 0-6 month Cost-effectiveness acceptability curve: full sample with imputation</w:t>
      </w:r>
    </w:p>
    <w:p w:rsidR="00B55165" w:rsidRPr="004D27E9" w:rsidRDefault="00B55165" w:rsidP="00B55165">
      <w:pPr>
        <w:spacing w:after="0" w:line="240" w:lineRule="auto"/>
        <w:rPr>
          <w:rFonts w:ascii="Gill Sans MT" w:hAnsi="Gill Sans MT"/>
          <w:b/>
        </w:rPr>
      </w:pPr>
    </w:p>
    <w:p w:rsidR="00B55165" w:rsidRPr="004D27E9" w:rsidRDefault="00B55165" w:rsidP="00B55165">
      <w:pPr>
        <w:spacing w:after="0" w:line="240" w:lineRule="auto"/>
        <w:rPr>
          <w:rFonts w:ascii="Gill Sans MT" w:hAnsi="Gill Sans MT"/>
          <w:b/>
        </w:rPr>
      </w:pPr>
    </w:p>
    <w:p w:rsidR="00B55165" w:rsidRPr="004D27E9" w:rsidRDefault="00B55165" w:rsidP="00B55165">
      <w:pPr>
        <w:spacing w:after="0" w:line="240" w:lineRule="auto"/>
        <w:rPr>
          <w:rFonts w:ascii="Gill Sans MT" w:hAnsi="Gill Sans MT"/>
          <w:b/>
        </w:rPr>
      </w:pPr>
    </w:p>
    <w:p w:rsidR="00B55165" w:rsidRPr="004D27E9" w:rsidRDefault="00B55165" w:rsidP="00B55165">
      <w:pPr>
        <w:spacing w:after="0" w:line="240" w:lineRule="auto"/>
        <w:rPr>
          <w:rFonts w:ascii="Gill Sans MT" w:hAnsi="Gill Sans MT"/>
          <w:b/>
        </w:rPr>
      </w:pPr>
    </w:p>
    <w:p w:rsidR="00B55165" w:rsidRPr="004D27E9" w:rsidRDefault="00B55165" w:rsidP="00B55165">
      <w:pPr>
        <w:spacing w:after="0" w:line="240" w:lineRule="auto"/>
        <w:rPr>
          <w:rFonts w:ascii="Gill Sans MT" w:hAnsi="Gill Sans MT"/>
          <w:b/>
        </w:rPr>
      </w:pPr>
    </w:p>
    <w:p w:rsidR="00B55165" w:rsidRPr="004D27E9" w:rsidRDefault="00B55165" w:rsidP="00B55165">
      <w:pPr>
        <w:spacing w:after="0" w:line="240" w:lineRule="auto"/>
        <w:rPr>
          <w:rFonts w:ascii="Gill Sans MT" w:hAnsi="Gill Sans MT"/>
          <w:b/>
        </w:rPr>
      </w:pPr>
    </w:p>
    <w:p w:rsidR="00B55165" w:rsidRPr="004D27E9" w:rsidRDefault="00B55165" w:rsidP="00B55165">
      <w:pPr>
        <w:spacing w:after="0" w:line="240" w:lineRule="auto"/>
        <w:rPr>
          <w:rFonts w:ascii="Gill Sans MT" w:hAnsi="Gill Sans MT"/>
          <w:b/>
        </w:rPr>
      </w:pPr>
    </w:p>
    <w:p w:rsidR="00B55165" w:rsidRPr="004D27E9" w:rsidRDefault="00B55165" w:rsidP="00B55165">
      <w:pPr>
        <w:spacing w:after="0" w:line="240" w:lineRule="auto"/>
        <w:rPr>
          <w:rFonts w:ascii="Gill Sans MT" w:hAnsi="Gill Sans MT"/>
          <w:b/>
        </w:rPr>
      </w:pPr>
    </w:p>
    <w:p w:rsidR="00B55165" w:rsidRPr="004D27E9" w:rsidRDefault="00B55165" w:rsidP="00B55165">
      <w:pPr>
        <w:spacing w:after="0" w:line="240" w:lineRule="auto"/>
        <w:rPr>
          <w:rFonts w:ascii="Gill Sans MT" w:hAnsi="Gill Sans MT"/>
          <w:b/>
        </w:rPr>
      </w:pPr>
    </w:p>
    <w:p w:rsidR="00B55165" w:rsidRPr="004D27E9" w:rsidRDefault="00B55165" w:rsidP="00B55165">
      <w:pPr>
        <w:spacing w:after="0" w:line="240" w:lineRule="auto"/>
        <w:rPr>
          <w:rFonts w:ascii="Gill Sans MT" w:hAnsi="Gill Sans MT"/>
          <w:b/>
        </w:rPr>
      </w:pPr>
    </w:p>
    <w:p w:rsidR="00B55165" w:rsidRPr="004D27E9" w:rsidRDefault="00B55165" w:rsidP="00B55165">
      <w:pPr>
        <w:spacing w:after="0" w:line="240" w:lineRule="auto"/>
        <w:rPr>
          <w:rFonts w:ascii="Gill Sans MT" w:hAnsi="Gill Sans MT"/>
          <w:b/>
        </w:rPr>
      </w:pPr>
    </w:p>
    <w:p w:rsidR="00B55165" w:rsidRPr="004D27E9" w:rsidRDefault="00B55165" w:rsidP="00B55165">
      <w:pPr>
        <w:rPr>
          <w:b/>
        </w:rPr>
      </w:pPr>
      <w:r w:rsidRPr="004D27E9">
        <w:rPr>
          <w:b/>
          <w:noProof/>
          <w:lang w:eastAsia="en-GB"/>
        </w:rPr>
        <w:lastRenderedPageBreak/>
        <w:drawing>
          <wp:inline distT="0" distB="0" distL="0" distR="0" wp14:anchorId="162B5079" wp14:editId="16BAED61">
            <wp:extent cx="5731510" cy="38909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90934"/>
                    </a:xfrm>
                    <a:prstGeom prst="rect">
                      <a:avLst/>
                    </a:prstGeom>
                    <a:noFill/>
                    <a:ln>
                      <a:noFill/>
                    </a:ln>
                  </pic:spPr>
                </pic:pic>
              </a:graphicData>
            </a:graphic>
          </wp:inline>
        </w:drawing>
      </w:r>
    </w:p>
    <w:p w:rsidR="00B55165" w:rsidRDefault="00827BCF" w:rsidP="00B55165">
      <w:pPr>
        <w:spacing w:after="0" w:line="240" w:lineRule="auto"/>
        <w:rPr>
          <w:rFonts w:ascii="Gill Sans MT" w:hAnsi="Gill Sans MT"/>
          <w:b/>
        </w:rPr>
      </w:pPr>
      <w:r>
        <w:rPr>
          <w:rFonts w:ascii="Gill Sans MT" w:hAnsi="Gill Sans MT"/>
          <w:b/>
        </w:rPr>
        <w:t>Figure E</w:t>
      </w:r>
      <w:r w:rsidR="00A72D2E">
        <w:rPr>
          <w:rFonts w:ascii="Gill Sans MT" w:hAnsi="Gill Sans MT"/>
          <w:b/>
        </w:rPr>
        <w:t>.</w:t>
      </w:r>
      <w:r w:rsidR="00B55165" w:rsidRPr="004D27E9">
        <w:rPr>
          <w:rFonts w:ascii="Gill Sans MT" w:hAnsi="Gill Sans MT"/>
          <w:b/>
        </w:rPr>
        <w:t xml:space="preserve"> 6-18 months Cost-effectiveness plane: full sample with imputation</w:t>
      </w:r>
    </w:p>
    <w:p w:rsidR="00A72D2E" w:rsidRDefault="00A72D2E" w:rsidP="00B55165">
      <w:pPr>
        <w:spacing w:after="0" w:line="240" w:lineRule="auto"/>
        <w:rPr>
          <w:rFonts w:ascii="Gill Sans MT" w:hAnsi="Gill Sans MT"/>
          <w:b/>
        </w:rPr>
      </w:pPr>
    </w:p>
    <w:p w:rsidR="00A72D2E" w:rsidRDefault="00A72D2E" w:rsidP="00B55165">
      <w:pPr>
        <w:spacing w:after="0" w:line="240" w:lineRule="auto"/>
        <w:rPr>
          <w:rFonts w:ascii="Gill Sans MT" w:hAnsi="Gill Sans MT"/>
          <w:b/>
        </w:rPr>
      </w:pPr>
    </w:p>
    <w:p w:rsidR="00A72D2E" w:rsidRDefault="00A72D2E" w:rsidP="00B55165">
      <w:pPr>
        <w:spacing w:after="0" w:line="240" w:lineRule="auto"/>
        <w:rPr>
          <w:rFonts w:ascii="Gill Sans MT" w:hAnsi="Gill Sans MT"/>
          <w:b/>
        </w:rPr>
      </w:pPr>
    </w:p>
    <w:p w:rsidR="00A72D2E" w:rsidRDefault="00A72D2E" w:rsidP="00B55165">
      <w:pPr>
        <w:spacing w:after="0" w:line="240" w:lineRule="auto"/>
        <w:rPr>
          <w:rFonts w:ascii="Gill Sans MT" w:hAnsi="Gill Sans MT"/>
          <w:b/>
        </w:rPr>
      </w:pPr>
    </w:p>
    <w:p w:rsidR="00A72D2E" w:rsidRPr="004D27E9" w:rsidRDefault="00A72D2E" w:rsidP="00B55165">
      <w:pPr>
        <w:spacing w:after="0" w:line="240" w:lineRule="auto"/>
        <w:rPr>
          <w:rFonts w:ascii="Gill Sans MT" w:hAnsi="Gill Sans MT"/>
          <w:b/>
        </w:rPr>
      </w:pPr>
    </w:p>
    <w:p w:rsidR="00B55165" w:rsidRPr="004D27E9" w:rsidRDefault="00B55165" w:rsidP="00B55165">
      <w:pPr>
        <w:rPr>
          <w:b/>
        </w:rPr>
      </w:pPr>
    </w:p>
    <w:p w:rsidR="00B55165" w:rsidRPr="004D27E9" w:rsidRDefault="00B55165" w:rsidP="00B55165">
      <w:pPr>
        <w:rPr>
          <w:b/>
        </w:rPr>
      </w:pPr>
      <w:r w:rsidRPr="004D27E9">
        <w:rPr>
          <w:b/>
          <w:noProof/>
          <w:lang w:eastAsia="en-GB"/>
        </w:rPr>
        <w:lastRenderedPageBreak/>
        <w:drawing>
          <wp:inline distT="0" distB="0" distL="0" distR="0" wp14:anchorId="1C31574A" wp14:editId="2BEE7C70">
            <wp:extent cx="5731510" cy="37432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743290"/>
                    </a:xfrm>
                    <a:prstGeom prst="rect">
                      <a:avLst/>
                    </a:prstGeom>
                    <a:noFill/>
                    <a:ln>
                      <a:noFill/>
                    </a:ln>
                  </pic:spPr>
                </pic:pic>
              </a:graphicData>
            </a:graphic>
          </wp:inline>
        </w:drawing>
      </w:r>
    </w:p>
    <w:p w:rsidR="00B55165" w:rsidRDefault="00827BCF" w:rsidP="00B55165">
      <w:r>
        <w:rPr>
          <w:rFonts w:ascii="Gill Sans MT" w:hAnsi="Gill Sans MT"/>
          <w:b/>
        </w:rPr>
        <w:t>Figure F</w:t>
      </w:r>
      <w:r w:rsidR="00A72D2E">
        <w:rPr>
          <w:rFonts w:ascii="Gill Sans MT" w:hAnsi="Gill Sans MT"/>
          <w:b/>
        </w:rPr>
        <w:t>.</w:t>
      </w:r>
      <w:r w:rsidR="00B55165" w:rsidRPr="004D27E9">
        <w:rPr>
          <w:rFonts w:ascii="Gill Sans MT" w:hAnsi="Gill Sans MT"/>
          <w:b/>
        </w:rPr>
        <w:t xml:space="preserve"> 6-18 months Cost-effectiveness acceptability curve: full sample with</w:t>
      </w:r>
      <w:r w:rsidR="00A72D2E">
        <w:rPr>
          <w:rFonts w:ascii="Gill Sans MT" w:hAnsi="Gill Sans MT"/>
          <w:b/>
        </w:rPr>
        <w:t xml:space="preserve"> imputation</w:t>
      </w:r>
    </w:p>
    <w:sectPr w:rsidR="00B551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6ED2" w:rsidRDefault="00236ED2" w:rsidP="00236ED2">
      <w:pPr>
        <w:spacing w:after="0" w:line="240" w:lineRule="auto"/>
      </w:pPr>
      <w:r>
        <w:separator/>
      </w:r>
    </w:p>
  </w:endnote>
  <w:endnote w:type="continuationSeparator" w:id="0">
    <w:p w:rsidR="00236ED2" w:rsidRDefault="00236ED2" w:rsidP="00236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098467"/>
      <w:docPartObj>
        <w:docPartGallery w:val="Page Numbers (Bottom of Page)"/>
        <w:docPartUnique/>
      </w:docPartObj>
    </w:sdtPr>
    <w:sdtEndPr>
      <w:rPr>
        <w:noProof/>
      </w:rPr>
    </w:sdtEndPr>
    <w:sdtContent>
      <w:p w:rsidR="00236ED2" w:rsidRDefault="00236ED2">
        <w:pPr>
          <w:pStyle w:val="Footer"/>
          <w:jc w:val="right"/>
        </w:pPr>
        <w:r>
          <w:fldChar w:fldCharType="begin"/>
        </w:r>
        <w:r>
          <w:instrText xml:space="preserve"> PAGE   \* MERGEFORMAT </w:instrText>
        </w:r>
        <w:r>
          <w:fldChar w:fldCharType="separate"/>
        </w:r>
        <w:r w:rsidR="008F025D">
          <w:rPr>
            <w:noProof/>
          </w:rPr>
          <w:t>7</w:t>
        </w:r>
        <w:r>
          <w:rPr>
            <w:noProof/>
          </w:rPr>
          <w:fldChar w:fldCharType="end"/>
        </w:r>
      </w:p>
    </w:sdtContent>
  </w:sdt>
  <w:p w:rsidR="00236ED2" w:rsidRDefault="00236E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6ED2" w:rsidRDefault="00236ED2" w:rsidP="00236ED2">
      <w:pPr>
        <w:spacing w:after="0" w:line="240" w:lineRule="auto"/>
      </w:pPr>
      <w:r>
        <w:separator/>
      </w:r>
    </w:p>
  </w:footnote>
  <w:footnote w:type="continuationSeparator" w:id="0">
    <w:p w:rsidR="00236ED2" w:rsidRDefault="00236ED2" w:rsidP="00236ED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663"/>
    <w:rsid w:val="001E1B28"/>
    <w:rsid w:val="00236ED2"/>
    <w:rsid w:val="004508E2"/>
    <w:rsid w:val="005C0783"/>
    <w:rsid w:val="006C2663"/>
    <w:rsid w:val="007F60EE"/>
    <w:rsid w:val="00827BCF"/>
    <w:rsid w:val="008C6E4A"/>
    <w:rsid w:val="008F025D"/>
    <w:rsid w:val="00A72D2E"/>
    <w:rsid w:val="00B55165"/>
    <w:rsid w:val="00C64B79"/>
    <w:rsid w:val="00CC45A7"/>
    <w:rsid w:val="00E411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6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C2663"/>
    <w:rPr>
      <w:sz w:val="16"/>
      <w:szCs w:val="16"/>
    </w:rPr>
  </w:style>
  <w:style w:type="paragraph" w:styleId="CommentText">
    <w:name w:val="annotation text"/>
    <w:basedOn w:val="Normal"/>
    <w:link w:val="CommentTextChar"/>
    <w:uiPriority w:val="99"/>
    <w:unhideWhenUsed/>
    <w:rsid w:val="006C2663"/>
    <w:pPr>
      <w:spacing w:line="240" w:lineRule="auto"/>
    </w:pPr>
    <w:rPr>
      <w:sz w:val="20"/>
      <w:szCs w:val="20"/>
    </w:rPr>
  </w:style>
  <w:style w:type="character" w:customStyle="1" w:styleId="CommentTextChar">
    <w:name w:val="Comment Text Char"/>
    <w:basedOn w:val="DefaultParagraphFont"/>
    <w:link w:val="CommentText"/>
    <w:uiPriority w:val="99"/>
    <w:rsid w:val="006C2663"/>
    <w:rPr>
      <w:sz w:val="20"/>
      <w:szCs w:val="20"/>
    </w:rPr>
  </w:style>
  <w:style w:type="paragraph" w:styleId="BalloonText">
    <w:name w:val="Balloon Text"/>
    <w:basedOn w:val="Normal"/>
    <w:link w:val="BalloonTextChar"/>
    <w:uiPriority w:val="99"/>
    <w:semiHidden/>
    <w:unhideWhenUsed/>
    <w:rsid w:val="006C26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2663"/>
    <w:rPr>
      <w:rFonts w:ascii="Tahoma" w:hAnsi="Tahoma" w:cs="Tahoma"/>
      <w:sz w:val="16"/>
      <w:szCs w:val="16"/>
    </w:rPr>
  </w:style>
  <w:style w:type="table" w:styleId="TableGrid">
    <w:name w:val="Table Grid"/>
    <w:basedOn w:val="TableNormal"/>
    <w:rsid w:val="00B55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36E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6ED2"/>
  </w:style>
  <w:style w:type="paragraph" w:styleId="Footer">
    <w:name w:val="footer"/>
    <w:basedOn w:val="Normal"/>
    <w:link w:val="FooterChar"/>
    <w:uiPriority w:val="99"/>
    <w:unhideWhenUsed/>
    <w:rsid w:val="00236E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6E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6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C2663"/>
    <w:rPr>
      <w:sz w:val="16"/>
      <w:szCs w:val="16"/>
    </w:rPr>
  </w:style>
  <w:style w:type="paragraph" w:styleId="CommentText">
    <w:name w:val="annotation text"/>
    <w:basedOn w:val="Normal"/>
    <w:link w:val="CommentTextChar"/>
    <w:uiPriority w:val="99"/>
    <w:unhideWhenUsed/>
    <w:rsid w:val="006C2663"/>
    <w:pPr>
      <w:spacing w:line="240" w:lineRule="auto"/>
    </w:pPr>
    <w:rPr>
      <w:sz w:val="20"/>
      <w:szCs w:val="20"/>
    </w:rPr>
  </w:style>
  <w:style w:type="character" w:customStyle="1" w:styleId="CommentTextChar">
    <w:name w:val="Comment Text Char"/>
    <w:basedOn w:val="DefaultParagraphFont"/>
    <w:link w:val="CommentText"/>
    <w:uiPriority w:val="99"/>
    <w:rsid w:val="006C2663"/>
    <w:rPr>
      <w:sz w:val="20"/>
      <w:szCs w:val="20"/>
    </w:rPr>
  </w:style>
  <w:style w:type="paragraph" w:styleId="BalloonText">
    <w:name w:val="Balloon Text"/>
    <w:basedOn w:val="Normal"/>
    <w:link w:val="BalloonTextChar"/>
    <w:uiPriority w:val="99"/>
    <w:semiHidden/>
    <w:unhideWhenUsed/>
    <w:rsid w:val="006C26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2663"/>
    <w:rPr>
      <w:rFonts w:ascii="Tahoma" w:hAnsi="Tahoma" w:cs="Tahoma"/>
      <w:sz w:val="16"/>
      <w:szCs w:val="16"/>
    </w:rPr>
  </w:style>
  <w:style w:type="table" w:styleId="TableGrid">
    <w:name w:val="Table Grid"/>
    <w:basedOn w:val="TableNormal"/>
    <w:rsid w:val="00B55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36E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6ED2"/>
  </w:style>
  <w:style w:type="paragraph" w:styleId="Footer">
    <w:name w:val="footer"/>
    <w:basedOn w:val="Normal"/>
    <w:link w:val="FooterChar"/>
    <w:uiPriority w:val="99"/>
    <w:unhideWhenUsed/>
    <w:rsid w:val="00236E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6E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8</Pages>
  <Words>395</Words>
  <Characters>2255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2645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Panagioti</dc:creator>
  <cp:lastModifiedBy>Maria Panagioti</cp:lastModifiedBy>
  <cp:revision>8</cp:revision>
  <dcterms:created xsi:type="dcterms:W3CDTF">2017-09-07T13:57:00Z</dcterms:created>
  <dcterms:modified xsi:type="dcterms:W3CDTF">2017-09-11T16:36:00Z</dcterms:modified>
</cp:coreProperties>
</file>